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2.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3.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4.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169AE" w14:textId="77777777" w:rsidR="001D4E68" w:rsidRPr="007F31E3" w:rsidRDefault="001D4E68" w:rsidP="00CA0F37">
      <w:pPr>
        <w:pStyle w:val="2dbullet"/>
        <w:numPr>
          <w:ilvl w:val="0"/>
          <w:numId w:val="0"/>
        </w:numPr>
      </w:pPr>
      <w:r w:rsidRPr="007F31E3">
        <w:rPr>
          <w:noProof/>
          <w:lang w:eastAsia="fr-BE"/>
        </w:rPr>
        <mc:AlternateContent>
          <mc:Choice Requires="wps">
            <w:drawing>
              <wp:anchor distT="0" distB="0" distL="114300" distR="114300" simplePos="0" relativeHeight="251658241" behindDoc="1" locked="0" layoutInCell="1" allowOverlap="1" wp14:anchorId="0C0C53C5" wp14:editId="4FF66F1A">
                <wp:simplePos x="0" y="0"/>
                <wp:positionH relativeFrom="margin">
                  <wp:align>center</wp:align>
                </wp:positionH>
                <wp:positionV relativeFrom="page">
                  <wp:posOffset>201930</wp:posOffset>
                </wp:positionV>
                <wp:extent cx="7200000" cy="7920000"/>
                <wp:effectExtent l="0" t="0" r="20320" b="24130"/>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0" cy="7920000"/>
                        </a:xfrm>
                        <a:prstGeom prst="rect">
                          <a:avLst/>
                        </a:prstGeom>
                        <a:solidFill>
                          <a:srgbClr val="005962"/>
                        </a:solidFill>
                        <a:ln w="9525">
                          <a:solidFill>
                            <a:srgbClr val="4A7EBB"/>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AA7766" id="Rectangle 1" o:spid="_x0000_s1026" style="position:absolute;margin-left:0;margin-top:15.9pt;width:566.95pt;height:623.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" fillcolor="#005962" strokecolor="#4a7ebb">
                <w10:wrap anchorx="margin" anchory="page"/>
              </v:rect>
            </w:pict>
          </mc:Fallback>
        </mc:AlternateContent>
      </w:r>
    </w:p>
    <w:p w14:paraId="5A10326B" w14:textId="77777777" w:rsidR="001D4E68" w:rsidRPr="007F31E3" w:rsidRDefault="001D4E68" w:rsidP="001D4E68">
      <w:r w:rsidRPr="007F31E3">
        <w:rPr>
          <w:noProof/>
          <w:lang w:eastAsia="fr-BE"/>
        </w:rPr>
        <w:drawing>
          <wp:anchor distT="0" distB="0" distL="114300" distR="114300" simplePos="0" relativeHeight="251658242" behindDoc="1" locked="0" layoutInCell="1" allowOverlap="1" wp14:anchorId="3C111DAD" wp14:editId="77AC3888">
            <wp:simplePos x="0" y="0"/>
            <wp:positionH relativeFrom="margin">
              <wp:align>center</wp:align>
            </wp:positionH>
            <wp:positionV relativeFrom="paragraph">
              <wp:posOffset>2540</wp:posOffset>
            </wp:positionV>
            <wp:extent cx="768350" cy="768350"/>
            <wp:effectExtent l="0" t="0" r="0" b="0"/>
            <wp:wrapTight wrapText="bothSides">
              <wp:wrapPolygon edited="0">
                <wp:start x="6962" y="0"/>
                <wp:lineTo x="0" y="3213"/>
                <wp:lineTo x="0" y="13924"/>
                <wp:lineTo x="1071" y="17137"/>
                <wp:lineTo x="5355" y="20886"/>
                <wp:lineTo x="14995" y="20886"/>
                <wp:lineTo x="19815" y="17137"/>
                <wp:lineTo x="20886" y="12317"/>
                <wp:lineTo x="20886" y="6426"/>
                <wp:lineTo x="17137" y="1607"/>
                <wp:lineTo x="13388" y="0"/>
                <wp:lineTo x="6962" y="0"/>
              </wp:wrapPolygon>
            </wp:wrapTight>
            <wp:docPr id="20" name="Picture 1" descr="Macintosh HD:Users:fraukeeversmann:Dropbox:PROJEKTE:TRIPLE E:DELIVERABLES:ICONS:earth_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ukeeversmann:Dropbox:PROJEKTE:TRIPLE E:DELIVERABLES:ICONS:earth_whit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B169A" w14:textId="77777777" w:rsidR="001D4E68" w:rsidRPr="007F31E3" w:rsidRDefault="001D4E68" w:rsidP="001D4E68"/>
    <w:p w14:paraId="394EE2B8" w14:textId="77777777" w:rsidR="001D4E68" w:rsidRPr="007F31E3" w:rsidRDefault="001D4E68" w:rsidP="001D4E68"/>
    <w:p w14:paraId="225C7F58" w14:textId="77777777" w:rsidR="001D4E68" w:rsidRPr="007F31E3" w:rsidRDefault="001D4E68" w:rsidP="001D4E68"/>
    <w:p w14:paraId="518E05EB" w14:textId="77777777" w:rsidR="001D4E68" w:rsidRPr="007F31E3" w:rsidRDefault="001D4E68" w:rsidP="001D4E68"/>
    <w:p w14:paraId="5085F5FE" w14:textId="77777777" w:rsidR="001D4E68" w:rsidRPr="007F31E3" w:rsidRDefault="001D4E68" w:rsidP="001D4E68"/>
    <w:p w14:paraId="3E3AE126" w14:textId="77777777" w:rsidR="001D4E68" w:rsidRPr="007F31E3" w:rsidRDefault="001D4E68" w:rsidP="001D4E68"/>
    <w:p w14:paraId="73DC3A68" w14:textId="77777777" w:rsidR="001D4E68" w:rsidRPr="007F31E3" w:rsidRDefault="001D4E68" w:rsidP="001D4E68">
      <w:pPr>
        <w:pStyle w:val="Geenafstand"/>
        <w:jc w:val="center"/>
        <w:rPr>
          <w:color w:val="FFFFFF" w:themeColor="background1"/>
          <w:sz w:val="80"/>
          <w:szCs w:val="80"/>
        </w:rPr>
      </w:pPr>
    </w:p>
    <w:p w14:paraId="62B98C2F" w14:textId="77777777" w:rsidR="001D4E68" w:rsidRPr="007F31E3" w:rsidRDefault="001D4E68" w:rsidP="001D4E68">
      <w:pPr>
        <w:pStyle w:val="Geenafstand"/>
        <w:jc w:val="center"/>
        <w:rPr>
          <w:color w:val="FFFFFF" w:themeColor="background1"/>
          <w:sz w:val="80"/>
          <w:szCs w:val="80"/>
        </w:rPr>
      </w:pPr>
      <w:r w:rsidRPr="007F31E3">
        <w:rPr>
          <w:color w:val="FFFFFF" w:themeColor="background1"/>
          <w:sz w:val="80"/>
          <w:szCs w:val="80"/>
        </w:rPr>
        <w:t>Gas Decarbonisation Pathways for Estonia</w:t>
      </w:r>
    </w:p>
    <w:p w14:paraId="0343D034" w14:textId="77777777" w:rsidR="001D4E68" w:rsidRPr="007F31E3" w:rsidRDefault="001D4E68" w:rsidP="001D4E68">
      <w:pPr>
        <w:pStyle w:val="Geenafstand"/>
        <w:jc w:val="center"/>
        <w:rPr>
          <w:color w:val="FFFFFF" w:themeColor="background1"/>
          <w:sz w:val="80"/>
          <w:szCs w:val="80"/>
        </w:rPr>
      </w:pPr>
    </w:p>
    <w:p w14:paraId="4C26284C" w14:textId="77777777" w:rsidR="001D4E68" w:rsidRPr="007F31E3" w:rsidRDefault="001D4E68" w:rsidP="00BD7272">
      <w:pPr>
        <w:pStyle w:val="Geenafstand"/>
        <w:rPr>
          <w:color w:val="FFFFFF" w:themeColor="background1"/>
          <w:sz w:val="70"/>
          <w:szCs w:val="70"/>
        </w:rPr>
      </w:pPr>
    </w:p>
    <w:p w14:paraId="53913B6D" w14:textId="07AFF447" w:rsidR="00780201" w:rsidRPr="007054FE" w:rsidRDefault="001D0F54" w:rsidP="00780201">
      <w:pPr>
        <w:pStyle w:val="Geenafstand"/>
        <w:jc w:val="center"/>
        <w:rPr>
          <w:rFonts w:cs="Arial"/>
          <w:color w:val="FFFFFF" w:themeColor="background1"/>
          <w:sz w:val="76"/>
          <w:szCs w:val="76"/>
        </w:rPr>
      </w:pPr>
      <w:r w:rsidRPr="007054FE">
        <w:rPr>
          <w:color w:val="FFFFFF" w:themeColor="background1"/>
          <w:sz w:val="76"/>
          <w:szCs w:val="76"/>
        </w:rPr>
        <w:t>D</w:t>
      </w:r>
      <w:r w:rsidR="00C05722" w:rsidRPr="007054FE">
        <w:rPr>
          <w:color w:val="FFFFFF" w:themeColor="background1"/>
          <w:sz w:val="76"/>
          <w:szCs w:val="76"/>
        </w:rPr>
        <w:t>eliverable</w:t>
      </w:r>
      <w:r w:rsidRPr="007054FE">
        <w:rPr>
          <w:color w:val="FFFFFF" w:themeColor="background1"/>
          <w:sz w:val="76"/>
          <w:szCs w:val="76"/>
        </w:rPr>
        <w:t xml:space="preserve"> 2</w:t>
      </w:r>
      <w:r w:rsidR="002576D8">
        <w:rPr>
          <w:color w:val="FFFFFF" w:themeColor="background1"/>
          <w:sz w:val="76"/>
          <w:szCs w:val="76"/>
        </w:rPr>
        <w:t>:</w:t>
      </w:r>
      <w:r w:rsidR="00780201" w:rsidRPr="007054FE">
        <w:rPr>
          <w:color w:val="FFFFFF" w:themeColor="background1"/>
          <w:sz w:val="76"/>
          <w:szCs w:val="76"/>
        </w:rPr>
        <w:t xml:space="preserve"> </w:t>
      </w:r>
      <w:r w:rsidR="00780201" w:rsidRPr="007054FE">
        <w:rPr>
          <w:rFonts w:cs="Arial"/>
          <w:color w:val="FFFFFF" w:themeColor="background1"/>
          <w:sz w:val="76"/>
          <w:szCs w:val="76"/>
        </w:rPr>
        <w:t xml:space="preserve">Baseline </w:t>
      </w:r>
      <w:r w:rsidR="002576D8">
        <w:rPr>
          <w:rFonts w:cs="Arial"/>
          <w:color w:val="FFFFFF" w:themeColor="background1"/>
          <w:sz w:val="76"/>
          <w:szCs w:val="76"/>
        </w:rPr>
        <w:t>D</w:t>
      </w:r>
      <w:r w:rsidR="00780201" w:rsidRPr="007054FE">
        <w:rPr>
          <w:rFonts w:cs="Arial"/>
          <w:color w:val="FFFFFF" w:themeColor="background1"/>
          <w:sz w:val="76"/>
          <w:szCs w:val="76"/>
        </w:rPr>
        <w:t xml:space="preserve">ata </w:t>
      </w:r>
      <w:r w:rsidR="002576D8">
        <w:rPr>
          <w:rFonts w:cs="Arial"/>
          <w:color w:val="FFFFFF" w:themeColor="background1"/>
          <w:sz w:val="76"/>
          <w:szCs w:val="76"/>
        </w:rPr>
        <w:t>C</w:t>
      </w:r>
      <w:r w:rsidR="00780201" w:rsidRPr="007054FE">
        <w:rPr>
          <w:rFonts w:cs="Arial"/>
          <w:color w:val="FFFFFF" w:themeColor="background1"/>
          <w:sz w:val="76"/>
          <w:szCs w:val="76"/>
        </w:rPr>
        <w:t xml:space="preserve">ollection </w:t>
      </w:r>
      <w:r w:rsidR="002576D8">
        <w:rPr>
          <w:rFonts w:cs="Arial"/>
          <w:color w:val="FFFFFF" w:themeColor="background1"/>
          <w:sz w:val="76"/>
          <w:szCs w:val="76"/>
        </w:rPr>
        <w:t>R</w:t>
      </w:r>
      <w:r w:rsidR="00780201" w:rsidRPr="007054FE">
        <w:rPr>
          <w:rFonts w:cs="Arial"/>
          <w:color w:val="FFFFFF" w:themeColor="background1"/>
          <w:sz w:val="76"/>
          <w:szCs w:val="76"/>
        </w:rPr>
        <w:t>eport</w:t>
      </w:r>
    </w:p>
    <w:p w14:paraId="6EE4D089" w14:textId="05A1ADE0" w:rsidR="001D4E68" w:rsidRPr="007F31E3" w:rsidRDefault="001D4E68" w:rsidP="001D4E68">
      <w:pPr>
        <w:pStyle w:val="Geenafstand"/>
        <w:jc w:val="center"/>
        <w:rPr>
          <w:color w:val="FFFFFF" w:themeColor="background1"/>
          <w:sz w:val="70"/>
          <w:szCs w:val="70"/>
        </w:rPr>
      </w:pPr>
    </w:p>
    <w:p w14:paraId="1DBBB323" w14:textId="77777777" w:rsidR="001D4E68" w:rsidRDefault="001D4E68" w:rsidP="001D4E68">
      <w:pPr>
        <w:pStyle w:val="Geenafstand"/>
        <w:jc w:val="center"/>
        <w:rPr>
          <w:color w:val="FFFFFF" w:themeColor="background1"/>
          <w:sz w:val="70"/>
          <w:szCs w:val="70"/>
        </w:rPr>
      </w:pPr>
    </w:p>
    <w:p w14:paraId="15F41CFB" w14:textId="77777777" w:rsidR="001D4E68" w:rsidRPr="007F31E3" w:rsidRDefault="001D4E68" w:rsidP="001D4E68">
      <w:pPr>
        <w:pStyle w:val="Geenafstand"/>
        <w:jc w:val="center"/>
        <w:rPr>
          <w:color w:val="FFFFFF" w:themeColor="background1"/>
          <w:sz w:val="50"/>
          <w:szCs w:val="50"/>
        </w:rPr>
      </w:pPr>
    </w:p>
    <w:p w14:paraId="51088307" w14:textId="77777777" w:rsidR="001D4E68" w:rsidRPr="007F31E3" w:rsidRDefault="001D4E68" w:rsidP="001D4E68"/>
    <w:p w14:paraId="4E978613" w14:textId="77777777" w:rsidR="001D4E68" w:rsidRPr="007F31E3" w:rsidRDefault="001D4E68" w:rsidP="001D4E68"/>
    <w:p w14:paraId="25FF5B46" w14:textId="77777777" w:rsidR="001D4E68" w:rsidRPr="007F31E3" w:rsidRDefault="001D4E68" w:rsidP="001D4E68"/>
    <w:p w14:paraId="505D5423" w14:textId="77777777" w:rsidR="001D4E68" w:rsidRPr="007F31E3" w:rsidRDefault="001D4E68" w:rsidP="001D4E68">
      <w:pPr>
        <w:sectPr w:rsidR="001D4E68" w:rsidRPr="007F31E3" w:rsidSect="00137D79">
          <w:footerReference w:type="default" r:id="rId12"/>
          <w:type w:val="evenPage"/>
          <w:pgSz w:w="11906" w:h="16838"/>
          <w:pgMar w:top="1440" w:right="1440" w:bottom="1440" w:left="1440" w:header="708" w:footer="1958" w:gutter="0"/>
          <w:cols w:space="708"/>
          <w:docGrid w:linePitch="360"/>
        </w:sectPr>
      </w:pPr>
    </w:p>
    <w:p w14:paraId="27719609" w14:textId="77777777" w:rsidR="001D4E68" w:rsidRPr="007F31E3" w:rsidRDefault="001D4E68" w:rsidP="001D4E68">
      <w:r w:rsidRPr="007F31E3">
        <w:rPr>
          <w:noProof/>
          <w:lang w:eastAsia="fr-BE"/>
        </w:rPr>
        <w:lastRenderedPageBreak/>
        <mc:AlternateContent>
          <mc:Choice Requires="wps">
            <w:drawing>
              <wp:anchor distT="0" distB="0" distL="114300" distR="114300" simplePos="0" relativeHeight="251658240" behindDoc="1" locked="0" layoutInCell="1" allowOverlap="1" wp14:anchorId="2501AC93" wp14:editId="4C463DEC">
                <wp:simplePos x="0" y="0"/>
                <wp:positionH relativeFrom="margin">
                  <wp:align>center</wp:align>
                </wp:positionH>
                <wp:positionV relativeFrom="page">
                  <wp:posOffset>402590</wp:posOffset>
                </wp:positionV>
                <wp:extent cx="7077600" cy="10027104"/>
                <wp:effectExtent l="0" t="0" r="28575" b="12700"/>
                <wp:wrapNone/>
                <wp:docPr id="31" name="Rectangle 31"/>
                <wp:cNvGraphicFramePr/>
                <a:graphic xmlns:a="http://schemas.openxmlformats.org/drawingml/2006/main">
                  <a:graphicData uri="http://schemas.microsoft.com/office/word/2010/wordprocessingShape">
                    <wps:wsp>
                      <wps:cNvSpPr/>
                      <wps:spPr>
                        <a:xfrm>
                          <a:off x="0" y="0"/>
                          <a:ext cx="7077600" cy="10027104"/>
                        </a:xfrm>
                        <a:prstGeom prst="rect">
                          <a:avLst/>
                        </a:prstGeom>
                        <a:solidFill>
                          <a:srgbClr val="ECEBE1"/>
                        </a:solidFill>
                        <a:ln>
                          <a:solidFill>
                            <a:srgbClr val="ECEB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94118" w14:textId="77777777" w:rsidR="001D4E68" w:rsidRPr="009943EE" w:rsidRDefault="001D4E68" w:rsidP="001D4E68">
                            <w:pPr>
                              <w:ind w:left="0"/>
                              <w:jc w:val="center"/>
                              <w:rPr>
                                <w:i/>
                                <w:iCs/>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1AC93" id="Rectangle 31" o:spid="_x0000_s1026" style="position:absolute;left:0;text-align:left;margin-left:0;margin-top:31.7pt;width:557.3pt;height:789.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" fillcolor="#ecebe1" strokecolor="#ecebe1" strokeweight="2pt">
                <v:textbox>
                  <w:txbxContent>
                    <w:p w14:paraId="36094118" w14:textId="77777777" w:rsidR="001D4E68" w:rsidRPr="009943EE" w:rsidRDefault="001D4E68" w:rsidP="001D4E68">
                      <w:pPr>
                        <w:ind w:left="0"/>
                        <w:jc w:val="center"/>
                        <w:rPr>
                          <w:i/>
                          <w:iCs/>
                          <w:lang w:val="nl-BE"/>
                        </w:rPr>
                      </w:pPr>
                    </w:p>
                  </w:txbxContent>
                </v:textbox>
                <w10:wrap anchorx="margin" anchory="page"/>
              </v:rect>
            </w:pict>
          </mc:Fallback>
        </mc:AlternateContent>
      </w:r>
    </w:p>
    <w:p w14:paraId="4B95B082" w14:textId="77777777" w:rsidR="001D4E68" w:rsidRPr="007F31E3" w:rsidRDefault="001D4E68" w:rsidP="001D4E68"/>
    <w:p w14:paraId="48A151E1" w14:textId="77777777" w:rsidR="001D4E68" w:rsidRPr="007F31E3" w:rsidRDefault="001D4E68" w:rsidP="001D4E68"/>
    <w:p w14:paraId="6FCEF8BB" w14:textId="7B960AF8" w:rsidR="001D4E68" w:rsidRPr="007F31E3" w:rsidRDefault="00C05722" w:rsidP="001D4E68">
      <w:pPr>
        <w:pStyle w:val="Geenafstand"/>
        <w:rPr>
          <w:b/>
          <w:color w:val="F04E30"/>
        </w:rPr>
      </w:pPr>
      <w:r>
        <w:rPr>
          <w:b/>
          <w:color w:val="F04E30"/>
        </w:rPr>
        <w:t>Executive team for Deliverables 2 and 3</w:t>
      </w:r>
    </w:p>
    <w:p w14:paraId="72290F86" w14:textId="6DFCF491" w:rsidR="001D4E68" w:rsidRPr="00C05722" w:rsidRDefault="001D4E68" w:rsidP="001D4E68">
      <w:pPr>
        <w:rPr>
          <w:lang w:val="en-US"/>
        </w:rPr>
      </w:pPr>
      <w:r w:rsidRPr="00C05722">
        <w:rPr>
          <w:lang w:val="en-US"/>
        </w:rPr>
        <w:t>Luc van Nuffel (Trinomics)</w:t>
      </w:r>
      <w:r w:rsidR="00C05722" w:rsidRPr="00C05722">
        <w:rPr>
          <w:lang w:val="en-US"/>
        </w:rPr>
        <w:t xml:space="preserve"> Coordination</w:t>
      </w:r>
    </w:p>
    <w:p w14:paraId="008DAFB1" w14:textId="30621C71" w:rsidR="001D4E68" w:rsidRPr="00F0113B" w:rsidRDefault="722FA89B" w:rsidP="722FA89B">
      <w:pPr>
        <w:rPr>
          <w:lang w:val="it-IT"/>
        </w:rPr>
      </w:pPr>
      <w:r w:rsidRPr="722FA89B">
        <w:rPr>
          <w:lang w:val="it-IT"/>
        </w:rPr>
        <w:t>Lauri Tammiste (SEI)</w:t>
      </w:r>
    </w:p>
    <w:p w14:paraId="5699CA4E" w14:textId="5601E243" w:rsidR="001D4E68" w:rsidRDefault="001D4E68" w:rsidP="001D4E68">
      <w:r w:rsidRPr="003C34FD">
        <w:t>Blaine Lowry (SEI)</w:t>
      </w:r>
    </w:p>
    <w:p w14:paraId="6331C9A1" w14:textId="4ED9B224" w:rsidR="00220ECD" w:rsidRDefault="00220ECD" w:rsidP="00220ECD">
      <w:pPr>
        <w:rPr>
          <w:lang w:val="nl-BE"/>
        </w:rPr>
      </w:pPr>
      <w:r>
        <w:rPr>
          <w:lang w:val="nl-BE"/>
        </w:rPr>
        <w:t>Javad Kepour (SEI)</w:t>
      </w:r>
    </w:p>
    <w:p w14:paraId="1DB88A3B" w14:textId="77777777" w:rsidR="00220ECD" w:rsidRPr="003C34FD" w:rsidRDefault="00220ECD" w:rsidP="00220ECD">
      <w:r w:rsidRPr="003C34FD">
        <w:t>Jason Veysey (SEI)</w:t>
      </w:r>
    </w:p>
    <w:p w14:paraId="4100FD30" w14:textId="77777777" w:rsidR="00613D8D" w:rsidRDefault="00220ECD" w:rsidP="00220ECD">
      <w:r w:rsidRPr="003C34FD">
        <w:t>Tayyab Ehsan Butt (SEI)</w:t>
      </w:r>
    </w:p>
    <w:p w14:paraId="64F2E43B" w14:textId="1D96E5F7" w:rsidR="001D4E68" w:rsidRPr="003C34FD" w:rsidRDefault="00220ECD" w:rsidP="00220ECD">
      <w:r w:rsidRPr="003C34FD">
        <w:t>Gowtham Muthukumaran (SEI</w:t>
      </w:r>
      <w:r>
        <w:t>)</w:t>
      </w:r>
    </w:p>
    <w:p w14:paraId="2710AA0A" w14:textId="77777777" w:rsidR="001D4E68" w:rsidRPr="00B754F6" w:rsidRDefault="001D4E68" w:rsidP="001D4E68">
      <w:pPr>
        <w:pStyle w:val="Geenafstand"/>
        <w:rPr>
          <w:b/>
          <w:color w:val="F04E30"/>
          <w:lang w:val="pt-BR"/>
        </w:rPr>
      </w:pPr>
    </w:p>
    <w:p w14:paraId="455814F4" w14:textId="77777777" w:rsidR="001D4E68" w:rsidRPr="00504249" w:rsidRDefault="001D4E68" w:rsidP="001D4E68">
      <w:pPr>
        <w:pStyle w:val="Geenafstand"/>
        <w:rPr>
          <w:b/>
          <w:color w:val="F04E30"/>
          <w:lang w:val="nl-BE"/>
        </w:rPr>
      </w:pPr>
      <w:r w:rsidRPr="00504249">
        <w:rPr>
          <w:b/>
          <w:color w:val="F04E30"/>
          <w:lang w:val="nl-BE"/>
        </w:rPr>
        <w:t>Contact person</w:t>
      </w:r>
    </w:p>
    <w:p w14:paraId="5F28ADE1" w14:textId="77777777" w:rsidR="001D4E68" w:rsidRPr="00504249" w:rsidRDefault="001D4E68" w:rsidP="001D4E68">
      <w:pPr>
        <w:rPr>
          <w:lang w:val="nl-BE"/>
        </w:rPr>
      </w:pPr>
      <w:r w:rsidRPr="00504249">
        <w:rPr>
          <w:lang w:val="nl-BE"/>
        </w:rPr>
        <w:t>Luc van Nuffel</w:t>
      </w:r>
    </w:p>
    <w:p w14:paraId="36A37764" w14:textId="77777777" w:rsidR="001D4E68" w:rsidRPr="006A6380" w:rsidRDefault="001D4E68" w:rsidP="001D4E68">
      <w:pPr>
        <w:rPr>
          <w:lang w:val="de-DE"/>
        </w:rPr>
      </w:pPr>
      <w:r w:rsidRPr="006A6380">
        <w:rPr>
          <w:lang w:val="de-DE"/>
        </w:rPr>
        <w:t>T:  +32(0)478 65 26 37</w:t>
      </w:r>
    </w:p>
    <w:p w14:paraId="38280B53" w14:textId="77777777" w:rsidR="001D4E68" w:rsidRPr="00844448" w:rsidRDefault="001D4E68" w:rsidP="001D4E68">
      <w:pPr>
        <w:rPr>
          <w:lang w:val="de-DE"/>
        </w:rPr>
      </w:pPr>
      <w:r w:rsidRPr="00844448">
        <w:rPr>
          <w:lang w:val="de-DE"/>
        </w:rPr>
        <w:t>E: luc.vannuffel@trinomics.eu</w:t>
      </w:r>
    </w:p>
    <w:p w14:paraId="73473A61" w14:textId="77777777" w:rsidR="001D4E68" w:rsidRPr="00844448" w:rsidRDefault="001D4E68" w:rsidP="001D4E68">
      <w:pPr>
        <w:rPr>
          <w:lang w:val="de-DE"/>
        </w:rPr>
      </w:pPr>
    </w:p>
    <w:p w14:paraId="0E97832B" w14:textId="77777777" w:rsidR="001D4E68" w:rsidRPr="00844448" w:rsidRDefault="001D4E68" w:rsidP="001D4E68">
      <w:pPr>
        <w:rPr>
          <w:lang w:val="de-DE"/>
        </w:rPr>
      </w:pPr>
    </w:p>
    <w:p w14:paraId="658FB9B2" w14:textId="77777777" w:rsidR="001D4E68" w:rsidRPr="006A6380" w:rsidRDefault="001D4E68" w:rsidP="001D4E68">
      <w:pPr>
        <w:pStyle w:val="Geenafstand"/>
        <w:rPr>
          <w:b/>
          <w:color w:val="F04E30"/>
          <w:lang w:val="en-CA"/>
        </w:rPr>
      </w:pPr>
      <w:r w:rsidRPr="006A6380">
        <w:rPr>
          <w:b/>
          <w:color w:val="F04E30"/>
          <w:lang w:val="en-CA"/>
        </w:rPr>
        <w:t>Date</w:t>
      </w:r>
    </w:p>
    <w:p w14:paraId="55D3E0E4" w14:textId="27556313" w:rsidR="001D4E68" w:rsidRDefault="001D4E68" w:rsidP="001D4E68">
      <w:pPr>
        <w:spacing w:line="276" w:lineRule="auto"/>
      </w:pPr>
      <w:r w:rsidRPr="007F31E3">
        <w:t>Rotterdam</w:t>
      </w:r>
      <w:r w:rsidRPr="00B43EAE">
        <w:t xml:space="preserve">, </w:t>
      </w:r>
      <w:r w:rsidR="00CE50FF">
        <w:t>20</w:t>
      </w:r>
      <w:r w:rsidR="00B6722D">
        <w:t xml:space="preserve"> September</w:t>
      </w:r>
      <w:r w:rsidRPr="007F31E3">
        <w:t xml:space="preserve"> 2022</w:t>
      </w:r>
    </w:p>
    <w:p w14:paraId="5696323F" w14:textId="77777777" w:rsidR="00240B13" w:rsidRDefault="00240B13" w:rsidP="001D4E68">
      <w:pPr>
        <w:spacing w:line="276" w:lineRule="auto"/>
      </w:pPr>
    </w:p>
    <w:p w14:paraId="74DF78E5" w14:textId="77777777" w:rsidR="00240B13" w:rsidRDefault="00240B13" w:rsidP="001D4E68">
      <w:pPr>
        <w:spacing w:line="276" w:lineRule="auto"/>
      </w:pPr>
    </w:p>
    <w:p w14:paraId="6EF3C325" w14:textId="77777777" w:rsidR="00240B13" w:rsidRPr="00CB2B75" w:rsidRDefault="00240B13" w:rsidP="00240B13">
      <w:pPr>
        <w:pStyle w:val="Geenafstand"/>
        <w:rPr>
          <w:rFonts w:ascii="Arial" w:hAnsi="Arial" w:cs="Arial"/>
          <w:b/>
          <w:color w:val="F04E30"/>
        </w:rPr>
      </w:pPr>
      <w:r>
        <w:rPr>
          <w:rFonts w:ascii="Arial" w:hAnsi="Arial" w:cs="Arial"/>
          <w:b/>
          <w:color w:val="F04E30"/>
        </w:rPr>
        <w:t>Acknowledgement</w:t>
      </w:r>
    </w:p>
    <w:p w14:paraId="18926040" w14:textId="77777777" w:rsidR="00240B13" w:rsidRDefault="00240B13" w:rsidP="00240B13">
      <w:pPr>
        <w:rPr>
          <w:rFonts w:cs="Arial"/>
        </w:rPr>
      </w:pPr>
      <w:r>
        <w:rPr>
          <w:rFonts w:cs="Arial"/>
        </w:rPr>
        <w:t xml:space="preserve">This study </w:t>
      </w:r>
      <w:r w:rsidRPr="00026B24">
        <w:rPr>
          <w:rFonts w:cs="Arial"/>
        </w:rPr>
        <w:t>was carried out with funding by the European Union via the Structural Reform Support Programme and in cooperation with the Directorate General for Structural Reform Support of the European Commission</w:t>
      </w:r>
      <w:r>
        <w:rPr>
          <w:rFonts w:cs="Arial"/>
        </w:rPr>
        <w:t>.</w:t>
      </w:r>
    </w:p>
    <w:p w14:paraId="428329D4" w14:textId="77777777" w:rsidR="00240B13" w:rsidRPr="00CB2B75" w:rsidRDefault="00240B13" w:rsidP="00240B13">
      <w:pPr>
        <w:rPr>
          <w:rFonts w:cs="Arial"/>
        </w:rPr>
      </w:pPr>
    </w:p>
    <w:p w14:paraId="3CE874CB" w14:textId="77777777" w:rsidR="00240B13" w:rsidRPr="00CB2B75" w:rsidRDefault="00240B13" w:rsidP="00240B13">
      <w:pPr>
        <w:pStyle w:val="Geenafstand"/>
        <w:rPr>
          <w:rFonts w:ascii="Arial" w:hAnsi="Arial" w:cs="Arial"/>
          <w:b/>
          <w:color w:val="F04E30"/>
        </w:rPr>
      </w:pPr>
      <w:r w:rsidRPr="00CB2B75">
        <w:rPr>
          <w:rFonts w:ascii="Arial" w:hAnsi="Arial" w:cs="Arial"/>
          <w:b/>
          <w:color w:val="F04E30"/>
        </w:rPr>
        <w:t>Disclaimer</w:t>
      </w:r>
    </w:p>
    <w:p w14:paraId="3CD5743A" w14:textId="77777777" w:rsidR="00240B13" w:rsidRPr="00485F6B" w:rsidRDefault="00240B13" w:rsidP="00240B13">
      <w:pPr>
        <w:rPr>
          <w:rFonts w:cs="Arial"/>
        </w:rPr>
      </w:pPr>
      <w:r w:rsidRPr="00485F6B">
        <w:rPr>
          <w:rFonts w:cs="Arial"/>
        </w:rPr>
        <w:t xml:space="preserve">The views expressed in this report are purely those of the writers and may not in any circumstances be regarded as stating an official position of DG </w:t>
      </w:r>
      <w:r>
        <w:rPr>
          <w:rFonts w:cs="Arial"/>
        </w:rPr>
        <w:t>Reform</w:t>
      </w:r>
      <w:r w:rsidRPr="00485F6B">
        <w:rPr>
          <w:rFonts w:cs="Arial"/>
        </w:rPr>
        <w:t xml:space="preserve"> or the European Commission.</w:t>
      </w:r>
    </w:p>
    <w:p w14:paraId="44F2E0F5" w14:textId="77777777" w:rsidR="00240B13" w:rsidRPr="007F31E3" w:rsidRDefault="00240B13" w:rsidP="00240B13">
      <w:pPr>
        <w:spacing w:line="276" w:lineRule="auto"/>
        <w:ind w:left="0"/>
      </w:pPr>
    </w:p>
    <w:p w14:paraId="3C677501" w14:textId="77777777" w:rsidR="001D4E68" w:rsidRPr="007F31E3" w:rsidRDefault="001D4E68" w:rsidP="001D4E68">
      <w:pPr>
        <w:spacing w:line="276" w:lineRule="auto"/>
      </w:pPr>
    </w:p>
    <w:p w14:paraId="68006999" w14:textId="77777777" w:rsidR="001D4E68" w:rsidRPr="007F31E3" w:rsidRDefault="001D4E68" w:rsidP="001D4E68">
      <w:pPr>
        <w:spacing w:line="276" w:lineRule="auto"/>
      </w:pPr>
    </w:p>
    <w:p w14:paraId="72E0024C" w14:textId="77777777" w:rsidR="001D4E68" w:rsidRPr="007F31E3" w:rsidRDefault="001D4E68" w:rsidP="001D4E68">
      <w:pPr>
        <w:spacing w:line="276" w:lineRule="auto"/>
      </w:pPr>
    </w:p>
    <w:p w14:paraId="16C51725" w14:textId="77777777" w:rsidR="001D4E68" w:rsidRPr="007F31E3" w:rsidRDefault="001D4E68" w:rsidP="001D4E68">
      <w:pPr>
        <w:spacing w:line="276" w:lineRule="auto"/>
      </w:pPr>
    </w:p>
    <w:p w14:paraId="2215B1E5" w14:textId="77777777" w:rsidR="001D4E68" w:rsidRPr="007F31E3" w:rsidRDefault="001D4E68" w:rsidP="001D4E68">
      <w:pPr>
        <w:spacing w:line="276" w:lineRule="auto"/>
      </w:pPr>
    </w:p>
    <w:p w14:paraId="355674A9" w14:textId="77777777" w:rsidR="001D4E68" w:rsidRPr="007F31E3" w:rsidRDefault="001D4E68" w:rsidP="001D4E68">
      <w:pPr>
        <w:spacing w:line="276" w:lineRule="auto"/>
      </w:pPr>
    </w:p>
    <w:p w14:paraId="50C64266" w14:textId="77777777" w:rsidR="001D4E68" w:rsidRPr="007F31E3" w:rsidRDefault="001D4E68" w:rsidP="001D4E68">
      <w:pPr>
        <w:spacing w:line="276" w:lineRule="auto"/>
      </w:pPr>
    </w:p>
    <w:p w14:paraId="60EE1613" w14:textId="77777777" w:rsidR="001D4E68" w:rsidRPr="007F31E3" w:rsidRDefault="001D4E68" w:rsidP="001D4E68">
      <w:pPr>
        <w:spacing w:line="276" w:lineRule="auto"/>
      </w:pPr>
    </w:p>
    <w:p w14:paraId="28D1BAA2" w14:textId="77777777" w:rsidR="001D4E68" w:rsidRPr="007F31E3" w:rsidRDefault="001D4E68" w:rsidP="001D4E68">
      <w:pPr>
        <w:spacing w:line="276" w:lineRule="auto"/>
      </w:pPr>
    </w:p>
    <w:p w14:paraId="10F1A9A1" w14:textId="77777777" w:rsidR="001D4E68" w:rsidRPr="007F31E3" w:rsidRDefault="001D4E68" w:rsidP="001D4E68">
      <w:pPr>
        <w:spacing w:line="276" w:lineRule="auto"/>
      </w:pPr>
    </w:p>
    <w:p w14:paraId="220531A0" w14:textId="77777777" w:rsidR="001D4E68" w:rsidRPr="007F31E3" w:rsidRDefault="001D4E68" w:rsidP="001D4E68">
      <w:pPr>
        <w:spacing w:line="276" w:lineRule="auto"/>
      </w:pPr>
    </w:p>
    <w:p w14:paraId="3C4D7A14" w14:textId="77777777" w:rsidR="001D4E68" w:rsidRPr="007F31E3" w:rsidRDefault="001D4E68" w:rsidP="001D4E68">
      <w:pPr>
        <w:spacing w:line="276" w:lineRule="auto"/>
      </w:pPr>
    </w:p>
    <w:p w14:paraId="03511887" w14:textId="77777777" w:rsidR="001D4E68" w:rsidRPr="007F31E3" w:rsidRDefault="001D4E68" w:rsidP="001D4E68">
      <w:pPr>
        <w:spacing w:line="276" w:lineRule="auto"/>
      </w:pPr>
    </w:p>
    <w:p w14:paraId="59269C8D" w14:textId="77777777" w:rsidR="001D4E68" w:rsidRPr="007F31E3" w:rsidRDefault="001D4E68" w:rsidP="001D4E68">
      <w:pPr>
        <w:spacing w:line="276" w:lineRule="auto"/>
      </w:pPr>
    </w:p>
    <w:p w14:paraId="3950BF31" w14:textId="77777777" w:rsidR="001D4E68" w:rsidRPr="007F31E3" w:rsidRDefault="001D4E68" w:rsidP="001D4E68">
      <w:pPr>
        <w:spacing w:line="276" w:lineRule="auto"/>
      </w:pPr>
    </w:p>
    <w:p w14:paraId="69C38FD8" w14:textId="77777777" w:rsidR="001D4E68" w:rsidRPr="007F31E3" w:rsidRDefault="001D4E68" w:rsidP="001D4E68">
      <w:pPr>
        <w:spacing w:line="276" w:lineRule="auto"/>
      </w:pPr>
    </w:p>
    <w:p w14:paraId="0E723188" w14:textId="77777777" w:rsidR="001D4E68" w:rsidRPr="007F31E3" w:rsidRDefault="001D4E68" w:rsidP="001D4E68">
      <w:pPr>
        <w:spacing w:line="276" w:lineRule="auto"/>
      </w:pPr>
    </w:p>
    <w:p w14:paraId="4DE2DCA3" w14:textId="77777777" w:rsidR="001D4E68" w:rsidRPr="007F31E3" w:rsidRDefault="001D4E68" w:rsidP="001D4E68">
      <w:pPr>
        <w:spacing w:line="276" w:lineRule="auto"/>
      </w:pPr>
    </w:p>
    <w:p w14:paraId="133735D4" w14:textId="77777777" w:rsidR="001D4E68" w:rsidRPr="007F31E3" w:rsidRDefault="001D4E68" w:rsidP="001D4E68">
      <w:pPr>
        <w:spacing w:line="276" w:lineRule="auto"/>
      </w:pPr>
    </w:p>
    <w:p w14:paraId="4818CCF9" w14:textId="77777777" w:rsidR="001D4E68" w:rsidRPr="007F31E3" w:rsidRDefault="001D4E68" w:rsidP="001D4E68">
      <w:pPr>
        <w:spacing w:line="276" w:lineRule="auto"/>
      </w:pPr>
    </w:p>
    <w:p w14:paraId="5AE7A665" w14:textId="77777777" w:rsidR="001D4E68" w:rsidRPr="007F31E3" w:rsidRDefault="001D4E68" w:rsidP="00240B13">
      <w:pPr>
        <w:ind w:left="0"/>
        <w:sectPr w:rsidR="001D4E68" w:rsidRPr="007F31E3">
          <w:footerReference w:type="default" r:id="rId13"/>
          <w:pgSz w:w="11906" w:h="16838"/>
          <w:pgMar w:top="1440" w:right="1440" w:bottom="1440" w:left="1440" w:header="708" w:footer="708" w:gutter="0"/>
          <w:cols w:space="708"/>
          <w:docGrid w:linePitch="360"/>
        </w:sectPr>
      </w:pPr>
    </w:p>
    <w:p w14:paraId="03E765A9" w14:textId="68A7455C" w:rsidR="001D4E68" w:rsidRPr="007F31E3" w:rsidRDefault="001D4E68" w:rsidP="001D4E68"/>
    <w:p w14:paraId="5F33A643" w14:textId="49963815" w:rsidR="001D4E68" w:rsidRPr="007F31E3" w:rsidRDefault="00193F43" w:rsidP="001D4E68">
      <w:r>
        <w:rPr>
          <w:noProof/>
          <w:lang w:val="et-EE" w:eastAsia="et-EE"/>
        </w:rPr>
        <w:drawing>
          <wp:anchor distT="0" distB="0" distL="114300" distR="114300" simplePos="0" relativeHeight="251658251" behindDoc="1" locked="0" layoutInCell="1" allowOverlap="1" wp14:anchorId="2D4CDF1B" wp14:editId="46E50EDA">
            <wp:simplePos x="0" y="0"/>
            <wp:positionH relativeFrom="margin">
              <wp:posOffset>1933575</wp:posOffset>
            </wp:positionH>
            <wp:positionV relativeFrom="paragraph">
              <wp:posOffset>8890</wp:posOffset>
            </wp:positionV>
            <wp:extent cx="1959081" cy="1266825"/>
            <wp:effectExtent l="0" t="0" r="3175" b="0"/>
            <wp:wrapNone/>
            <wp:docPr id="82" name="Picture 82" descr="European Commiss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ropean Commission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9081"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E3613" w14:textId="77777777" w:rsidR="001D4E68" w:rsidRPr="007F31E3" w:rsidRDefault="001D4E68" w:rsidP="001D4E68"/>
    <w:p w14:paraId="13ED59A9" w14:textId="1FF9287C" w:rsidR="001D4E68" w:rsidRPr="007F31E3" w:rsidRDefault="001D4E68" w:rsidP="001D4E68"/>
    <w:p w14:paraId="13956B4F" w14:textId="077B819E" w:rsidR="001D4E68" w:rsidRPr="007F31E3" w:rsidRDefault="00E213C4" w:rsidP="001D4E68">
      <w:r>
        <w:rPr>
          <w:noProof/>
          <w:lang w:val="et-EE" w:eastAsia="et-EE"/>
        </w:rPr>
        <w:t xml:space="preserve">  </w:t>
      </w:r>
    </w:p>
    <w:p w14:paraId="6642710A" w14:textId="77777777" w:rsidR="001D4E68" w:rsidRPr="007F31E3" w:rsidRDefault="001D4E68" w:rsidP="001D4E68"/>
    <w:p w14:paraId="1DF78771" w14:textId="77777777" w:rsidR="001D4E68" w:rsidRPr="007F31E3" w:rsidRDefault="001D4E68" w:rsidP="001D4E68"/>
    <w:p w14:paraId="3C13C8BA" w14:textId="1ADF8F61" w:rsidR="001D4E68" w:rsidRPr="007F31E3" w:rsidRDefault="001D4E68" w:rsidP="001D4E68"/>
    <w:p w14:paraId="1B656365" w14:textId="047EFCDA" w:rsidR="00E213C4" w:rsidRDefault="00193F43" w:rsidP="001D4E68">
      <w:pPr>
        <w:rPr>
          <w:noProof/>
          <w:lang w:eastAsia="fr-BE"/>
        </w:rPr>
      </w:pPr>
      <w:r w:rsidRPr="007F31E3">
        <w:rPr>
          <w:noProof/>
          <w:lang w:eastAsia="fr-BE"/>
        </w:rPr>
        <w:drawing>
          <wp:anchor distT="0" distB="0" distL="114300" distR="114300" simplePos="0" relativeHeight="251658243" behindDoc="1" locked="0" layoutInCell="1" allowOverlap="1" wp14:anchorId="3DC25B41" wp14:editId="088B256A">
            <wp:simplePos x="0" y="0"/>
            <wp:positionH relativeFrom="margin">
              <wp:posOffset>2038350</wp:posOffset>
            </wp:positionH>
            <wp:positionV relativeFrom="paragraph">
              <wp:posOffset>133350</wp:posOffset>
            </wp:positionV>
            <wp:extent cx="1788932" cy="55245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070" cy="553419"/>
                    </a:xfrm>
                    <a:prstGeom prst="rect">
                      <a:avLst/>
                    </a:prstGeom>
                  </pic:spPr>
                </pic:pic>
              </a:graphicData>
            </a:graphic>
            <wp14:sizeRelH relativeFrom="page">
              <wp14:pctWidth>0</wp14:pctWidth>
            </wp14:sizeRelH>
            <wp14:sizeRelV relativeFrom="page">
              <wp14:pctHeight>0</wp14:pctHeight>
            </wp14:sizeRelV>
          </wp:anchor>
        </w:drawing>
      </w:r>
    </w:p>
    <w:p w14:paraId="50523488" w14:textId="7BDFBA9B" w:rsidR="00E213C4" w:rsidRDefault="00E213C4" w:rsidP="001D4E68">
      <w:pPr>
        <w:rPr>
          <w:noProof/>
          <w:lang w:eastAsia="fr-BE"/>
        </w:rPr>
      </w:pPr>
    </w:p>
    <w:p w14:paraId="74F8A19A" w14:textId="23DCE8D4" w:rsidR="00E213C4" w:rsidRDefault="00E213C4" w:rsidP="001D4E68">
      <w:pPr>
        <w:rPr>
          <w:noProof/>
          <w:lang w:eastAsia="fr-BE"/>
        </w:rPr>
      </w:pPr>
    </w:p>
    <w:p w14:paraId="57F12846" w14:textId="77777777" w:rsidR="00E213C4" w:rsidRDefault="00E213C4" w:rsidP="001D4E68">
      <w:pPr>
        <w:rPr>
          <w:noProof/>
          <w:lang w:eastAsia="fr-BE"/>
        </w:rPr>
      </w:pPr>
    </w:p>
    <w:p w14:paraId="5A0E43AC" w14:textId="77777777" w:rsidR="00E213C4" w:rsidRDefault="00E213C4" w:rsidP="001D4E68">
      <w:pPr>
        <w:rPr>
          <w:noProof/>
          <w:lang w:eastAsia="fr-BE"/>
        </w:rPr>
      </w:pPr>
    </w:p>
    <w:p w14:paraId="50C5A97D" w14:textId="77777777" w:rsidR="001D4E68" w:rsidRPr="007F31E3" w:rsidRDefault="001D4E68" w:rsidP="00E213C4">
      <w:pPr>
        <w:ind w:left="0"/>
      </w:pPr>
    </w:p>
    <w:p w14:paraId="4A03EEB6" w14:textId="77777777" w:rsidR="001D4E68" w:rsidRPr="007F31E3" w:rsidRDefault="001D4E68" w:rsidP="001D4E68"/>
    <w:p w14:paraId="13E98ED7" w14:textId="57706647" w:rsidR="001D4E68" w:rsidRPr="007F31E3" w:rsidRDefault="001D4E68" w:rsidP="001D4E68">
      <w:pPr>
        <w:pStyle w:val="Geenafstand"/>
        <w:spacing w:line="300" w:lineRule="atLeast"/>
        <w:jc w:val="center"/>
        <w:rPr>
          <w:b/>
          <w:color w:val="F04E30"/>
          <w:sz w:val="24"/>
          <w:szCs w:val="24"/>
        </w:rPr>
      </w:pPr>
      <w:r w:rsidRPr="007F31E3">
        <w:rPr>
          <w:b/>
          <w:color w:val="F04E30"/>
          <w:sz w:val="24"/>
          <w:szCs w:val="24"/>
        </w:rPr>
        <w:t xml:space="preserve">Rotterdam, </w:t>
      </w:r>
      <w:r w:rsidR="00FC1080">
        <w:rPr>
          <w:b/>
          <w:color w:val="F04E30"/>
          <w:sz w:val="24"/>
          <w:szCs w:val="24"/>
        </w:rPr>
        <w:t>20</w:t>
      </w:r>
      <w:r w:rsidR="00B6722D">
        <w:rPr>
          <w:b/>
          <w:color w:val="F04E30"/>
          <w:sz w:val="24"/>
          <w:szCs w:val="24"/>
        </w:rPr>
        <w:t xml:space="preserve"> September</w:t>
      </w:r>
      <w:r w:rsidRPr="007F31E3">
        <w:rPr>
          <w:b/>
          <w:color w:val="F04E30"/>
          <w:sz w:val="24"/>
          <w:szCs w:val="24"/>
        </w:rPr>
        <w:t xml:space="preserve"> 2022</w:t>
      </w:r>
    </w:p>
    <w:p w14:paraId="021995F7" w14:textId="77777777" w:rsidR="001D4E68" w:rsidRPr="007F31E3" w:rsidRDefault="001D4E68" w:rsidP="001D4E68">
      <w:pPr>
        <w:pStyle w:val="Geenafstand"/>
        <w:spacing w:line="300" w:lineRule="atLeast"/>
        <w:jc w:val="center"/>
        <w:rPr>
          <w:b/>
          <w:color w:val="F04E30"/>
          <w:sz w:val="24"/>
          <w:szCs w:val="24"/>
        </w:rPr>
      </w:pPr>
    </w:p>
    <w:p w14:paraId="2A9ADFA0" w14:textId="77777777" w:rsidR="001D4E68" w:rsidRPr="007F31E3" w:rsidRDefault="001D4E68" w:rsidP="001D4E68">
      <w:pPr>
        <w:pStyle w:val="Geenafstand"/>
        <w:spacing w:line="300" w:lineRule="atLeast"/>
        <w:jc w:val="center"/>
        <w:rPr>
          <w:b/>
          <w:color w:val="F04E30"/>
          <w:sz w:val="24"/>
          <w:szCs w:val="24"/>
        </w:rPr>
      </w:pPr>
    </w:p>
    <w:p w14:paraId="1281CE21" w14:textId="77777777" w:rsidR="001D4E68" w:rsidRPr="007F31E3" w:rsidRDefault="001D4E68" w:rsidP="001D4E68">
      <w:pPr>
        <w:pStyle w:val="Geenafstand"/>
        <w:spacing w:line="300" w:lineRule="atLeast"/>
        <w:jc w:val="center"/>
        <w:rPr>
          <w:b/>
          <w:color w:val="F04E30"/>
          <w:sz w:val="24"/>
          <w:szCs w:val="24"/>
        </w:rPr>
      </w:pPr>
    </w:p>
    <w:p w14:paraId="18CD79AB" w14:textId="77777777" w:rsidR="001D4E68" w:rsidRPr="007F31E3" w:rsidRDefault="001D4E68" w:rsidP="001D4E68">
      <w:pPr>
        <w:ind w:left="0"/>
        <w:jc w:val="center"/>
      </w:pPr>
      <w:r w:rsidRPr="007F31E3">
        <w:rPr>
          <w:b/>
          <w:i/>
          <w:color w:val="F04E30"/>
          <w:sz w:val="24"/>
          <w:szCs w:val="24"/>
        </w:rPr>
        <w:t>Gas Decarbonisation Pathways for Estonia</w:t>
      </w:r>
    </w:p>
    <w:p w14:paraId="1DC15902" w14:textId="77777777" w:rsidR="001D4E68" w:rsidRPr="007F31E3" w:rsidRDefault="001D4E68" w:rsidP="001D4E68"/>
    <w:p w14:paraId="1D806AEF" w14:textId="77777777" w:rsidR="001D4E68" w:rsidRPr="007F31E3" w:rsidRDefault="001D4E68" w:rsidP="001D4E68"/>
    <w:p w14:paraId="6293180E" w14:textId="77777777" w:rsidR="001D4E68" w:rsidRPr="007F31E3" w:rsidRDefault="001D4E68" w:rsidP="001D4E68"/>
    <w:p w14:paraId="400ECAFF" w14:textId="77777777" w:rsidR="001D4E68" w:rsidRPr="007F31E3" w:rsidRDefault="001D4E68" w:rsidP="001D4E68"/>
    <w:p w14:paraId="128E606C" w14:textId="77777777" w:rsidR="001D4E68" w:rsidRPr="007F31E3" w:rsidRDefault="001D4E68" w:rsidP="001D4E68">
      <w:pPr>
        <w:rPr>
          <w:b/>
          <w:color w:val="002C54"/>
          <w:sz w:val="24"/>
          <w:szCs w:val="24"/>
        </w:rPr>
      </w:pPr>
      <w:r w:rsidRPr="007F31E3">
        <w:rPr>
          <w:b/>
          <w:color w:val="002C54"/>
          <w:sz w:val="24"/>
          <w:szCs w:val="24"/>
        </w:rPr>
        <w:t>In association with:</w:t>
      </w:r>
    </w:p>
    <w:p w14:paraId="7B15C328" w14:textId="77777777" w:rsidR="001D4E68" w:rsidRPr="007F31E3" w:rsidRDefault="001D4E68" w:rsidP="001D4E68"/>
    <w:p w14:paraId="0CECD104" w14:textId="77777777" w:rsidR="001D4E68" w:rsidRPr="007F31E3" w:rsidRDefault="001D4E68" w:rsidP="001D4E68"/>
    <w:p w14:paraId="741B471D" w14:textId="77777777" w:rsidR="001D4E68" w:rsidRPr="007F31E3" w:rsidRDefault="001D4E68" w:rsidP="001D4E68">
      <w:r w:rsidRPr="007F31E3">
        <w:rPr>
          <w:noProof/>
          <w:lang w:eastAsia="en-GB"/>
        </w:rPr>
        <w:drawing>
          <wp:anchor distT="0" distB="0" distL="114300" distR="114300" simplePos="0" relativeHeight="251658247" behindDoc="0" locked="0" layoutInCell="1" allowOverlap="1" wp14:anchorId="2BE4890E" wp14:editId="796AB812">
            <wp:simplePos x="0" y="0"/>
            <wp:positionH relativeFrom="column">
              <wp:posOffset>516476</wp:posOffset>
            </wp:positionH>
            <wp:positionV relativeFrom="paragraph">
              <wp:posOffset>95885</wp:posOffset>
            </wp:positionV>
            <wp:extent cx="2013967" cy="1046217"/>
            <wp:effectExtent l="0" t="0" r="5715" b="1905"/>
            <wp:wrapNone/>
            <wp:docPr id="84" name="Picture 30" descr="Logo, company name&#10;&#10;Description automatically generated">
              <a:extLst xmlns:a="http://schemas.openxmlformats.org/drawingml/2006/main">
                <a:ext uri="{FF2B5EF4-FFF2-40B4-BE49-F238E27FC236}">
                  <a16:creationId xmlns:a16="http://schemas.microsoft.com/office/drawing/2014/main" id="{61507434-2A2C-45B7-9223-31BE9AAE1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0" descr="Logo, company name&#10;&#10;Description automatically generated">
                      <a:extLst>
                        <a:ext uri="{FF2B5EF4-FFF2-40B4-BE49-F238E27FC236}">
                          <a16:creationId xmlns:a16="http://schemas.microsoft.com/office/drawing/2014/main" id="{61507434-2A2C-45B7-9223-31BE9AAE16D0}"/>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3967" cy="10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41A5F" w14:textId="77777777" w:rsidR="001D4E68" w:rsidRPr="007F31E3" w:rsidRDefault="001D4E68" w:rsidP="001D4E68">
      <w:r w:rsidRPr="007F31E3">
        <w:rPr>
          <w:noProof/>
          <w:lang w:eastAsia="en-GB"/>
        </w:rPr>
        <w:drawing>
          <wp:anchor distT="0" distB="0" distL="114300" distR="114300" simplePos="0" relativeHeight="251658248" behindDoc="0" locked="0" layoutInCell="1" allowOverlap="1" wp14:anchorId="0E249084" wp14:editId="2BC8C2BD">
            <wp:simplePos x="0" y="0"/>
            <wp:positionH relativeFrom="column">
              <wp:posOffset>2949686</wp:posOffset>
            </wp:positionH>
            <wp:positionV relativeFrom="paragraph">
              <wp:posOffset>48260</wp:posOffset>
            </wp:positionV>
            <wp:extent cx="2401272" cy="689361"/>
            <wp:effectExtent l="0" t="0" r="0" b="0"/>
            <wp:wrapNone/>
            <wp:docPr id="85" name="Picture 31" descr="Image result for e3m modelling">
              <a:extLst xmlns:a="http://schemas.openxmlformats.org/drawingml/2006/main">
                <a:ext uri="{FF2B5EF4-FFF2-40B4-BE49-F238E27FC236}">
                  <a16:creationId xmlns:a16="http://schemas.microsoft.com/office/drawing/2014/main" id="{B56D6D31-0710-4E34-A30B-EB5068F93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mage result for e3m modelling">
                      <a:extLst>
                        <a:ext uri="{FF2B5EF4-FFF2-40B4-BE49-F238E27FC236}">
                          <a16:creationId xmlns:a16="http://schemas.microsoft.com/office/drawing/2014/main" id="{B56D6D31-0710-4E34-A30B-EB5068F93C36}"/>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272" cy="689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48BA6" w14:textId="77777777" w:rsidR="001D4E68" w:rsidRPr="007F31E3" w:rsidRDefault="001D4E68" w:rsidP="001D4E68"/>
    <w:p w14:paraId="0B9E30AE" w14:textId="77777777" w:rsidR="001D4E68" w:rsidRPr="007F31E3" w:rsidRDefault="001D4E68" w:rsidP="001D4E68">
      <w:pPr>
        <w:sectPr w:rsidR="001D4E68" w:rsidRPr="007F31E3">
          <w:footerReference w:type="default" r:id="rId18"/>
          <w:pgSz w:w="11906" w:h="16838"/>
          <w:pgMar w:top="1440" w:right="1440" w:bottom="1440" w:left="1440" w:header="708" w:footer="708" w:gutter="0"/>
          <w:cols w:space="708"/>
          <w:docGrid w:linePitch="360"/>
        </w:sectPr>
      </w:pPr>
    </w:p>
    <w:p w14:paraId="4EBE40BA" w14:textId="77777777" w:rsidR="001D4E68" w:rsidRPr="007F31E3" w:rsidRDefault="001D4E68" w:rsidP="00C37F08">
      <w:pPr>
        <w:ind w:left="0"/>
        <w:jc w:val="center"/>
        <w:rPr>
          <w:b/>
          <w:color w:val="F04E30"/>
          <w:sz w:val="24"/>
          <w:szCs w:val="24"/>
        </w:rPr>
      </w:pPr>
      <w:r w:rsidRPr="007F31E3">
        <w:rPr>
          <w:b/>
          <w:color w:val="F04E30"/>
          <w:sz w:val="24"/>
          <w:szCs w:val="24"/>
        </w:rPr>
        <w:lastRenderedPageBreak/>
        <w:t>CONTENTS</w:t>
      </w:r>
    </w:p>
    <w:p w14:paraId="73C5FE47" w14:textId="77777777" w:rsidR="001D4E68" w:rsidRPr="007F31E3" w:rsidRDefault="001D4E68" w:rsidP="001D4E68"/>
    <w:p w14:paraId="0230142F" w14:textId="4A935B2F" w:rsidR="00FC1080" w:rsidRDefault="001D4E68">
      <w:pPr>
        <w:pStyle w:val="Inhopg1"/>
        <w:rPr>
          <w:rFonts w:asciiTheme="minorHAnsi" w:eastAsiaTheme="minorEastAsia" w:hAnsiTheme="minorHAnsi"/>
          <w:b w:val="0"/>
          <w:bCs w:val="0"/>
          <w:noProof/>
          <w:color w:val="auto"/>
          <w:szCs w:val="22"/>
          <w:lang w:eastAsia="en-GB"/>
        </w:rPr>
      </w:pPr>
      <w:r>
        <w:rPr>
          <w:sz w:val="28"/>
        </w:rPr>
        <w:fldChar w:fldCharType="begin"/>
      </w:r>
      <w:r>
        <w:rPr>
          <w:sz w:val="28"/>
        </w:rPr>
        <w:instrText xml:space="preserve"> TOC \o "1-2" \h \z \u </w:instrText>
      </w:r>
      <w:r>
        <w:rPr>
          <w:sz w:val="28"/>
        </w:rPr>
        <w:fldChar w:fldCharType="separate"/>
      </w:r>
      <w:hyperlink w:anchor="_Toc114565044" w:history="1">
        <w:r w:rsidR="00FC1080" w:rsidRPr="009D1C32">
          <w:rPr>
            <w:rStyle w:val="Hyperlink"/>
            <w:noProof/>
            <w:bdr w:val="none" w:sz="0" w:space="0" w:color="auto" w:frame="1"/>
            <w:lang w:val="en-CA"/>
          </w:rPr>
          <w:t>1</w:t>
        </w:r>
        <w:r w:rsidR="00FC1080">
          <w:rPr>
            <w:rFonts w:asciiTheme="minorHAnsi" w:eastAsiaTheme="minorEastAsia" w:hAnsiTheme="minorHAnsi"/>
            <w:b w:val="0"/>
            <w:bCs w:val="0"/>
            <w:noProof/>
            <w:color w:val="auto"/>
            <w:szCs w:val="22"/>
            <w:lang w:eastAsia="en-GB"/>
          </w:rPr>
          <w:tab/>
        </w:r>
        <w:r w:rsidR="00FC1080" w:rsidRPr="009D1C32">
          <w:rPr>
            <w:rStyle w:val="Hyperlink"/>
            <w:noProof/>
            <w:bdr w:val="none" w:sz="0" w:space="0" w:color="auto" w:frame="1"/>
            <w:shd w:val="clear" w:color="auto" w:fill="FFFFFF"/>
            <w:lang w:val="en-CA"/>
          </w:rPr>
          <w:t>Introduction</w:t>
        </w:r>
        <w:r w:rsidR="00FC1080">
          <w:rPr>
            <w:noProof/>
            <w:webHidden/>
          </w:rPr>
          <w:tab/>
        </w:r>
        <w:r w:rsidR="00FC1080">
          <w:rPr>
            <w:noProof/>
            <w:webHidden/>
          </w:rPr>
          <w:fldChar w:fldCharType="begin"/>
        </w:r>
        <w:r w:rsidR="00FC1080">
          <w:rPr>
            <w:noProof/>
            <w:webHidden/>
          </w:rPr>
          <w:instrText xml:space="preserve"> PAGEREF _Toc114565044 \h </w:instrText>
        </w:r>
        <w:r w:rsidR="00FC1080">
          <w:rPr>
            <w:noProof/>
            <w:webHidden/>
          </w:rPr>
        </w:r>
        <w:r w:rsidR="00FC1080">
          <w:rPr>
            <w:noProof/>
            <w:webHidden/>
          </w:rPr>
          <w:fldChar w:fldCharType="separate"/>
        </w:r>
        <w:r w:rsidR="00FC1080">
          <w:rPr>
            <w:noProof/>
            <w:webHidden/>
          </w:rPr>
          <w:t>5</w:t>
        </w:r>
        <w:r w:rsidR="00FC1080">
          <w:rPr>
            <w:noProof/>
            <w:webHidden/>
          </w:rPr>
          <w:fldChar w:fldCharType="end"/>
        </w:r>
      </w:hyperlink>
    </w:p>
    <w:p w14:paraId="098304BA" w14:textId="4F6AB764" w:rsidR="00FC1080" w:rsidRDefault="006D12F8">
      <w:pPr>
        <w:pStyle w:val="Inhopg1"/>
        <w:rPr>
          <w:rFonts w:asciiTheme="minorHAnsi" w:eastAsiaTheme="minorEastAsia" w:hAnsiTheme="minorHAnsi"/>
          <w:b w:val="0"/>
          <w:bCs w:val="0"/>
          <w:noProof/>
          <w:color w:val="auto"/>
          <w:szCs w:val="22"/>
          <w:lang w:eastAsia="en-GB"/>
        </w:rPr>
      </w:pPr>
      <w:hyperlink w:anchor="_Toc114565045" w:history="1">
        <w:r w:rsidR="00FC1080" w:rsidRPr="009D1C32">
          <w:rPr>
            <w:rStyle w:val="Hyperlink"/>
            <w:noProof/>
            <w:bdr w:val="none" w:sz="0" w:space="0" w:color="auto" w:frame="1"/>
            <w:lang w:val="en-CA"/>
          </w:rPr>
          <w:t>2</w:t>
        </w:r>
        <w:r w:rsidR="00FC1080">
          <w:rPr>
            <w:rFonts w:asciiTheme="minorHAnsi" w:eastAsiaTheme="minorEastAsia" w:hAnsiTheme="minorHAnsi"/>
            <w:b w:val="0"/>
            <w:bCs w:val="0"/>
            <w:noProof/>
            <w:color w:val="auto"/>
            <w:szCs w:val="22"/>
            <w:lang w:eastAsia="en-GB"/>
          </w:rPr>
          <w:tab/>
        </w:r>
        <w:r w:rsidR="00FC1080" w:rsidRPr="009D1C32">
          <w:rPr>
            <w:rStyle w:val="Hyperlink"/>
            <w:noProof/>
            <w:bdr w:val="none" w:sz="0" w:space="0" w:color="auto" w:frame="1"/>
            <w:shd w:val="clear" w:color="auto" w:fill="FFFFFF"/>
            <w:lang w:val="en-CA"/>
          </w:rPr>
          <w:t>Summary of Collected Data</w:t>
        </w:r>
        <w:r w:rsidR="00FC1080">
          <w:rPr>
            <w:noProof/>
            <w:webHidden/>
          </w:rPr>
          <w:tab/>
        </w:r>
        <w:r w:rsidR="00FC1080">
          <w:rPr>
            <w:noProof/>
            <w:webHidden/>
          </w:rPr>
          <w:fldChar w:fldCharType="begin"/>
        </w:r>
        <w:r w:rsidR="00FC1080">
          <w:rPr>
            <w:noProof/>
            <w:webHidden/>
          </w:rPr>
          <w:instrText xml:space="preserve"> PAGEREF _Toc114565045 \h </w:instrText>
        </w:r>
        <w:r w:rsidR="00FC1080">
          <w:rPr>
            <w:noProof/>
            <w:webHidden/>
          </w:rPr>
        </w:r>
        <w:r w:rsidR="00FC1080">
          <w:rPr>
            <w:noProof/>
            <w:webHidden/>
          </w:rPr>
          <w:fldChar w:fldCharType="separate"/>
        </w:r>
        <w:r w:rsidR="00FC1080">
          <w:rPr>
            <w:noProof/>
            <w:webHidden/>
          </w:rPr>
          <w:t>7</w:t>
        </w:r>
        <w:r w:rsidR="00FC1080">
          <w:rPr>
            <w:noProof/>
            <w:webHidden/>
          </w:rPr>
          <w:fldChar w:fldCharType="end"/>
        </w:r>
      </w:hyperlink>
    </w:p>
    <w:p w14:paraId="02590927" w14:textId="02E3EB87" w:rsidR="00FC1080" w:rsidRDefault="006D12F8">
      <w:pPr>
        <w:pStyle w:val="Inhopg1"/>
        <w:rPr>
          <w:rFonts w:asciiTheme="minorHAnsi" w:eastAsiaTheme="minorEastAsia" w:hAnsiTheme="minorHAnsi"/>
          <w:b w:val="0"/>
          <w:bCs w:val="0"/>
          <w:noProof/>
          <w:color w:val="auto"/>
          <w:szCs w:val="22"/>
          <w:lang w:eastAsia="en-GB"/>
        </w:rPr>
      </w:pPr>
      <w:hyperlink w:anchor="_Toc114565046" w:history="1">
        <w:r w:rsidR="00FC1080" w:rsidRPr="009D1C32">
          <w:rPr>
            <w:rStyle w:val="Hyperlink"/>
            <w:noProof/>
            <w:bdr w:val="none" w:sz="0" w:space="0" w:color="auto" w:frame="1"/>
            <w:lang w:val="en-CA"/>
          </w:rPr>
          <w:t>3</w:t>
        </w:r>
        <w:r w:rsidR="00FC1080">
          <w:rPr>
            <w:rFonts w:asciiTheme="minorHAnsi" w:eastAsiaTheme="minorEastAsia" w:hAnsiTheme="minorHAnsi"/>
            <w:b w:val="0"/>
            <w:bCs w:val="0"/>
            <w:noProof/>
            <w:color w:val="auto"/>
            <w:szCs w:val="22"/>
            <w:lang w:eastAsia="en-GB"/>
          </w:rPr>
          <w:tab/>
        </w:r>
        <w:r w:rsidR="00FC1080" w:rsidRPr="009D1C32">
          <w:rPr>
            <w:rStyle w:val="Hyperlink"/>
            <w:noProof/>
            <w:bdr w:val="none" w:sz="0" w:space="0" w:color="auto" w:frame="1"/>
            <w:shd w:val="clear" w:color="auto" w:fill="FFFFFF"/>
            <w:lang w:val="en-CA"/>
          </w:rPr>
          <w:t>Historical data and overview of current legislation/regulation and functioning of gas sector</w:t>
        </w:r>
        <w:r w:rsidR="00FC1080">
          <w:rPr>
            <w:noProof/>
            <w:webHidden/>
          </w:rPr>
          <w:tab/>
        </w:r>
        <w:r w:rsidR="00FC1080">
          <w:rPr>
            <w:noProof/>
            <w:webHidden/>
          </w:rPr>
          <w:fldChar w:fldCharType="begin"/>
        </w:r>
        <w:r w:rsidR="00FC1080">
          <w:rPr>
            <w:noProof/>
            <w:webHidden/>
          </w:rPr>
          <w:instrText xml:space="preserve"> PAGEREF _Toc114565046 \h </w:instrText>
        </w:r>
        <w:r w:rsidR="00FC1080">
          <w:rPr>
            <w:noProof/>
            <w:webHidden/>
          </w:rPr>
        </w:r>
        <w:r w:rsidR="00FC1080">
          <w:rPr>
            <w:noProof/>
            <w:webHidden/>
          </w:rPr>
          <w:fldChar w:fldCharType="separate"/>
        </w:r>
        <w:r w:rsidR="00FC1080">
          <w:rPr>
            <w:noProof/>
            <w:webHidden/>
          </w:rPr>
          <w:t>10</w:t>
        </w:r>
        <w:r w:rsidR="00FC1080">
          <w:rPr>
            <w:noProof/>
            <w:webHidden/>
          </w:rPr>
          <w:fldChar w:fldCharType="end"/>
        </w:r>
      </w:hyperlink>
    </w:p>
    <w:p w14:paraId="2CC0BC68" w14:textId="4EDBA20E"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47" w:history="1">
        <w:r w:rsidR="00FC1080" w:rsidRPr="009D1C32">
          <w:rPr>
            <w:rStyle w:val="Hyperlink"/>
            <w:noProof/>
          </w:rPr>
          <w:t>3.1</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Historical data</w:t>
        </w:r>
        <w:r w:rsidR="00FC1080">
          <w:rPr>
            <w:noProof/>
            <w:webHidden/>
          </w:rPr>
          <w:tab/>
        </w:r>
        <w:r w:rsidR="00FC1080">
          <w:rPr>
            <w:noProof/>
            <w:webHidden/>
          </w:rPr>
          <w:fldChar w:fldCharType="begin"/>
        </w:r>
        <w:r w:rsidR="00FC1080">
          <w:rPr>
            <w:noProof/>
            <w:webHidden/>
          </w:rPr>
          <w:instrText xml:space="preserve"> PAGEREF _Toc114565047 \h </w:instrText>
        </w:r>
        <w:r w:rsidR="00FC1080">
          <w:rPr>
            <w:noProof/>
            <w:webHidden/>
          </w:rPr>
        </w:r>
        <w:r w:rsidR="00FC1080">
          <w:rPr>
            <w:noProof/>
            <w:webHidden/>
          </w:rPr>
          <w:fldChar w:fldCharType="separate"/>
        </w:r>
        <w:r w:rsidR="00FC1080">
          <w:rPr>
            <w:noProof/>
            <w:webHidden/>
          </w:rPr>
          <w:t>10</w:t>
        </w:r>
        <w:r w:rsidR="00FC1080">
          <w:rPr>
            <w:noProof/>
            <w:webHidden/>
          </w:rPr>
          <w:fldChar w:fldCharType="end"/>
        </w:r>
      </w:hyperlink>
    </w:p>
    <w:p w14:paraId="7908A28C" w14:textId="6A9CE7B9"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48" w:history="1">
        <w:r w:rsidR="00FC1080" w:rsidRPr="009D1C32">
          <w:rPr>
            <w:rStyle w:val="Hyperlink"/>
            <w:noProof/>
          </w:rPr>
          <w:t>3.2</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Natural gas network Infrastructure and flows</w:t>
        </w:r>
        <w:r w:rsidR="00FC1080">
          <w:rPr>
            <w:noProof/>
            <w:webHidden/>
          </w:rPr>
          <w:tab/>
        </w:r>
        <w:r w:rsidR="00FC1080">
          <w:rPr>
            <w:noProof/>
            <w:webHidden/>
          </w:rPr>
          <w:fldChar w:fldCharType="begin"/>
        </w:r>
        <w:r w:rsidR="00FC1080">
          <w:rPr>
            <w:noProof/>
            <w:webHidden/>
          </w:rPr>
          <w:instrText xml:space="preserve"> PAGEREF _Toc114565048 \h </w:instrText>
        </w:r>
        <w:r w:rsidR="00FC1080">
          <w:rPr>
            <w:noProof/>
            <w:webHidden/>
          </w:rPr>
        </w:r>
        <w:r w:rsidR="00FC1080">
          <w:rPr>
            <w:noProof/>
            <w:webHidden/>
          </w:rPr>
          <w:fldChar w:fldCharType="separate"/>
        </w:r>
        <w:r w:rsidR="00FC1080">
          <w:rPr>
            <w:noProof/>
            <w:webHidden/>
          </w:rPr>
          <w:t>15</w:t>
        </w:r>
        <w:r w:rsidR="00FC1080">
          <w:rPr>
            <w:noProof/>
            <w:webHidden/>
          </w:rPr>
          <w:fldChar w:fldCharType="end"/>
        </w:r>
      </w:hyperlink>
    </w:p>
    <w:p w14:paraId="5B50CAB8" w14:textId="00824BF4"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49" w:history="1">
        <w:r w:rsidR="00FC1080" w:rsidRPr="009D1C32">
          <w:rPr>
            <w:rStyle w:val="Hyperlink"/>
            <w:noProof/>
          </w:rPr>
          <w:t>3.3</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LNG terminal and Underground storage</w:t>
        </w:r>
        <w:r w:rsidR="00FC1080">
          <w:rPr>
            <w:noProof/>
            <w:webHidden/>
          </w:rPr>
          <w:tab/>
        </w:r>
        <w:r w:rsidR="00FC1080">
          <w:rPr>
            <w:noProof/>
            <w:webHidden/>
          </w:rPr>
          <w:fldChar w:fldCharType="begin"/>
        </w:r>
        <w:r w:rsidR="00FC1080">
          <w:rPr>
            <w:noProof/>
            <w:webHidden/>
          </w:rPr>
          <w:instrText xml:space="preserve"> PAGEREF _Toc114565049 \h </w:instrText>
        </w:r>
        <w:r w:rsidR="00FC1080">
          <w:rPr>
            <w:noProof/>
            <w:webHidden/>
          </w:rPr>
        </w:r>
        <w:r w:rsidR="00FC1080">
          <w:rPr>
            <w:noProof/>
            <w:webHidden/>
          </w:rPr>
          <w:fldChar w:fldCharType="separate"/>
        </w:r>
        <w:r w:rsidR="00FC1080">
          <w:rPr>
            <w:noProof/>
            <w:webHidden/>
          </w:rPr>
          <w:t>20</w:t>
        </w:r>
        <w:r w:rsidR="00FC1080">
          <w:rPr>
            <w:noProof/>
            <w:webHidden/>
          </w:rPr>
          <w:fldChar w:fldCharType="end"/>
        </w:r>
      </w:hyperlink>
    </w:p>
    <w:p w14:paraId="457DEA68" w14:textId="2DEDAFD0"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50" w:history="1">
        <w:r w:rsidR="00FC1080" w:rsidRPr="009D1C32">
          <w:rPr>
            <w:rStyle w:val="Hyperlink"/>
            <w:noProof/>
          </w:rPr>
          <w:t>3.4</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Main EU legislation, policies and strategies affecting the Baltic/Finnish gas sector</w:t>
        </w:r>
        <w:r w:rsidR="00FC1080">
          <w:rPr>
            <w:noProof/>
            <w:webHidden/>
          </w:rPr>
          <w:tab/>
        </w:r>
        <w:r w:rsidR="00FC1080">
          <w:rPr>
            <w:noProof/>
            <w:webHidden/>
          </w:rPr>
          <w:fldChar w:fldCharType="begin"/>
        </w:r>
        <w:r w:rsidR="00FC1080">
          <w:rPr>
            <w:noProof/>
            <w:webHidden/>
          </w:rPr>
          <w:instrText xml:space="preserve"> PAGEREF _Toc114565050 \h </w:instrText>
        </w:r>
        <w:r w:rsidR="00FC1080">
          <w:rPr>
            <w:noProof/>
            <w:webHidden/>
          </w:rPr>
        </w:r>
        <w:r w:rsidR="00FC1080">
          <w:rPr>
            <w:noProof/>
            <w:webHidden/>
          </w:rPr>
          <w:fldChar w:fldCharType="separate"/>
        </w:r>
        <w:r w:rsidR="00FC1080">
          <w:rPr>
            <w:noProof/>
            <w:webHidden/>
          </w:rPr>
          <w:t>21</w:t>
        </w:r>
        <w:r w:rsidR="00FC1080">
          <w:rPr>
            <w:noProof/>
            <w:webHidden/>
          </w:rPr>
          <w:fldChar w:fldCharType="end"/>
        </w:r>
      </w:hyperlink>
    </w:p>
    <w:p w14:paraId="0A967166" w14:textId="2FDF9C39"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51" w:history="1">
        <w:r w:rsidR="00FC1080" w:rsidRPr="009D1C32">
          <w:rPr>
            <w:rStyle w:val="Hyperlink"/>
            <w:noProof/>
          </w:rPr>
          <w:t>3.5</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EU and national gas quality standards</w:t>
        </w:r>
        <w:r w:rsidR="00FC1080">
          <w:rPr>
            <w:noProof/>
            <w:webHidden/>
          </w:rPr>
          <w:tab/>
        </w:r>
        <w:r w:rsidR="00FC1080">
          <w:rPr>
            <w:noProof/>
            <w:webHidden/>
          </w:rPr>
          <w:fldChar w:fldCharType="begin"/>
        </w:r>
        <w:r w:rsidR="00FC1080">
          <w:rPr>
            <w:noProof/>
            <w:webHidden/>
          </w:rPr>
          <w:instrText xml:space="preserve"> PAGEREF _Toc114565051 \h </w:instrText>
        </w:r>
        <w:r w:rsidR="00FC1080">
          <w:rPr>
            <w:noProof/>
            <w:webHidden/>
          </w:rPr>
        </w:r>
        <w:r w:rsidR="00FC1080">
          <w:rPr>
            <w:noProof/>
            <w:webHidden/>
          </w:rPr>
          <w:fldChar w:fldCharType="separate"/>
        </w:r>
        <w:r w:rsidR="00FC1080">
          <w:rPr>
            <w:noProof/>
            <w:webHidden/>
          </w:rPr>
          <w:t>24</w:t>
        </w:r>
        <w:r w:rsidR="00FC1080">
          <w:rPr>
            <w:noProof/>
            <w:webHidden/>
          </w:rPr>
          <w:fldChar w:fldCharType="end"/>
        </w:r>
      </w:hyperlink>
    </w:p>
    <w:p w14:paraId="488912D2" w14:textId="1D99EFE8" w:rsidR="00FC1080" w:rsidRDefault="006D12F8">
      <w:pPr>
        <w:pStyle w:val="Inhopg1"/>
        <w:rPr>
          <w:rFonts w:asciiTheme="minorHAnsi" w:eastAsiaTheme="minorEastAsia" w:hAnsiTheme="minorHAnsi"/>
          <w:b w:val="0"/>
          <w:bCs w:val="0"/>
          <w:noProof/>
          <w:color w:val="auto"/>
          <w:szCs w:val="22"/>
          <w:lang w:eastAsia="en-GB"/>
        </w:rPr>
      </w:pPr>
      <w:hyperlink w:anchor="_Toc114565052" w:history="1">
        <w:r w:rsidR="00FC1080" w:rsidRPr="009D1C32">
          <w:rPr>
            <w:rStyle w:val="Hyperlink"/>
            <w:noProof/>
          </w:rPr>
          <w:t>4</w:t>
        </w:r>
        <w:r w:rsidR="00FC1080">
          <w:rPr>
            <w:rFonts w:asciiTheme="minorHAnsi" w:eastAsiaTheme="minorEastAsia" w:hAnsiTheme="minorHAnsi"/>
            <w:b w:val="0"/>
            <w:bCs w:val="0"/>
            <w:noProof/>
            <w:color w:val="auto"/>
            <w:szCs w:val="22"/>
            <w:lang w:eastAsia="en-GB"/>
          </w:rPr>
          <w:tab/>
        </w:r>
        <w:r w:rsidR="00FC1080" w:rsidRPr="009D1C32">
          <w:rPr>
            <w:rStyle w:val="Hyperlink"/>
            <w:noProof/>
          </w:rPr>
          <w:t>Trends to 2050 based on existing policies and forecast</w:t>
        </w:r>
        <w:r w:rsidR="00FC1080">
          <w:rPr>
            <w:noProof/>
            <w:webHidden/>
          </w:rPr>
          <w:tab/>
        </w:r>
        <w:r w:rsidR="00FC1080">
          <w:rPr>
            <w:noProof/>
            <w:webHidden/>
          </w:rPr>
          <w:fldChar w:fldCharType="begin"/>
        </w:r>
        <w:r w:rsidR="00FC1080">
          <w:rPr>
            <w:noProof/>
            <w:webHidden/>
          </w:rPr>
          <w:instrText xml:space="preserve"> PAGEREF _Toc114565052 \h </w:instrText>
        </w:r>
        <w:r w:rsidR="00FC1080">
          <w:rPr>
            <w:noProof/>
            <w:webHidden/>
          </w:rPr>
        </w:r>
        <w:r w:rsidR="00FC1080">
          <w:rPr>
            <w:noProof/>
            <w:webHidden/>
          </w:rPr>
          <w:fldChar w:fldCharType="separate"/>
        </w:r>
        <w:r w:rsidR="00FC1080">
          <w:rPr>
            <w:noProof/>
            <w:webHidden/>
          </w:rPr>
          <w:t>26</w:t>
        </w:r>
        <w:r w:rsidR="00FC1080">
          <w:rPr>
            <w:noProof/>
            <w:webHidden/>
          </w:rPr>
          <w:fldChar w:fldCharType="end"/>
        </w:r>
      </w:hyperlink>
    </w:p>
    <w:p w14:paraId="4DA3E80B" w14:textId="7FB038C7"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53" w:history="1">
        <w:r w:rsidR="00FC1080" w:rsidRPr="009D1C32">
          <w:rPr>
            <w:rStyle w:val="Hyperlink"/>
            <w:noProof/>
          </w:rPr>
          <w:t>4.1</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European trends and policies</w:t>
        </w:r>
        <w:r w:rsidR="00FC1080">
          <w:rPr>
            <w:noProof/>
            <w:webHidden/>
          </w:rPr>
          <w:tab/>
        </w:r>
        <w:r w:rsidR="00FC1080">
          <w:rPr>
            <w:noProof/>
            <w:webHidden/>
          </w:rPr>
          <w:fldChar w:fldCharType="begin"/>
        </w:r>
        <w:r w:rsidR="00FC1080">
          <w:rPr>
            <w:noProof/>
            <w:webHidden/>
          </w:rPr>
          <w:instrText xml:space="preserve"> PAGEREF _Toc114565053 \h </w:instrText>
        </w:r>
        <w:r w:rsidR="00FC1080">
          <w:rPr>
            <w:noProof/>
            <w:webHidden/>
          </w:rPr>
        </w:r>
        <w:r w:rsidR="00FC1080">
          <w:rPr>
            <w:noProof/>
            <w:webHidden/>
          </w:rPr>
          <w:fldChar w:fldCharType="separate"/>
        </w:r>
        <w:r w:rsidR="00FC1080">
          <w:rPr>
            <w:noProof/>
            <w:webHidden/>
          </w:rPr>
          <w:t>26</w:t>
        </w:r>
        <w:r w:rsidR="00FC1080">
          <w:rPr>
            <w:noProof/>
            <w:webHidden/>
          </w:rPr>
          <w:fldChar w:fldCharType="end"/>
        </w:r>
      </w:hyperlink>
    </w:p>
    <w:p w14:paraId="2409BB19" w14:textId="6584F3EA"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54" w:history="1">
        <w:r w:rsidR="00FC1080" w:rsidRPr="009D1C32">
          <w:rPr>
            <w:rStyle w:val="Hyperlink"/>
            <w:noProof/>
          </w:rPr>
          <w:t>4.2</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Baltic and Finnish national energy and climate targets</w:t>
        </w:r>
        <w:r w:rsidR="00FC1080">
          <w:rPr>
            <w:noProof/>
            <w:webHidden/>
          </w:rPr>
          <w:tab/>
        </w:r>
        <w:r w:rsidR="00FC1080">
          <w:rPr>
            <w:noProof/>
            <w:webHidden/>
          </w:rPr>
          <w:fldChar w:fldCharType="begin"/>
        </w:r>
        <w:r w:rsidR="00FC1080">
          <w:rPr>
            <w:noProof/>
            <w:webHidden/>
          </w:rPr>
          <w:instrText xml:space="preserve"> PAGEREF _Toc114565054 \h </w:instrText>
        </w:r>
        <w:r w:rsidR="00FC1080">
          <w:rPr>
            <w:noProof/>
            <w:webHidden/>
          </w:rPr>
        </w:r>
        <w:r w:rsidR="00FC1080">
          <w:rPr>
            <w:noProof/>
            <w:webHidden/>
          </w:rPr>
          <w:fldChar w:fldCharType="separate"/>
        </w:r>
        <w:r w:rsidR="00FC1080">
          <w:rPr>
            <w:noProof/>
            <w:webHidden/>
          </w:rPr>
          <w:t>26</w:t>
        </w:r>
        <w:r w:rsidR="00FC1080">
          <w:rPr>
            <w:noProof/>
            <w:webHidden/>
          </w:rPr>
          <w:fldChar w:fldCharType="end"/>
        </w:r>
      </w:hyperlink>
    </w:p>
    <w:p w14:paraId="245B8467" w14:textId="56A50737" w:rsidR="00FC1080" w:rsidRDefault="006D12F8">
      <w:pPr>
        <w:pStyle w:val="Inhopg1"/>
        <w:rPr>
          <w:rFonts w:asciiTheme="minorHAnsi" w:eastAsiaTheme="minorEastAsia" w:hAnsiTheme="minorHAnsi"/>
          <w:b w:val="0"/>
          <w:bCs w:val="0"/>
          <w:noProof/>
          <w:color w:val="auto"/>
          <w:szCs w:val="22"/>
          <w:lang w:eastAsia="en-GB"/>
        </w:rPr>
      </w:pPr>
      <w:hyperlink w:anchor="_Toc114565055" w:history="1">
        <w:r w:rsidR="00FC1080" w:rsidRPr="009D1C32">
          <w:rPr>
            <w:rStyle w:val="Hyperlink"/>
            <w:noProof/>
            <w:bdr w:val="none" w:sz="0" w:space="0" w:color="auto" w:frame="1"/>
            <w:lang w:val="en-CA"/>
          </w:rPr>
          <w:t>5</w:t>
        </w:r>
        <w:r w:rsidR="00FC1080">
          <w:rPr>
            <w:rFonts w:asciiTheme="minorHAnsi" w:eastAsiaTheme="minorEastAsia" w:hAnsiTheme="minorHAnsi"/>
            <w:b w:val="0"/>
            <w:bCs w:val="0"/>
            <w:noProof/>
            <w:color w:val="auto"/>
            <w:szCs w:val="22"/>
            <w:lang w:eastAsia="en-GB"/>
          </w:rPr>
          <w:tab/>
        </w:r>
        <w:r w:rsidR="00FC1080" w:rsidRPr="009D1C32">
          <w:rPr>
            <w:rStyle w:val="Hyperlink"/>
            <w:noProof/>
            <w:bdr w:val="none" w:sz="0" w:space="0" w:color="auto" w:frame="1"/>
            <w:shd w:val="clear" w:color="auto" w:fill="FFFFFF"/>
            <w:lang w:val="en-CA"/>
          </w:rPr>
          <w:t>Local potential for renewable gas production</w:t>
        </w:r>
        <w:r w:rsidR="00FC1080">
          <w:rPr>
            <w:noProof/>
            <w:webHidden/>
          </w:rPr>
          <w:tab/>
        </w:r>
        <w:r w:rsidR="00FC1080">
          <w:rPr>
            <w:noProof/>
            <w:webHidden/>
          </w:rPr>
          <w:fldChar w:fldCharType="begin"/>
        </w:r>
        <w:r w:rsidR="00FC1080">
          <w:rPr>
            <w:noProof/>
            <w:webHidden/>
          </w:rPr>
          <w:instrText xml:space="preserve"> PAGEREF _Toc114565055 \h </w:instrText>
        </w:r>
        <w:r w:rsidR="00FC1080">
          <w:rPr>
            <w:noProof/>
            <w:webHidden/>
          </w:rPr>
        </w:r>
        <w:r w:rsidR="00FC1080">
          <w:rPr>
            <w:noProof/>
            <w:webHidden/>
          </w:rPr>
          <w:fldChar w:fldCharType="separate"/>
        </w:r>
        <w:r w:rsidR="00FC1080">
          <w:rPr>
            <w:noProof/>
            <w:webHidden/>
          </w:rPr>
          <w:t>29</w:t>
        </w:r>
        <w:r w:rsidR="00FC1080">
          <w:rPr>
            <w:noProof/>
            <w:webHidden/>
          </w:rPr>
          <w:fldChar w:fldCharType="end"/>
        </w:r>
      </w:hyperlink>
    </w:p>
    <w:p w14:paraId="65F3207C" w14:textId="43EBC39A"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56" w:history="1">
        <w:r w:rsidR="00FC1080" w:rsidRPr="009D1C32">
          <w:rPr>
            <w:rStyle w:val="Hyperlink"/>
            <w:noProof/>
          </w:rPr>
          <w:t>5.1</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Technical potential of biogas/biomethane in the Baltic-Finnish region</w:t>
        </w:r>
        <w:r w:rsidR="00FC1080">
          <w:rPr>
            <w:noProof/>
            <w:webHidden/>
          </w:rPr>
          <w:tab/>
        </w:r>
        <w:r w:rsidR="00FC1080">
          <w:rPr>
            <w:noProof/>
            <w:webHidden/>
          </w:rPr>
          <w:fldChar w:fldCharType="begin"/>
        </w:r>
        <w:r w:rsidR="00FC1080">
          <w:rPr>
            <w:noProof/>
            <w:webHidden/>
          </w:rPr>
          <w:instrText xml:space="preserve"> PAGEREF _Toc114565056 \h </w:instrText>
        </w:r>
        <w:r w:rsidR="00FC1080">
          <w:rPr>
            <w:noProof/>
            <w:webHidden/>
          </w:rPr>
        </w:r>
        <w:r w:rsidR="00FC1080">
          <w:rPr>
            <w:noProof/>
            <w:webHidden/>
          </w:rPr>
          <w:fldChar w:fldCharType="separate"/>
        </w:r>
        <w:r w:rsidR="00FC1080">
          <w:rPr>
            <w:noProof/>
            <w:webHidden/>
          </w:rPr>
          <w:t>29</w:t>
        </w:r>
        <w:r w:rsidR="00FC1080">
          <w:rPr>
            <w:noProof/>
            <w:webHidden/>
          </w:rPr>
          <w:fldChar w:fldCharType="end"/>
        </w:r>
      </w:hyperlink>
    </w:p>
    <w:p w14:paraId="3B32104F" w14:textId="0A5616EF"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57" w:history="1">
        <w:r w:rsidR="00FC1080" w:rsidRPr="009D1C32">
          <w:rPr>
            <w:rStyle w:val="Hyperlink"/>
            <w:noProof/>
          </w:rPr>
          <w:t>5.2</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Renewable hydrogen potential in the Baltic-Finnish region</w:t>
        </w:r>
        <w:r w:rsidR="00FC1080">
          <w:rPr>
            <w:noProof/>
            <w:webHidden/>
          </w:rPr>
          <w:tab/>
        </w:r>
        <w:r w:rsidR="00FC1080">
          <w:rPr>
            <w:noProof/>
            <w:webHidden/>
          </w:rPr>
          <w:fldChar w:fldCharType="begin"/>
        </w:r>
        <w:r w:rsidR="00FC1080">
          <w:rPr>
            <w:noProof/>
            <w:webHidden/>
          </w:rPr>
          <w:instrText xml:space="preserve"> PAGEREF _Toc114565057 \h </w:instrText>
        </w:r>
        <w:r w:rsidR="00FC1080">
          <w:rPr>
            <w:noProof/>
            <w:webHidden/>
          </w:rPr>
        </w:r>
        <w:r w:rsidR="00FC1080">
          <w:rPr>
            <w:noProof/>
            <w:webHidden/>
          </w:rPr>
          <w:fldChar w:fldCharType="separate"/>
        </w:r>
        <w:r w:rsidR="00FC1080">
          <w:rPr>
            <w:noProof/>
            <w:webHidden/>
          </w:rPr>
          <w:t>30</w:t>
        </w:r>
        <w:r w:rsidR="00FC1080">
          <w:rPr>
            <w:noProof/>
            <w:webHidden/>
          </w:rPr>
          <w:fldChar w:fldCharType="end"/>
        </w:r>
      </w:hyperlink>
    </w:p>
    <w:p w14:paraId="0AA889AF" w14:textId="53DFCF08" w:rsidR="00FC1080" w:rsidRDefault="006D12F8">
      <w:pPr>
        <w:pStyle w:val="Inhopg1"/>
        <w:rPr>
          <w:rFonts w:asciiTheme="minorHAnsi" w:eastAsiaTheme="minorEastAsia" w:hAnsiTheme="minorHAnsi"/>
          <w:b w:val="0"/>
          <w:bCs w:val="0"/>
          <w:noProof/>
          <w:color w:val="auto"/>
          <w:szCs w:val="22"/>
          <w:lang w:eastAsia="en-GB"/>
        </w:rPr>
      </w:pPr>
      <w:hyperlink w:anchor="_Toc114565058" w:history="1">
        <w:r w:rsidR="00FC1080" w:rsidRPr="009D1C32">
          <w:rPr>
            <w:rStyle w:val="Hyperlink"/>
            <w:noProof/>
            <w:bdr w:val="none" w:sz="0" w:space="0" w:color="auto" w:frame="1"/>
            <w:lang w:val="en-CA"/>
          </w:rPr>
          <w:t>6</w:t>
        </w:r>
        <w:r w:rsidR="00FC1080">
          <w:rPr>
            <w:rFonts w:asciiTheme="minorHAnsi" w:eastAsiaTheme="minorEastAsia" w:hAnsiTheme="minorHAnsi"/>
            <w:b w:val="0"/>
            <w:bCs w:val="0"/>
            <w:noProof/>
            <w:color w:val="auto"/>
            <w:szCs w:val="22"/>
            <w:lang w:eastAsia="en-GB"/>
          </w:rPr>
          <w:tab/>
        </w:r>
        <w:r w:rsidR="00FC1080" w:rsidRPr="009D1C32">
          <w:rPr>
            <w:rStyle w:val="Hyperlink"/>
            <w:noProof/>
            <w:bdr w:val="none" w:sz="0" w:space="0" w:color="auto" w:frame="1"/>
            <w:shd w:val="clear" w:color="auto" w:fill="FFFFFF"/>
            <w:lang w:val="en-CA"/>
          </w:rPr>
          <w:t>Renewable gas decarbonisation technologies: An overview of the gas value chain</w:t>
        </w:r>
        <w:r w:rsidR="00FC1080">
          <w:rPr>
            <w:noProof/>
            <w:webHidden/>
          </w:rPr>
          <w:tab/>
        </w:r>
        <w:r w:rsidR="00FC1080">
          <w:rPr>
            <w:noProof/>
            <w:webHidden/>
          </w:rPr>
          <w:fldChar w:fldCharType="begin"/>
        </w:r>
        <w:r w:rsidR="00FC1080">
          <w:rPr>
            <w:noProof/>
            <w:webHidden/>
          </w:rPr>
          <w:instrText xml:space="preserve"> PAGEREF _Toc114565058 \h </w:instrText>
        </w:r>
        <w:r w:rsidR="00FC1080">
          <w:rPr>
            <w:noProof/>
            <w:webHidden/>
          </w:rPr>
        </w:r>
        <w:r w:rsidR="00FC1080">
          <w:rPr>
            <w:noProof/>
            <w:webHidden/>
          </w:rPr>
          <w:fldChar w:fldCharType="separate"/>
        </w:r>
        <w:r w:rsidR="00FC1080">
          <w:rPr>
            <w:noProof/>
            <w:webHidden/>
          </w:rPr>
          <w:t>33</w:t>
        </w:r>
        <w:r w:rsidR="00FC1080">
          <w:rPr>
            <w:noProof/>
            <w:webHidden/>
          </w:rPr>
          <w:fldChar w:fldCharType="end"/>
        </w:r>
      </w:hyperlink>
    </w:p>
    <w:p w14:paraId="7EB6B006" w14:textId="505FFDC9"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59" w:history="1">
        <w:r w:rsidR="00FC1080" w:rsidRPr="009D1C32">
          <w:rPr>
            <w:rStyle w:val="Hyperlink"/>
            <w:noProof/>
          </w:rPr>
          <w:t>6.1</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Renewable gas production technologies</w:t>
        </w:r>
        <w:r w:rsidR="00FC1080">
          <w:rPr>
            <w:noProof/>
            <w:webHidden/>
          </w:rPr>
          <w:tab/>
        </w:r>
        <w:r w:rsidR="00FC1080">
          <w:rPr>
            <w:noProof/>
            <w:webHidden/>
          </w:rPr>
          <w:fldChar w:fldCharType="begin"/>
        </w:r>
        <w:r w:rsidR="00FC1080">
          <w:rPr>
            <w:noProof/>
            <w:webHidden/>
          </w:rPr>
          <w:instrText xml:space="preserve"> PAGEREF _Toc114565059 \h </w:instrText>
        </w:r>
        <w:r w:rsidR="00FC1080">
          <w:rPr>
            <w:noProof/>
            <w:webHidden/>
          </w:rPr>
        </w:r>
        <w:r w:rsidR="00FC1080">
          <w:rPr>
            <w:noProof/>
            <w:webHidden/>
          </w:rPr>
          <w:fldChar w:fldCharType="separate"/>
        </w:r>
        <w:r w:rsidR="00FC1080">
          <w:rPr>
            <w:noProof/>
            <w:webHidden/>
          </w:rPr>
          <w:t>33</w:t>
        </w:r>
        <w:r w:rsidR="00FC1080">
          <w:rPr>
            <w:noProof/>
            <w:webHidden/>
          </w:rPr>
          <w:fldChar w:fldCharType="end"/>
        </w:r>
      </w:hyperlink>
    </w:p>
    <w:p w14:paraId="418BD1E3" w14:textId="6AFEDEB5"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60" w:history="1">
        <w:r w:rsidR="00FC1080" w:rsidRPr="009D1C32">
          <w:rPr>
            <w:rStyle w:val="Hyperlink"/>
            <w:noProof/>
          </w:rPr>
          <w:t>6.2</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Storage of renewable gases</w:t>
        </w:r>
        <w:r w:rsidR="00FC1080">
          <w:rPr>
            <w:noProof/>
            <w:webHidden/>
          </w:rPr>
          <w:tab/>
        </w:r>
        <w:r w:rsidR="00FC1080">
          <w:rPr>
            <w:noProof/>
            <w:webHidden/>
          </w:rPr>
          <w:fldChar w:fldCharType="begin"/>
        </w:r>
        <w:r w:rsidR="00FC1080">
          <w:rPr>
            <w:noProof/>
            <w:webHidden/>
          </w:rPr>
          <w:instrText xml:space="preserve"> PAGEREF _Toc114565060 \h </w:instrText>
        </w:r>
        <w:r w:rsidR="00FC1080">
          <w:rPr>
            <w:noProof/>
            <w:webHidden/>
          </w:rPr>
        </w:r>
        <w:r w:rsidR="00FC1080">
          <w:rPr>
            <w:noProof/>
            <w:webHidden/>
          </w:rPr>
          <w:fldChar w:fldCharType="separate"/>
        </w:r>
        <w:r w:rsidR="00FC1080">
          <w:rPr>
            <w:noProof/>
            <w:webHidden/>
          </w:rPr>
          <w:t>37</w:t>
        </w:r>
        <w:r w:rsidR="00FC1080">
          <w:rPr>
            <w:noProof/>
            <w:webHidden/>
          </w:rPr>
          <w:fldChar w:fldCharType="end"/>
        </w:r>
      </w:hyperlink>
    </w:p>
    <w:p w14:paraId="2BFFC71C" w14:textId="6CC1FA3B" w:rsidR="00FC1080" w:rsidRDefault="006D12F8">
      <w:pPr>
        <w:pStyle w:val="Inhopg2"/>
        <w:rPr>
          <w:rFonts w:asciiTheme="minorHAnsi" w:eastAsiaTheme="minorEastAsia" w:hAnsiTheme="minorHAnsi" w:cstheme="minorBidi"/>
          <w:b w:val="0"/>
          <w:bCs w:val="0"/>
          <w:noProof/>
          <w:color w:val="auto"/>
          <w:sz w:val="22"/>
          <w:szCs w:val="22"/>
          <w:lang w:eastAsia="en-GB"/>
        </w:rPr>
      </w:pPr>
      <w:hyperlink w:anchor="_Toc114565061" w:history="1">
        <w:r w:rsidR="00FC1080" w:rsidRPr="009D1C32">
          <w:rPr>
            <w:rStyle w:val="Hyperlink"/>
            <w:noProof/>
          </w:rPr>
          <w:t>6.3</w:t>
        </w:r>
        <w:r w:rsidR="00FC1080">
          <w:rPr>
            <w:rFonts w:asciiTheme="minorHAnsi" w:eastAsiaTheme="minorEastAsia" w:hAnsiTheme="minorHAnsi" w:cstheme="minorBidi"/>
            <w:b w:val="0"/>
            <w:bCs w:val="0"/>
            <w:noProof/>
            <w:color w:val="auto"/>
            <w:sz w:val="22"/>
            <w:szCs w:val="22"/>
            <w:lang w:eastAsia="en-GB"/>
          </w:rPr>
          <w:tab/>
        </w:r>
        <w:r w:rsidR="00FC1080" w:rsidRPr="009D1C32">
          <w:rPr>
            <w:rStyle w:val="Hyperlink"/>
            <w:noProof/>
          </w:rPr>
          <w:t>Gas blending effect on gas supply infrastructure and on the end-use equipment</w:t>
        </w:r>
        <w:r w:rsidR="00FC1080">
          <w:rPr>
            <w:noProof/>
            <w:webHidden/>
          </w:rPr>
          <w:tab/>
        </w:r>
        <w:r w:rsidR="00FC1080">
          <w:rPr>
            <w:noProof/>
            <w:webHidden/>
          </w:rPr>
          <w:fldChar w:fldCharType="begin"/>
        </w:r>
        <w:r w:rsidR="00FC1080">
          <w:rPr>
            <w:noProof/>
            <w:webHidden/>
          </w:rPr>
          <w:instrText xml:space="preserve"> PAGEREF _Toc114565061 \h </w:instrText>
        </w:r>
        <w:r w:rsidR="00FC1080">
          <w:rPr>
            <w:noProof/>
            <w:webHidden/>
          </w:rPr>
        </w:r>
        <w:r w:rsidR="00FC1080">
          <w:rPr>
            <w:noProof/>
            <w:webHidden/>
          </w:rPr>
          <w:fldChar w:fldCharType="separate"/>
        </w:r>
        <w:r w:rsidR="00FC1080">
          <w:rPr>
            <w:noProof/>
            <w:webHidden/>
          </w:rPr>
          <w:t>41</w:t>
        </w:r>
        <w:r w:rsidR="00FC1080">
          <w:rPr>
            <w:noProof/>
            <w:webHidden/>
          </w:rPr>
          <w:fldChar w:fldCharType="end"/>
        </w:r>
      </w:hyperlink>
    </w:p>
    <w:p w14:paraId="0E864841" w14:textId="1E9C1DD3" w:rsidR="00FC1080" w:rsidRDefault="006D12F8">
      <w:pPr>
        <w:pStyle w:val="Inhopg1"/>
        <w:rPr>
          <w:rFonts w:asciiTheme="minorHAnsi" w:eastAsiaTheme="minorEastAsia" w:hAnsiTheme="minorHAnsi"/>
          <w:b w:val="0"/>
          <w:bCs w:val="0"/>
          <w:noProof/>
          <w:color w:val="auto"/>
          <w:szCs w:val="22"/>
          <w:lang w:eastAsia="en-GB"/>
        </w:rPr>
      </w:pPr>
      <w:hyperlink w:anchor="_Toc114565062" w:history="1">
        <w:r w:rsidR="00FC1080" w:rsidRPr="009D1C32">
          <w:rPr>
            <w:rStyle w:val="Hyperlink"/>
            <w:noProof/>
            <w:bdr w:val="none" w:sz="0" w:space="0" w:color="auto" w:frame="1"/>
            <w:lang w:val="en-CA"/>
          </w:rPr>
          <w:t>7</w:t>
        </w:r>
        <w:r w:rsidR="00FC1080">
          <w:rPr>
            <w:rFonts w:asciiTheme="minorHAnsi" w:eastAsiaTheme="minorEastAsia" w:hAnsiTheme="minorHAnsi"/>
            <w:b w:val="0"/>
            <w:bCs w:val="0"/>
            <w:noProof/>
            <w:color w:val="auto"/>
            <w:szCs w:val="22"/>
            <w:lang w:eastAsia="en-GB"/>
          </w:rPr>
          <w:tab/>
        </w:r>
        <w:r w:rsidR="00FC1080" w:rsidRPr="009D1C32">
          <w:rPr>
            <w:rStyle w:val="Hyperlink"/>
            <w:noProof/>
            <w:bdr w:val="none" w:sz="0" w:space="0" w:color="auto" w:frame="1"/>
            <w:shd w:val="clear" w:color="auto" w:fill="FFFFFF"/>
            <w:lang w:val="en-CA"/>
          </w:rPr>
          <w:t>Relevant pilot projects</w:t>
        </w:r>
        <w:r w:rsidR="00FC1080">
          <w:rPr>
            <w:noProof/>
            <w:webHidden/>
          </w:rPr>
          <w:tab/>
        </w:r>
        <w:r w:rsidR="00FC1080">
          <w:rPr>
            <w:noProof/>
            <w:webHidden/>
          </w:rPr>
          <w:fldChar w:fldCharType="begin"/>
        </w:r>
        <w:r w:rsidR="00FC1080">
          <w:rPr>
            <w:noProof/>
            <w:webHidden/>
          </w:rPr>
          <w:instrText xml:space="preserve"> PAGEREF _Toc114565062 \h </w:instrText>
        </w:r>
        <w:r w:rsidR="00FC1080">
          <w:rPr>
            <w:noProof/>
            <w:webHidden/>
          </w:rPr>
        </w:r>
        <w:r w:rsidR="00FC1080">
          <w:rPr>
            <w:noProof/>
            <w:webHidden/>
          </w:rPr>
          <w:fldChar w:fldCharType="separate"/>
        </w:r>
        <w:r w:rsidR="00FC1080">
          <w:rPr>
            <w:noProof/>
            <w:webHidden/>
          </w:rPr>
          <w:t>46</w:t>
        </w:r>
        <w:r w:rsidR="00FC1080">
          <w:rPr>
            <w:noProof/>
            <w:webHidden/>
          </w:rPr>
          <w:fldChar w:fldCharType="end"/>
        </w:r>
      </w:hyperlink>
    </w:p>
    <w:p w14:paraId="2A5C4858" w14:textId="508E993D" w:rsidR="001D4E68" w:rsidRPr="007F31E3" w:rsidRDefault="001D4E68" w:rsidP="002D68DF">
      <w:pPr>
        <w:pStyle w:val="Inhopg1"/>
      </w:pPr>
      <w:r>
        <w:fldChar w:fldCharType="end"/>
      </w:r>
      <w:r w:rsidR="007353D7">
        <w:tab/>
      </w:r>
    </w:p>
    <w:p w14:paraId="3150144A" w14:textId="77777777" w:rsidR="001D4E68" w:rsidRPr="007F31E3" w:rsidRDefault="001D4E68" w:rsidP="001D4E68"/>
    <w:p w14:paraId="682716D3" w14:textId="77777777" w:rsidR="001D4E68" w:rsidRPr="007F31E3" w:rsidRDefault="001D4E68" w:rsidP="001D4E68"/>
    <w:p w14:paraId="3EA3827B" w14:textId="77777777" w:rsidR="001D4E68" w:rsidRPr="007F31E3" w:rsidRDefault="001D4E68" w:rsidP="001D4E68"/>
    <w:p w14:paraId="251C64E7" w14:textId="77777777" w:rsidR="001D4E68" w:rsidRDefault="001D4E68" w:rsidP="008A6D00">
      <w:pPr>
        <w:spacing w:line="360" w:lineRule="auto"/>
      </w:pPr>
    </w:p>
    <w:p w14:paraId="37BB767E" w14:textId="77777777" w:rsidR="00D7621B" w:rsidRDefault="00D7621B" w:rsidP="008A6D00">
      <w:pPr>
        <w:spacing w:line="360" w:lineRule="auto"/>
      </w:pPr>
    </w:p>
    <w:p w14:paraId="5BA165E4" w14:textId="77777777" w:rsidR="00D7621B" w:rsidRDefault="00D7621B" w:rsidP="008A6D00">
      <w:pPr>
        <w:spacing w:line="360" w:lineRule="auto"/>
      </w:pPr>
    </w:p>
    <w:p w14:paraId="6A8C4DBF" w14:textId="77777777" w:rsidR="00D7621B" w:rsidRDefault="00D7621B" w:rsidP="008A6D00">
      <w:pPr>
        <w:spacing w:line="360" w:lineRule="auto"/>
      </w:pPr>
    </w:p>
    <w:p w14:paraId="55B597D9" w14:textId="77777777" w:rsidR="00D7621B" w:rsidRDefault="00D7621B" w:rsidP="008A6D00">
      <w:pPr>
        <w:spacing w:line="360" w:lineRule="auto"/>
      </w:pPr>
    </w:p>
    <w:p w14:paraId="738596A3" w14:textId="77777777" w:rsidR="00474B71" w:rsidRDefault="00474B71" w:rsidP="00474B71"/>
    <w:p w14:paraId="734DFD6F" w14:textId="77777777" w:rsidR="00474B71" w:rsidRDefault="00474B71" w:rsidP="00474B71"/>
    <w:p w14:paraId="3A1AEA09" w14:textId="77777777" w:rsidR="00474B71" w:rsidRPr="00474B71" w:rsidRDefault="00474B71" w:rsidP="00474B71"/>
    <w:p w14:paraId="3CC6FBBE" w14:textId="77777777" w:rsidR="00CF27C6" w:rsidRDefault="00CF27C6" w:rsidP="00104E80">
      <w:pPr>
        <w:spacing w:line="360" w:lineRule="auto"/>
        <w:ind w:left="0"/>
      </w:pPr>
    </w:p>
    <w:p w14:paraId="497D0482" w14:textId="040CB54F" w:rsidR="00FC1748" w:rsidRPr="00451FAE" w:rsidRDefault="00EC3FF8" w:rsidP="00451FAE">
      <w:pPr>
        <w:pStyle w:val="Kop1"/>
        <w:tabs>
          <w:tab w:val="clear" w:pos="851"/>
          <w:tab w:val="left" w:pos="993"/>
        </w:tabs>
        <w:jc w:val="both"/>
        <w:rPr>
          <w:sz w:val="36"/>
          <w:szCs w:val="16"/>
          <w:bdr w:val="none" w:sz="0" w:space="0" w:color="auto" w:frame="1"/>
          <w:shd w:val="clear" w:color="auto" w:fill="FFFFFF"/>
          <w:lang w:val="en-CA"/>
        </w:rPr>
      </w:pPr>
      <w:bookmarkStart w:id="0" w:name="_Toc114565044"/>
      <w:r w:rsidRPr="00451FAE">
        <w:rPr>
          <w:sz w:val="36"/>
          <w:szCs w:val="16"/>
          <w:bdr w:val="none" w:sz="0" w:space="0" w:color="auto" w:frame="1"/>
          <w:shd w:val="clear" w:color="auto" w:fill="FFFFFF"/>
          <w:lang w:val="en-CA"/>
        </w:rPr>
        <w:lastRenderedPageBreak/>
        <w:t>Introduction</w:t>
      </w:r>
      <w:bookmarkEnd w:id="0"/>
    </w:p>
    <w:p w14:paraId="2376834E" w14:textId="6BE4CE59" w:rsidR="00834D57" w:rsidRDefault="00834D57" w:rsidP="00AD4D24">
      <w:pPr>
        <w:spacing w:after="120"/>
        <w:jc w:val="both"/>
      </w:pPr>
      <w:r>
        <w:t xml:space="preserve">This report provides an overview of </w:t>
      </w:r>
      <w:r w:rsidR="0079290F">
        <w:t xml:space="preserve">collected data </w:t>
      </w:r>
      <w:r w:rsidR="00840402">
        <w:t>pertaining to</w:t>
      </w:r>
      <w:r w:rsidR="005A5C15">
        <w:t xml:space="preserve"> </w:t>
      </w:r>
      <w:r w:rsidR="00127586">
        <w:t xml:space="preserve">the </w:t>
      </w:r>
      <w:r w:rsidR="00E20AD7">
        <w:t xml:space="preserve">joint </w:t>
      </w:r>
      <w:r w:rsidR="00B72DCB">
        <w:t xml:space="preserve">gas </w:t>
      </w:r>
      <w:r w:rsidR="0002093C">
        <w:t xml:space="preserve">market </w:t>
      </w:r>
      <w:r w:rsidR="00F303E8">
        <w:t xml:space="preserve">in </w:t>
      </w:r>
      <w:r w:rsidR="00E20AD7">
        <w:t xml:space="preserve">Estonia. </w:t>
      </w:r>
      <w:r>
        <w:t xml:space="preserve">The data collected and described will be used in </w:t>
      </w:r>
      <w:r w:rsidR="00B6722D">
        <w:t xml:space="preserve">the </w:t>
      </w:r>
      <w:r w:rsidR="004708BA">
        <w:t>gas</w:t>
      </w:r>
      <w:r>
        <w:t xml:space="preserve"> modelling</w:t>
      </w:r>
      <w:r w:rsidR="007E5873">
        <w:t xml:space="preserve"> to </w:t>
      </w:r>
      <w:r w:rsidR="00C50A9A">
        <w:t xml:space="preserve">develop pathways for </w:t>
      </w:r>
      <w:r w:rsidR="007E5873">
        <w:t>decarboni</w:t>
      </w:r>
      <w:r w:rsidR="0028002E">
        <w:t>s</w:t>
      </w:r>
      <w:r w:rsidR="00C50A9A">
        <w:t>ing</w:t>
      </w:r>
      <w:r w:rsidR="007E5873">
        <w:t xml:space="preserve"> the </w:t>
      </w:r>
      <w:r w:rsidR="005D7EB2">
        <w:t xml:space="preserve">Baltic </w:t>
      </w:r>
      <w:r w:rsidR="008114C2">
        <w:t>RGMC countries (Estonia, Latvia, Lithuania</w:t>
      </w:r>
      <w:r w:rsidR="00CB7DE4">
        <w:t>,</w:t>
      </w:r>
      <w:r w:rsidR="008114C2">
        <w:t xml:space="preserve"> and Finland) </w:t>
      </w:r>
      <w:r w:rsidR="005535B3">
        <w:t xml:space="preserve">gas </w:t>
      </w:r>
      <w:r w:rsidR="004A70FF">
        <w:t xml:space="preserve">supply </w:t>
      </w:r>
      <w:r w:rsidR="008114C2">
        <w:t xml:space="preserve">by </w:t>
      </w:r>
      <w:r w:rsidR="00D8516B">
        <w:t>2050</w:t>
      </w:r>
      <w:r>
        <w:t xml:space="preserve">, as well as in a socio-economic impact analysis, sensitivity studies, a detailed risk assessment and in the development of policy action plans. </w:t>
      </w:r>
      <w:r w:rsidR="00745CE0">
        <w:t>T</w:t>
      </w:r>
      <w:r>
        <w:t xml:space="preserve">his data report is supplemented by </w:t>
      </w:r>
      <w:r w:rsidR="00AE1DCB">
        <w:t xml:space="preserve">a </w:t>
      </w:r>
      <w:r>
        <w:t>Microsoft Excel data</w:t>
      </w:r>
      <w:r w:rsidR="00487B27">
        <w:t xml:space="preserve"> </w:t>
      </w:r>
      <w:r w:rsidR="005437DF">
        <w:t>map</w:t>
      </w:r>
      <w:r>
        <w:t xml:space="preserve"> which contain</w:t>
      </w:r>
      <w:r w:rsidR="00AE1DCB">
        <w:t>s more</w:t>
      </w:r>
      <w:r>
        <w:t xml:space="preserve"> detailed data. These data</w:t>
      </w:r>
      <w:r w:rsidR="00487B27">
        <w:t xml:space="preserve"> map</w:t>
      </w:r>
      <w:r w:rsidR="0028002E">
        <w:t>s</w:t>
      </w:r>
      <w:r>
        <w:t xml:space="preserve"> provide further documentation and explanations on the data, and indicate which sources were used.</w:t>
      </w:r>
    </w:p>
    <w:p w14:paraId="26D0FFFA" w14:textId="6C57C718" w:rsidR="00834D57" w:rsidRDefault="00834D57" w:rsidP="00AD4D24">
      <w:pPr>
        <w:spacing w:after="120"/>
        <w:jc w:val="both"/>
      </w:pPr>
      <w:r>
        <w:t xml:space="preserve">Collected data can be categorised according to the purpose of the data. Many parameters have been collected to establish </w:t>
      </w:r>
      <w:r w:rsidR="001154B4">
        <w:t>the</w:t>
      </w:r>
      <w:r>
        <w:t xml:space="preserve"> baseline</w:t>
      </w:r>
      <w:r w:rsidR="001154B4">
        <w:t xml:space="preserve"> (BAU)</w:t>
      </w:r>
      <w:r>
        <w:t xml:space="preserve"> </w:t>
      </w:r>
      <w:r w:rsidR="00447D40">
        <w:t xml:space="preserve">scenario </w:t>
      </w:r>
      <w:r w:rsidR="00064104">
        <w:t>and</w:t>
      </w:r>
      <w:r w:rsidR="0085408F">
        <w:t xml:space="preserve"> 3 </w:t>
      </w:r>
      <w:r w:rsidR="00C154AF">
        <w:t xml:space="preserve">decarbonisation </w:t>
      </w:r>
      <w:r w:rsidR="009E6A3B">
        <w:t>scenarios for</w:t>
      </w:r>
      <w:r w:rsidR="000466CB">
        <w:t xml:space="preserve"> sustainable</w:t>
      </w:r>
      <w:r w:rsidR="00727486">
        <w:t xml:space="preserve"> gas </w:t>
      </w:r>
      <w:r w:rsidR="005535B3">
        <w:t xml:space="preserve">supply </w:t>
      </w:r>
      <w:r>
        <w:t>modelling</w:t>
      </w:r>
      <w:r w:rsidR="00740BBB">
        <w:t xml:space="preserve"> in </w:t>
      </w:r>
      <w:r w:rsidR="00064104">
        <w:t>D</w:t>
      </w:r>
      <w:r w:rsidR="00740BBB">
        <w:t>eliverable 3</w:t>
      </w:r>
      <w:r>
        <w:t xml:space="preserve">. Numerous parameters were required to cover this topic, including data on </w:t>
      </w:r>
      <w:r w:rsidR="00F16CF1">
        <w:t>gas</w:t>
      </w:r>
      <w:r>
        <w:t xml:space="preserve"> demand</w:t>
      </w:r>
      <w:r w:rsidR="00F16CF1">
        <w:t xml:space="preserve"> in the Baltic-Finnish zone</w:t>
      </w:r>
      <w:r>
        <w:t xml:space="preserve">, data on existing </w:t>
      </w:r>
      <w:r w:rsidR="00226840">
        <w:t>cross</w:t>
      </w:r>
      <w:r w:rsidR="00A86F2B">
        <w:t>-</w:t>
      </w:r>
      <w:r w:rsidR="00226840">
        <w:t xml:space="preserve">border gas </w:t>
      </w:r>
      <w:r w:rsidR="00382644">
        <w:t xml:space="preserve">grid </w:t>
      </w:r>
      <w:r w:rsidR="00AD386C">
        <w:t>capacities</w:t>
      </w:r>
      <w:r w:rsidR="00932DE2">
        <w:t>, traded volumes</w:t>
      </w:r>
      <w:r w:rsidR="00702FDC">
        <w:t xml:space="preserve"> between </w:t>
      </w:r>
      <w:r w:rsidR="006546E9">
        <w:t>RGMC countries</w:t>
      </w:r>
      <w:r w:rsidR="00016936">
        <w:t xml:space="preserve">, </w:t>
      </w:r>
      <w:r w:rsidR="00F2631B">
        <w:t xml:space="preserve">LNG terminals, </w:t>
      </w:r>
      <w:r w:rsidR="003A780D">
        <w:t xml:space="preserve">large storage points, </w:t>
      </w:r>
      <w:r w:rsidR="000042CA">
        <w:t xml:space="preserve">current legislation/regulations for the functioning of the </w:t>
      </w:r>
      <w:r w:rsidR="00932A64">
        <w:t>gas sector</w:t>
      </w:r>
      <w:r w:rsidR="006805C3">
        <w:t xml:space="preserve">, </w:t>
      </w:r>
      <w:r w:rsidR="008C7200">
        <w:t xml:space="preserve">EU and country specific </w:t>
      </w:r>
      <w:r w:rsidR="00CD500C">
        <w:t>policies towards carbon neutrality</w:t>
      </w:r>
      <w:r w:rsidR="0069112A">
        <w:t xml:space="preserve">, </w:t>
      </w:r>
      <w:r w:rsidR="00AC7130">
        <w:t xml:space="preserve">technical parameters for </w:t>
      </w:r>
      <w:r w:rsidR="007A7DAE">
        <w:t xml:space="preserve">alternative gas </w:t>
      </w:r>
      <w:r w:rsidR="00B15660">
        <w:t>production technologies</w:t>
      </w:r>
      <w:r w:rsidR="00B07B25">
        <w:t xml:space="preserve">, </w:t>
      </w:r>
      <w:r w:rsidR="005E6007">
        <w:t xml:space="preserve">planned pilot </w:t>
      </w:r>
      <w:r w:rsidR="003E7D0D">
        <w:t xml:space="preserve">projects </w:t>
      </w:r>
      <w:r w:rsidR="0018428E">
        <w:t>for gas decarboni</w:t>
      </w:r>
      <w:r w:rsidR="004A09C2">
        <w:t>s</w:t>
      </w:r>
      <w:r w:rsidR="0018428E">
        <w:t xml:space="preserve">ation in </w:t>
      </w:r>
      <w:r w:rsidR="00A86F2B">
        <w:t xml:space="preserve">the </w:t>
      </w:r>
      <w:r w:rsidR="0018428E">
        <w:t>Baltic-Finnish zone</w:t>
      </w:r>
      <w:r w:rsidR="00705C8F">
        <w:t xml:space="preserve">, and </w:t>
      </w:r>
      <w:r w:rsidR="00973C5A">
        <w:t xml:space="preserve">country specific </w:t>
      </w:r>
      <w:r w:rsidR="00A01680">
        <w:t>domestic sustainable gas production</w:t>
      </w:r>
      <w:r w:rsidR="00A86F2B">
        <w:t xml:space="preserve"> and potential</w:t>
      </w:r>
      <w:r w:rsidR="00A01680">
        <w:t>.</w:t>
      </w:r>
    </w:p>
    <w:p w14:paraId="6A54066C" w14:textId="7E7DDE26" w:rsidR="00105605" w:rsidRDefault="00834D57" w:rsidP="00DA1F34">
      <w:pPr>
        <w:spacing w:after="120"/>
        <w:jc w:val="both"/>
      </w:pPr>
      <w:r>
        <w:t xml:space="preserve">To collect data that will feed into the socio-economic analysis, many aspects of the Estonian economic system and its anticipated development were investigated, including information on produced </w:t>
      </w:r>
      <w:r w:rsidR="001138C9">
        <w:t>goods,</w:t>
      </w:r>
      <w:r>
        <w:t xml:space="preserve"> and provided services, but also on household incomes and employment parameters.</w:t>
      </w:r>
      <w:r w:rsidR="00DB0887">
        <w:t xml:space="preserve"> The </w:t>
      </w:r>
      <w:r w:rsidR="006F2025">
        <w:t>socio-economic data is not discussed further in this report as detaile</w:t>
      </w:r>
      <w:r w:rsidR="00895CBA">
        <w:t xml:space="preserve">d data tables </w:t>
      </w:r>
      <w:r w:rsidR="005535B3">
        <w:t>are</w:t>
      </w:r>
      <w:r w:rsidR="00C772E5">
        <w:t xml:space="preserve"> provided</w:t>
      </w:r>
      <w:r w:rsidR="00A25973">
        <w:t xml:space="preserve"> separately </w:t>
      </w:r>
      <w:r w:rsidR="00B41CA8">
        <w:t xml:space="preserve">as a </w:t>
      </w:r>
      <w:r w:rsidR="00C03CA4">
        <w:t>Microsoft Excel data file.</w:t>
      </w:r>
    </w:p>
    <w:p w14:paraId="18D0E71C" w14:textId="0E108D95" w:rsidR="003E1B0C" w:rsidRDefault="00F64008" w:rsidP="00372A5E">
      <w:pPr>
        <w:pStyle w:val="pf0"/>
        <w:spacing w:line="360" w:lineRule="auto"/>
        <w:ind w:left="630"/>
        <w:jc w:val="both"/>
        <w:rPr>
          <w:rFonts w:ascii="Trebuchet MS" w:hAnsi="Trebuchet MS"/>
          <w:sz w:val="18"/>
          <w:szCs w:val="18"/>
          <w:lang w:val="en-US"/>
        </w:rPr>
      </w:pPr>
      <w:r w:rsidRPr="00B6722D">
        <w:rPr>
          <w:rFonts w:ascii="Trebuchet MS" w:hAnsi="Trebuchet MS"/>
          <w:b/>
          <w:sz w:val="18"/>
          <w:szCs w:val="18"/>
          <w:lang w:val="en-US"/>
        </w:rPr>
        <w:t>Chapter 2</w:t>
      </w:r>
      <w:r w:rsidRPr="00B6722D">
        <w:rPr>
          <w:rFonts w:ascii="Trebuchet MS" w:hAnsi="Trebuchet MS"/>
          <w:sz w:val="18"/>
          <w:szCs w:val="18"/>
          <w:lang w:val="en-US"/>
        </w:rPr>
        <w:t xml:space="preserve"> of the report </w:t>
      </w:r>
      <w:r w:rsidR="0074618E" w:rsidRPr="00B6722D">
        <w:rPr>
          <w:rFonts w:ascii="Trebuchet MS" w:hAnsi="Trebuchet MS"/>
          <w:sz w:val="18"/>
          <w:szCs w:val="18"/>
          <w:lang w:val="en-US"/>
        </w:rPr>
        <w:t xml:space="preserve">gives the summary of the </w:t>
      </w:r>
      <w:r w:rsidR="007C6873" w:rsidRPr="00B6722D">
        <w:rPr>
          <w:rFonts w:ascii="Trebuchet MS" w:hAnsi="Trebuchet MS"/>
          <w:sz w:val="18"/>
          <w:szCs w:val="18"/>
          <w:lang w:val="en-US"/>
        </w:rPr>
        <w:t xml:space="preserve">collected </w:t>
      </w:r>
      <w:r w:rsidR="0044567F" w:rsidRPr="00B6722D">
        <w:rPr>
          <w:rFonts w:ascii="Trebuchet MS" w:hAnsi="Trebuchet MS"/>
          <w:sz w:val="18"/>
          <w:szCs w:val="18"/>
          <w:lang w:val="en-US"/>
        </w:rPr>
        <w:t>data</w:t>
      </w:r>
      <w:r w:rsidR="00AB1751" w:rsidRPr="00B6722D">
        <w:rPr>
          <w:rFonts w:ascii="Trebuchet MS" w:hAnsi="Trebuchet MS"/>
          <w:sz w:val="18"/>
          <w:szCs w:val="18"/>
          <w:lang w:val="en-US"/>
        </w:rPr>
        <w:t xml:space="preserve">, </w:t>
      </w:r>
      <w:r w:rsidR="0044567F" w:rsidRPr="00B6722D">
        <w:rPr>
          <w:rFonts w:ascii="Trebuchet MS" w:hAnsi="Trebuchet MS"/>
          <w:sz w:val="18"/>
          <w:szCs w:val="18"/>
          <w:lang w:val="en-US"/>
        </w:rPr>
        <w:t>presented in tabular form</w:t>
      </w:r>
      <w:r w:rsidR="0053086E" w:rsidRPr="00B6722D">
        <w:rPr>
          <w:rFonts w:ascii="Trebuchet MS" w:hAnsi="Trebuchet MS"/>
          <w:sz w:val="18"/>
          <w:szCs w:val="18"/>
          <w:lang w:val="en-US"/>
        </w:rPr>
        <w:t>.</w:t>
      </w:r>
      <w:r w:rsidR="002247F1" w:rsidRPr="00B6722D">
        <w:rPr>
          <w:rFonts w:ascii="Trebuchet MS" w:hAnsi="Trebuchet MS"/>
          <w:sz w:val="18"/>
          <w:szCs w:val="18"/>
          <w:lang w:val="en-US"/>
        </w:rPr>
        <w:t xml:space="preserve"> </w:t>
      </w:r>
      <w:r w:rsidR="0053086E" w:rsidRPr="00B6722D">
        <w:rPr>
          <w:rFonts w:ascii="Trebuchet MS" w:hAnsi="Trebuchet MS"/>
          <w:b/>
          <w:sz w:val="18"/>
          <w:szCs w:val="18"/>
          <w:lang w:val="en-US"/>
        </w:rPr>
        <w:t>C</w:t>
      </w:r>
      <w:r w:rsidR="002247F1" w:rsidRPr="00B6722D">
        <w:rPr>
          <w:rFonts w:ascii="Trebuchet MS" w:hAnsi="Trebuchet MS"/>
          <w:b/>
          <w:sz w:val="18"/>
          <w:szCs w:val="18"/>
          <w:lang w:val="en-US"/>
        </w:rPr>
        <w:t>hapter</w:t>
      </w:r>
      <w:r w:rsidR="0044567F" w:rsidRPr="00B6722D">
        <w:rPr>
          <w:rFonts w:ascii="Trebuchet MS" w:hAnsi="Trebuchet MS"/>
          <w:b/>
          <w:sz w:val="18"/>
          <w:szCs w:val="18"/>
          <w:lang w:val="en-US"/>
        </w:rPr>
        <w:t xml:space="preserve"> 3</w:t>
      </w:r>
      <w:r w:rsidR="0044567F" w:rsidRPr="00B6722D">
        <w:rPr>
          <w:rFonts w:ascii="Trebuchet MS" w:hAnsi="Trebuchet MS"/>
          <w:sz w:val="18"/>
          <w:szCs w:val="18"/>
          <w:lang w:val="en-US"/>
        </w:rPr>
        <w:t xml:space="preserve"> </w:t>
      </w:r>
      <w:r w:rsidR="008E23C4" w:rsidRPr="00B6722D">
        <w:rPr>
          <w:rFonts w:ascii="Trebuchet MS" w:hAnsi="Trebuchet MS"/>
          <w:sz w:val="18"/>
          <w:szCs w:val="18"/>
          <w:lang w:val="en-US"/>
        </w:rPr>
        <w:t xml:space="preserve">of the report </w:t>
      </w:r>
      <w:r w:rsidR="00EC0322" w:rsidRPr="00B6722D">
        <w:rPr>
          <w:rFonts w:ascii="Trebuchet MS" w:hAnsi="Trebuchet MS"/>
          <w:sz w:val="18"/>
          <w:szCs w:val="18"/>
          <w:lang w:val="en-US"/>
        </w:rPr>
        <w:t>presents</w:t>
      </w:r>
      <w:r w:rsidR="00ED2BC8" w:rsidRPr="00B6722D">
        <w:rPr>
          <w:rFonts w:ascii="Trebuchet MS" w:hAnsi="Trebuchet MS"/>
          <w:sz w:val="18"/>
          <w:szCs w:val="18"/>
          <w:lang w:val="en-US"/>
        </w:rPr>
        <w:t xml:space="preserve"> the </w:t>
      </w:r>
      <w:r w:rsidR="00B002B7" w:rsidRPr="00B6722D">
        <w:rPr>
          <w:rFonts w:ascii="Trebuchet MS" w:hAnsi="Trebuchet MS"/>
          <w:sz w:val="18"/>
          <w:szCs w:val="18"/>
          <w:lang w:val="en-US"/>
        </w:rPr>
        <w:t>summary of relevant data of the last 5 years, describing the current situation of</w:t>
      </w:r>
      <w:r w:rsidR="00FC1080">
        <w:rPr>
          <w:rFonts w:ascii="Trebuchet MS" w:hAnsi="Trebuchet MS"/>
          <w:sz w:val="18"/>
          <w:szCs w:val="18"/>
          <w:lang w:val="en-US"/>
        </w:rPr>
        <w:t xml:space="preserve"> </w:t>
      </w:r>
      <w:r w:rsidR="00B002B7" w:rsidRPr="00B6722D">
        <w:rPr>
          <w:rFonts w:ascii="Trebuchet MS" w:hAnsi="Trebuchet MS"/>
          <w:sz w:val="18"/>
          <w:szCs w:val="18"/>
          <w:lang w:val="en-US"/>
        </w:rPr>
        <w:t xml:space="preserve">the Estonian </w:t>
      </w:r>
      <w:r w:rsidR="00CA0F37" w:rsidRPr="00B6722D">
        <w:rPr>
          <w:rFonts w:ascii="Trebuchet MS" w:hAnsi="Trebuchet MS"/>
          <w:sz w:val="18"/>
          <w:szCs w:val="18"/>
          <w:lang w:val="en-US"/>
        </w:rPr>
        <w:t>joint gas</w:t>
      </w:r>
      <w:r w:rsidR="00B002B7" w:rsidRPr="00B6722D">
        <w:rPr>
          <w:rFonts w:ascii="Trebuchet MS" w:hAnsi="Trebuchet MS"/>
          <w:sz w:val="18"/>
          <w:szCs w:val="18"/>
          <w:lang w:val="en-US"/>
        </w:rPr>
        <w:t xml:space="preserve"> market (</w:t>
      </w:r>
      <w:r w:rsidR="00D44B91" w:rsidRPr="00B6722D">
        <w:rPr>
          <w:rFonts w:ascii="Trebuchet MS" w:hAnsi="Trebuchet MS"/>
          <w:sz w:val="18"/>
          <w:szCs w:val="18"/>
          <w:lang w:val="en-US"/>
        </w:rPr>
        <w:t>Baltic RGMC countries</w:t>
      </w:r>
      <w:r w:rsidR="00B002B7" w:rsidRPr="00B6722D">
        <w:rPr>
          <w:rFonts w:ascii="Trebuchet MS" w:hAnsi="Trebuchet MS"/>
          <w:sz w:val="18"/>
          <w:szCs w:val="18"/>
          <w:lang w:val="en-US"/>
        </w:rPr>
        <w:t>)</w:t>
      </w:r>
      <w:r w:rsidR="00D44B91" w:rsidRPr="00B6722D">
        <w:rPr>
          <w:rFonts w:ascii="Trebuchet MS" w:hAnsi="Trebuchet MS"/>
          <w:sz w:val="18"/>
          <w:szCs w:val="18"/>
          <w:lang w:val="en-US"/>
        </w:rPr>
        <w:t xml:space="preserve"> </w:t>
      </w:r>
      <w:r w:rsidR="00ED2BC8" w:rsidRPr="00B6722D">
        <w:rPr>
          <w:rFonts w:ascii="Trebuchet MS" w:hAnsi="Trebuchet MS"/>
          <w:sz w:val="18"/>
          <w:szCs w:val="18"/>
          <w:lang w:val="en-US"/>
        </w:rPr>
        <w:t xml:space="preserve">and </w:t>
      </w:r>
      <w:r w:rsidR="00DA245A" w:rsidRPr="00B6722D">
        <w:rPr>
          <w:rFonts w:ascii="Trebuchet MS" w:hAnsi="Trebuchet MS"/>
          <w:sz w:val="18"/>
          <w:szCs w:val="18"/>
          <w:lang w:val="en-US"/>
        </w:rPr>
        <w:t xml:space="preserve">an </w:t>
      </w:r>
      <w:r w:rsidR="00ED2BC8" w:rsidRPr="00B6722D">
        <w:rPr>
          <w:rFonts w:ascii="Trebuchet MS" w:hAnsi="Trebuchet MS"/>
          <w:sz w:val="18"/>
          <w:szCs w:val="18"/>
          <w:lang w:val="en-US"/>
        </w:rPr>
        <w:t xml:space="preserve">overview of current </w:t>
      </w:r>
      <w:r w:rsidR="00D44B91" w:rsidRPr="00B6722D">
        <w:rPr>
          <w:rFonts w:ascii="Trebuchet MS" w:hAnsi="Trebuchet MS"/>
          <w:sz w:val="18"/>
          <w:szCs w:val="18"/>
          <w:lang w:val="en-US"/>
        </w:rPr>
        <w:t>EU</w:t>
      </w:r>
      <w:r w:rsidR="00ED2BC8" w:rsidRPr="00B6722D">
        <w:rPr>
          <w:rFonts w:ascii="Trebuchet MS" w:hAnsi="Trebuchet MS"/>
          <w:sz w:val="18"/>
          <w:szCs w:val="18"/>
          <w:lang w:val="en-US"/>
        </w:rPr>
        <w:t xml:space="preserve"> legislation/regulation </w:t>
      </w:r>
      <w:r w:rsidR="00290B58" w:rsidRPr="00B6722D">
        <w:rPr>
          <w:rFonts w:ascii="Trebuchet MS" w:hAnsi="Trebuchet MS"/>
          <w:sz w:val="18"/>
          <w:szCs w:val="18"/>
          <w:lang w:val="en-US"/>
        </w:rPr>
        <w:t xml:space="preserve">to </w:t>
      </w:r>
      <w:proofErr w:type="spellStart"/>
      <w:r w:rsidR="00DA245A" w:rsidRPr="00B6722D">
        <w:rPr>
          <w:rFonts w:ascii="Trebuchet MS" w:hAnsi="Trebuchet MS"/>
          <w:sz w:val="18"/>
          <w:szCs w:val="18"/>
          <w:lang w:val="en-US"/>
        </w:rPr>
        <w:t>decarboni</w:t>
      </w:r>
      <w:r w:rsidR="00AB1751" w:rsidRPr="00B6722D">
        <w:rPr>
          <w:rFonts w:ascii="Trebuchet MS" w:hAnsi="Trebuchet MS"/>
          <w:sz w:val="18"/>
          <w:szCs w:val="18"/>
          <w:lang w:val="en-US"/>
        </w:rPr>
        <w:t>s</w:t>
      </w:r>
      <w:r w:rsidR="00DA245A" w:rsidRPr="00B6722D">
        <w:rPr>
          <w:rFonts w:ascii="Trebuchet MS" w:hAnsi="Trebuchet MS"/>
          <w:sz w:val="18"/>
          <w:szCs w:val="18"/>
          <w:lang w:val="en-US"/>
        </w:rPr>
        <w:t>e</w:t>
      </w:r>
      <w:proofErr w:type="spellEnd"/>
      <w:r w:rsidR="00290B58" w:rsidRPr="00B6722D">
        <w:rPr>
          <w:rFonts w:ascii="Trebuchet MS" w:hAnsi="Trebuchet MS"/>
          <w:sz w:val="18"/>
          <w:szCs w:val="18"/>
          <w:lang w:val="en-US"/>
        </w:rPr>
        <w:t xml:space="preserve"> the gas sector</w:t>
      </w:r>
      <w:r w:rsidR="0053086E" w:rsidRPr="00B6722D">
        <w:rPr>
          <w:rFonts w:ascii="Trebuchet MS" w:hAnsi="Trebuchet MS"/>
          <w:sz w:val="18"/>
          <w:szCs w:val="18"/>
          <w:lang w:val="en-US"/>
        </w:rPr>
        <w:t>.</w:t>
      </w:r>
      <w:r w:rsidR="00B002B7" w:rsidRPr="00B6722D">
        <w:rPr>
          <w:rFonts w:ascii="Trebuchet MS" w:hAnsi="Trebuchet MS"/>
          <w:sz w:val="18"/>
          <w:szCs w:val="18"/>
          <w:lang w:val="en-US"/>
        </w:rPr>
        <w:t xml:space="preserve"> This is relevant for describing the changes coming for each Estonian market participants and their part in </w:t>
      </w:r>
      <w:proofErr w:type="spellStart"/>
      <w:r w:rsidR="00B002B7" w:rsidRPr="00B6722D">
        <w:rPr>
          <w:rFonts w:ascii="Trebuchet MS" w:hAnsi="Trebuchet MS"/>
          <w:sz w:val="18"/>
          <w:szCs w:val="18"/>
          <w:lang w:val="en-US"/>
        </w:rPr>
        <w:t>decarbonisation</w:t>
      </w:r>
      <w:proofErr w:type="spellEnd"/>
      <w:r w:rsidR="00B002B7" w:rsidRPr="00B6722D">
        <w:rPr>
          <w:rFonts w:ascii="Trebuchet MS" w:hAnsi="Trebuchet MS"/>
          <w:sz w:val="18"/>
          <w:szCs w:val="18"/>
          <w:lang w:val="en-US"/>
        </w:rPr>
        <w:t xml:space="preserve"> of the gas network. </w:t>
      </w:r>
      <w:r w:rsidR="0053086E" w:rsidRPr="00B6722D">
        <w:rPr>
          <w:rFonts w:ascii="Trebuchet MS" w:hAnsi="Trebuchet MS"/>
          <w:b/>
          <w:sz w:val="18"/>
          <w:szCs w:val="18"/>
          <w:lang w:val="en-US"/>
        </w:rPr>
        <w:t>C</w:t>
      </w:r>
      <w:r w:rsidR="002247F1" w:rsidRPr="00B6722D">
        <w:rPr>
          <w:rFonts w:ascii="Trebuchet MS" w:hAnsi="Trebuchet MS"/>
          <w:b/>
          <w:sz w:val="18"/>
          <w:szCs w:val="18"/>
          <w:lang w:val="en-US"/>
        </w:rPr>
        <w:t>hapter</w:t>
      </w:r>
      <w:r w:rsidR="00810AC4" w:rsidRPr="00B6722D">
        <w:rPr>
          <w:rFonts w:ascii="Trebuchet MS" w:hAnsi="Trebuchet MS"/>
          <w:b/>
          <w:sz w:val="18"/>
          <w:szCs w:val="18"/>
          <w:lang w:val="en-US"/>
        </w:rPr>
        <w:t xml:space="preserve"> 4</w:t>
      </w:r>
      <w:r w:rsidR="00810AC4" w:rsidRPr="00B6722D">
        <w:rPr>
          <w:rFonts w:ascii="Trebuchet MS" w:hAnsi="Trebuchet MS"/>
          <w:sz w:val="18"/>
          <w:szCs w:val="18"/>
          <w:lang w:val="en-US"/>
        </w:rPr>
        <w:t xml:space="preserve"> </w:t>
      </w:r>
      <w:r w:rsidR="00230D13" w:rsidRPr="00B6722D">
        <w:rPr>
          <w:rFonts w:ascii="Trebuchet MS" w:hAnsi="Trebuchet MS"/>
          <w:sz w:val="18"/>
          <w:szCs w:val="18"/>
          <w:lang w:val="en-US"/>
        </w:rPr>
        <w:t xml:space="preserve">of the report </w:t>
      </w:r>
      <w:r w:rsidR="00AF1648" w:rsidRPr="00B6722D">
        <w:rPr>
          <w:rFonts w:ascii="Trebuchet MS" w:hAnsi="Trebuchet MS"/>
          <w:sz w:val="18"/>
          <w:szCs w:val="18"/>
          <w:lang w:val="en-US"/>
        </w:rPr>
        <w:t xml:space="preserve">gives the </w:t>
      </w:r>
      <w:r w:rsidR="00AC3963" w:rsidRPr="00B6722D">
        <w:rPr>
          <w:rFonts w:ascii="Trebuchet MS" w:hAnsi="Trebuchet MS"/>
          <w:sz w:val="18"/>
          <w:szCs w:val="18"/>
          <w:lang w:val="en-US"/>
        </w:rPr>
        <w:t>trends to 2050 based on existing EU and national level policies</w:t>
      </w:r>
      <w:r w:rsidR="00B2400A" w:rsidRPr="00B6722D">
        <w:rPr>
          <w:rFonts w:ascii="Trebuchet MS" w:hAnsi="Trebuchet MS"/>
          <w:sz w:val="18"/>
          <w:szCs w:val="18"/>
          <w:lang w:val="en-US"/>
        </w:rPr>
        <w:t xml:space="preserve"> with </w:t>
      </w:r>
      <w:r w:rsidR="00A076B8" w:rsidRPr="00B6722D">
        <w:rPr>
          <w:rFonts w:ascii="Trebuchet MS" w:hAnsi="Trebuchet MS"/>
          <w:sz w:val="18"/>
          <w:szCs w:val="18"/>
          <w:lang w:val="en-US"/>
        </w:rPr>
        <w:t>different sector-specific targets</w:t>
      </w:r>
      <w:r w:rsidR="00405412" w:rsidRPr="00B6722D">
        <w:rPr>
          <w:rFonts w:ascii="Trebuchet MS" w:hAnsi="Trebuchet MS"/>
          <w:sz w:val="18"/>
          <w:szCs w:val="18"/>
          <w:lang w:val="en-US"/>
        </w:rPr>
        <w:t>. I</w:t>
      </w:r>
      <w:r w:rsidR="00AC3963" w:rsidRPr="00B6722D">
        <w:rPr>
          <w:rFonts w:ascii="Trebuchet MS" w:hAnsi="Trebuchet MS"/>
          <w:sz w:val="18"/>
          <w:szCs w:val="18"/>
          <w:lang w:val="en-US"/>
        </w:rPr>
        <w:t xml:space="preserve">n this section </w:t>
      </w:r>
      <w:r w:rsidR="00777326" w:rsidRPr="00B6722D">
        <w:rPr>
          <w:rFonts w:ascii="Trebuchet MS" w:hAnsi="Trebuchet MS"/>
          <w:sz w:val="18"/>
          <w:szCs w:val="18"/>
          <w:lang w:val="en-US"/>
        </w:rPr>
        <w:t xml:space="preserve">EU </w:t>
      </w:r>
      <w:r w:rsidR="00F84A67" w:rsidRPr="00B6722D">
        <w:rPr>
          <w:rFonts w:ascii="Trebuchet MS" w:hAnsi="Trebuchet MS"/>
          <w:sz w:val="18"/>
          <w:szCs w:val="18"/>
          <w:lang w:val="en-US"/>
        </w:rPr>
        <w:t xml:space="preserve">targets </w:t>
      </w:r>
      <w:r w:rsidR="004D4D9C" w:rsidRPr="00B6722D">
        <w:rPr>
          <w:rFonts w:ascii="Trebuchet MS" w:hAnsi="Trebuchet MS"/>
          <w:sz w:val="18"/>
          <w:szCs w:val="18"/>
          <w:lang w:val="en-US"/>
        </w:rPr>
        <w:t>and count</w:t>
      </w:r>
      <w:r w:rsidR="002B400F" w:rsidRPr="00B6722D">
        <w:rPr>
          <w:rFonts w:ascii="Trebuchet MS" w:hAnsi="Trebuchet MS"/>
          <w:sz w:val="18"/>
          <w:szCs w:val="18"/>
          <w:lang w:val="en-US"/>
        </w:rPr>
        <w:t>ry specific</w:t>
      </w:r>
      <w:r w:rsidR="004D4D9C" w:rsidRPr="00B6722D">
        <w:rPr>
          <w:rFonts w:ascii="Trebuchet MS" w:hAnsi="Trebuchet MS"/>
          <w:sz w:val="18"/>
          <w:szCs w:val="18"/>
          <w:lang w:val="en-US"/>
        </w:rPr>
        <w:t xml:space="preserve"> </w:t>
      </w:r>
      <w:r w:rsidR="00AC3963" w:rsidRPr="00B6722D">
        <w:rPr>
          <w:rFonts w:ascii="Trebuchet MS" w:hAnsi="Trebuchet MS"/>
          <w:sz w:val="18"/>
          <w:szCs w:val="18"/>
          <w:lang w:val="en-US"/>
        </w:rPr>
        <w:t>NECPs</w:t>
      </w:r>
      <w:r w:rsidR="003D5A29" w:rsidRPr="00B6722D">
        <w:rPr>
          <w:rFonts w:ascii="Trebuchet MS" w:hAnsi="Trebuchet MS"/>
          <w:sz w:val="18"/>
          <w:szCs w:val="18"/>
          <w:lang w:val="en-US"/>
        </w:rPr>
        <w:t xml:space="preserve"> and </w:t>
      </w:r>
      <w:r w:rsidR="00AC3963" w:rsidRPr="00B6722D">
        <w:rPr>
          <w:rFonts w:ascii="Trebuchet MS" w:hAnsi="Trebuchet MS"/>
          <w:sz w:val="18"/>
          <w:szCs w:val="18"/>
          <w:lang w:val="en-US"/>
        </w:rPr>
        <w:t>NDPs</w:t>
      </w:r>
      <w:r w:rsidR="004D4D9C" w:rsidRPr="00B6722D">
        <w:rPr>
          <w:rFonts w:ascii="Trebuchet MS" w:hAnsi="Trebuchet MS"/>
          <w:sz w:val="18"/>
          <w:szCs w:val="18"/>
          <w:lang w:val="en-US"/>
        </w:rPr>
        <w:t xml:space="preserve"> are </w:t>
      </w:r>
      <w:r w:rsidR="00D66517" w:rsidRPr="00B6722D">
        <w:rPr>
          <w:rFonts w:ascii="Trebuchet MS" w:hAnsi="Trebuchet MS"/>
          <w:sz w:val="18"/>
          <w:szCs w:val="18"/>
          <w:lang w:val="en-US"/>
        </w:rPr>
        <w:t>investigated</w:t>
      </w:r>
      <w:r w:rsidR="002B400F" w:rsidRPr="00B6722D">
        <w:rPr>
          <w:rFonts w:ascii="Trebuchet MS" w:hAnsi="Trebuchet MS"/>
          <w:sz w:val="18"/>
          <w:szCs w:val="18"/>
          <w:lang w:val="en-US"/>
        </w:rPr>
        <w:t>. D</w:t>
      </w:r>
      <w:r w:rsidR="00840838" w:rsidRPr="00B6722D">
        <w:rPr>
          <w:rFonts w:ascii="Trebuchet MS" w:hAnsi="Trebuchet MS"/>
          <w:sz w:val="18"/>
          <w:szCs w:val="18"/>
          <w:lang w:val="en-US"/>
        </w:rPr>
        <w:t xml:space="preserve">uring the </w:t>
      </w:r>
      <w:r w:rsidR="00CD663B" w:rsidRPr="00B6722D">
        <w:rPr>
          <w:rFonts w:ascii="Trebuchet MS" w:hAnsi="Trebuchet MS"/>
          <w:sz w:val="18"/>
          <w:szCs w:val="18"/>
          <w:lang w:val="en-US"/>
        </w:rPr>
        <w:t>D3 modelling</w:t>
      </w:r>
      <w:r w:rsidR="00B2400A" w:rsidRPr="00B6722D">
        <w:rPr>
          <w:rFonts w:ascii="Trebuchet MS" w:hAnsi="Trebuchet MS"/>
          <w:sz w:val="18"/>
          <w:szCs w:val="18"/>
          <w:lang w:val="en-US"/>
        </w:rPr>
        <w:t>, all these policies and sectoral</w:t>
      </w:r>
      <w:r w:rsidR="00D66517" w:rsidRPr="00B6722D">
        <w:rPr>
          <w:rFonts w:ascii="Trebuchet MS" w:hAnsi="Trebuchet MS"/>
          <w:sz w:val="18"/>
          <w:szCs w:val="18"/>
          <w:lang w:val="en-US"/>
        </w:rPr>
        <w:t xml:space="preserve"> targets </w:t>
      </w:r>
      <w:r w:rsidR="00B2400A" w:rsidRPr="00B6722D">
        <w:rPr>
          <w:rFonts w:ascii="Trebuchet MS" w:hAnsi="Trebuchet MS"/>
          <w:sz w:val="18"/>
          <w:szCs w:val="18"/>
          <w:lang w:val="en-US"/>
        </w:rPr>
        <w:t xml:space="preserve">will be </w:t>
      </w:r>
      <w:r w:rsidR="005D7A7B" w:rsidRPr="00B6722D">
        <w:rPr>
          <w:rFonts w:ascii="Trebuchet MS" w:hAnsi="Trebuchet MS"/>
          <w:sz w:val="18"/>
          <w:szCs w:val="18"/>
          <w:lang w:val="en-US"/>
        </w:rPr>
        <w:t>considered</w:t>
      </w:r>
      <w:r w:rsidR="0053086E" w:rsidRPr="00B6722D">
        <w:rPr>
          <w:rFonts w:ascii="Trebuchet MS" w:hAnsi="Trebuchet MS"/>
          <w:sz w:val="18"/>
          <w:szCs w:val="18"/>
          <w:lang w:val="en-US"/>
        </w:rPr>
        <w:t>.</w:t>
      </w:r>
      <w:r w:rsidR="00E64E6C" w:rsidRPr="00B6722D">
        <w:rPr>
          <w:rFonts w:ascii="Trebuchet MS" w:hAnsi="Trebuchet MS"/>
          <w:sz w:val="18"/>
          <w:szCs w:val="18"/>
          <w:lang w:val="en-US"/>
        </w:rPr>
        <w:t xml:space="preserve"> </w:t>
      </w:r>
      <w:r w:rsidR="0053086E" w:rsidRPr="00B6722D">
        <w:rPr>
          <w:rFonts w:ascii="Trebuchet MS" w:hAnsi="Trebuchet MS"/>
          <w:b/>
          <w:sz w:val="18"/>
          <w:szCs w:val="18"/>
          <w:lang w:val="en-US"/>
        </w:rPr>
        <w:t>C</w:t>
      </w:r>
      <w:r w:rsidR="002247F1" w:rsidRPr="00B6722D">
        <w:rPr>
          <w:rFonts w:ascii="Trebuchet MS" w:hAnsi="Trebuchet MS"/>
          <w:b/>
          <w:sz w:val="18"/>
          <w:szCs w:val="18"/>
          <w:lang w:val="en-US"/>
        </w:rPr>
        <w:t xml:space="preserve">hapter </w:t>
      </w:r>
      <w:r w:rsidR="005818E5" w:rsidRPr="00B6722D">
        <w:rPr>
          <w:rFonts w:ascii="Trebuchet MS" w:hAnsi="Trebuchet MS"/>
          <w:b/>
          <w:sz w:val="18"/>
          <w:szCs w:val="18"/>
          <w:lang w:val="en-US"/>
        </w:rPr>
        <w:t>5</w:t>
      </w:r>
      <w:r w:rsidR="005818E5" w:rsidRPr="00B6722D">
        <w:rPr>
          <w:rFonts w:ascii="Trebuchet MS" w:hAnsi="Trebuchet MS"/>
          <w:sz w:val="18"/>
          <w:szCs w:val="18"/>
          <w:lang w:val="en-US"/>
        </w:rPr>
        <w:t xml:space="preserve"> of the report </w:t>
      </w:r>
      <w:r w:rsidR="00451896" w:rsidRPr="00B6722D">
        <w:rPr>
          <w:rFonts w:ascii="Trebuchet MS" w:hAnsi="Trebuchet MS"/>
          <w:sz w:val="18"/>
          <w:szCs w:val="18"/>
          <w:lang w:val="en-US"/>
        </w:rPr>
        <w:t>g</w:t>
      </w:r>
      <w:r w:rsidR="00B967A2" w:rsidRPr="00B6722D">
        <w:rPr>
          <w:rFonts w:ascii="Trebuchet MS" w:hAnsi="Trebuchet MS"/>
          <w:sz w:val="18"/>
          <w:szCs w:val="18"/>
          <w:lang w:val="en-US"/>
        </w:rPr>
        <w:t xml:space="preserve">ives </w:t>
      </w:r>
      <w:r w:rsidR="00DA245A" w:rsidRPr="00B6722D">
        <w:rPr>
          <w:rFonts w:ascii="Trebuchet MS" w:hAnsi="Trebuchet MS"/>
          <w:sz w:val="18"/>
          <w:szCs w:val="18"/>
          <w:lang w:val="en-US"/>
        </w:rPr>
        <w:t>an</w:t>
      </w:r>
      <w:r w:rsidR="00B967A2" w:rsidRPr="00B6722D">
        <w:rPr>
          <w:rFonts w:ascii="Trebuchet MS" w:hAnsi="Trebuchet MS"/>
          <w:sz w:val="18"/>
          <w:szCs w:val="18"/>
          <w:lang w:val="en-US"/>
        </w:rPr>
        <w:t xml:space="preserve"> overview of suitable </w:t>
      </w:r>
      <w:proofErr w:type="spellStart"/>
      <w:r w:rsidR="00DA245A" w:rsidRPr="00B6722D">
        <w:rPr>
          <w:rFonts w:ascii="Trebuchet MS" w:hAnsi="Trebuchet MS"/>
          <w:sz w:val="18"/>
          <w:szCs w:val="18"/>
          <w:lang w:val="en-US"/>
        </w:rPr>
        <w:t>decarboni</w:t>
      </w:r>
      <w:r w:rsidR="00E64E6C" w:rsidRPr="00B6722D">
        <w:rPr>
          <w:rFonts w:ascii="Trebuchet MS" w:hAnsi="Trebuchet MS"/>
          <w:sz w:val="18"/>
          <w:szCs w:val="18"/>
          <w:lang w:val="en-US"/>
        </w:rPr>
        <w:t>s</w:t>
      </w:r>
      <w:r w:rsidR="00DA245A" w:rsidRPr="00B6722D">
        <w:rPr>
          <w:rFonts w:ascii="Trebuchet MS" w:hAnsi="Trebuchet MS"/>
          <w:sz w:val="18"/>
          <w:szCs w:val="18"/>
          <w:lang w:val="en-US"/>
        </w:rPr>
        <w:t>ed</w:t>
      </w:r>
      <w:proofErr w:type="spellEnd"/>
      <w:r w:rsidR="00B967A2" w:rsidRPr="00B6722D">
        <w:rPr>
          <w:rFonts w:ascii="Trebuchet MS" w:hAnsi="Trebuchet MS"/>
          <w:sz w:val="18"/>
          <w:szCs w:val="18"/>
          <w:lang w:val="en-US"/>
        </w:rPr>
        <w:t xml:space="preserve"> technologies </w:t>
      </w:r>
      <w:r w:rsidR="00665B15" w:rsidRPr="00B6722D">
        <w:rPr>
          <w:rFonts w:ascii="Trebuchet MS" w:hAnsi="Trebuchet MS"/>
          <w:sz w:val="18"/>
          <w:szCs w:val="18"/>
          <w:lang w:val="en-US"/>
        </w:rPr>
        <w:t xml:space="preserve">(i.e. in 5 years or more) </w:t>
      </w:r>
      <w:r w:rsidR="00E548DA" w:rsidRPr="00B6722D">
        <w:rPr>
          <w:rFonts w:ascii="Trebuchet MS" w:hAnsi="Trebuchet MS"/>
          <w:sz w:val="18"/>
          <w:szCs w:val="18"/>
          <w:lang w:val="en-US"/>
        </w:rPr>
        <w:t>enabling</w:t>
      </w:r>
      <w:r w:rsidR="009D4930" w:rsidRPr="00B6722D">
        <w:rPr>
          <w:rFonts w:ascii="Trebuchet MS" w:hAnsi="Trebuchet MS"/>
          <w:sz w:val="18"/>
          <w:szCs w:val="18"/>
          <w:lang w:val="en-US"/>
        </w:rPr>
        <w:t xml:space="preserve"> the Estonian gas network</w:t>
      </w:r>
      <w:r w:rsidR="00A71D45" w:rsidRPr="00B6722D">
        <w:rPr>
          <w:rFonts w:ascii="Trebuchet MS" w:hAnsi="Trebuchet MS"/>
          <w:sz w:val="18"/>
          <w:szCs w:val="18"/>
          <w:lang w:val="en-US"/>
        </w:rPr>
        <w:t xml:space="preserve"> to become carbon neutral</w:t>
      </w:r>
      <w:r w:rsidR="00E548DA" w:rsidRPr="00B6722D">
        <w:rPr>
          <w:rFonts w:ascii="Trebuchet MS" w:hAnsi="Trebuchet MS"/>
          <w:sz w:val="18"/>
          <w:szCs w:val="18"/>
          <w:lang w:val="en-US"/>
        </w:rPr>
        <w:t xml:space="preserve"> </w:t>
      </w:r>
      <w:r w:rsidR="007D2A49" w:rsidRPr="00B6722D">
        <w:rPr>
          <w:rFonts w:ascii="Trebuchet MS" w:hAnsi="Trebuchet MS"/>
          <w:sz w:val="18"/>
          <w:szCs w:val="18"/>
          <w:lang w:val="en-US"/>
        </w:rPr>
        <w:t xml:space="preserve">with </w:t>
      </w:r>
      <w:r w:rsidR="0053086E" w:rsidRPr="00B6722D">
        <w:rPr>
          <w:rFonts w:ascii="Trebuchet MS" w:hAnsi="Trebuchet MS"/>
          <w:sz w:val="18"/>
          <w:szCs w:val="18"/>
          <w:lang w:val="en-US"/>
        </w:rPr>
        <w:t xml:space="preserve">different </w:t>
      </w:r>
      <w:r w:rsidR="005325FD" w:rsidRPr="00B6722D">
        <w:rPr>
          <w:rFonts w:ascii="Trebuchet MS" w:hAnsi="Trebuchet MS"/>
          <w:sz w:val="18"/>
          <w:szCs w:val="18"/>
          <w:lang w:val="en-US"/>
        </w:rPr>
        <w:t xml:space="preserve">technologies </w:t>
      </w:r>
      <w:r w:rsidR="00762E9D" w:rsidRPr="00B6722D">
        <w:rPr>
          <w:rFonts w:ascii="Trebuchet MS" w:hAnsi="Trebuchet MS"/>
          <w:sz w:val="18"/>
          <w:szCs w:val="18"/>
          <w:lang w:val="en-US"/>
        </w:rPr>
        <w:t xml:space="preserve">and its </w:t>
      </w:r>
      <w:r w:rsidR="0053086E" w:rsidRPr="00B6722D">
        <w:rPr>
          <w:rFonts w:ascii="Trebuchet MS" w:hAnsi="Trebuchet MS"/>
          <w:sz w:val="18"/>
          <w:szCs w:val="18"/>
          <w:lang w:val="en-US"/>
        </w:rPr>
        <w:t>parameters such as</w:t>
      </w:r>
      <w:r w:rsidR="007D2A49" w:rsidRPr="00B6722D">
        <w:rPr>
          <w:rFonts w:ascii="Trebuchet MS" w:hAnsi="Trebuchet MS"/>
          <w:sz w:val="18"/>
          <w:szCs w:val="18"/>
          <w:lang w:val="en-US"/>
        </w:rPr>
        <w:t xml:space="preserve"> cost</w:t>
      </w:r>
      <w:r w:rsidR="00043069" w:rsidRPr="00B6722D">
        <w:rPr>
          <w:rFonts w:ascii="Trebuchet MS" w:hAnsi="Trebuchet MS"/>
          <w:sz w:val="18"/>
          <w:szCs w:val="18"/>
          <w:lang w:val="en-US"/>
        </w:rPr>
        <w:t>, TRL</w:t>
      </w:r>
      <w:r w:rsidR="00612FEE" w:rsidRPr="00B6722D">
        <w:rPr>
          <w:rFonts w:ascii="Trebuchet MS" w:hAnsi="Trebuchet MS"/>
          <w:sz w:val="18"/>
          <w:szCs w:val="18"/>
          <w:lang w:val="en-US"/>
        </w:rPr>
        <w:t xml:space="preserve">, </w:t>
      </w:r>
      <w:r w:rsidR="00B1477F" w:rsidRPr="00B6722D">
        <w:rPr>
          <w:rFonts w:ascii="Trebuchet MS" w:hAnsi="Trebuchet MS"/>
          <w:sz w:val="18"/>
          <w:szCs w:val="18"/>
          <w:lang w:val="en-US"/>
        </w:rPr>
        <w:t>and efficiency</w:t>
      </w:r>
      <w:r w:rsidR="00612FEE" w:rsidRPr="00B6722D">
        <w:rPr>
          <w:rFonts w:ascii="Trebuchet MS" w:hAnsi="Trebuchet MS"/>
          <w:sz w:val="18"/>
          <w:szCs w:val="18"/>
          <w:lang w:val="en-US"/>
        </w:rPr>
        <w:t xml:space="preserve">. </w:t>
      </w:r>
      <w:r w:rsidR="009F0816" w:rsidRPr="00C558C2">
        <w:rPr>
          <w:rFonts w:ascii="Trebuchet MS" w:hAnsi="Trebuchet MS" w:cs="Segoe UI"/>
          <w:sz w:val="18"/>
          <w:szCs w:val="18"/>
          <w:lang w:val="en-US" w:eastAsia="en-US"/>
        </w:rPr>
        <w:t xml:space="preserve">A better understanding of the technology readiness is critical in making good decisions about the inclusion, development and integration of new technologies in complex projects: for these reasons, the Technology Readiness Level (TRL) will be used tool for readiness assessment, also to detail the planned implementation, for technologies related to production, storage, demand/response in the context of the gas market. </w:t>
      </w:r>
      <w:r w:rsidR="00B1477F" w:rsidRPr="00B6722D">
        <w:rPr>
          <w:rFonts w:ascii="Trebuchet MS" w:hAnsi="Trebuchet MS"/>
          <w:sz w:val="18"/>
          <w:szCs w:val="18"/>
          <w:lang w:val="en-US"/>
        </w:rPr>
        <w:t>Also,</w:t>
      </w:r>
      <w:r w:rsidR="00612FEE" w:rsidRPr="00B6722D">
        <w:rPr>
          <w:rFonts w:ascii="Trebuchet MS" w:hAnsi="Trebuchet MS"/>
          <w:sz w:val="18"/>
          <w:szCs w:val="18"/>
          <w:lang w:val="en-US"/>
        </w:rPr>
        <w:t xml:space="preserve"> ongoing </w:t>
      </w:r>
      <w:r w:rsidR="00C35BD1" w:rsidRPr="00B6722D">
        <w:rPr>
          <w:rFonts w:ascii="Trebuchet MS" w:hAnsi="Trebuchet MS"/>
          <w:sz w:val="18"/>
          <w:szCs w:val="18"/>
          <w:lang w:val="en-US"/>
        </w:rPr>
        <w:t xml:space="preserve">and planned </w:t>
      </w:r>
      <w:r w:rsidR="00612FEE" w:rsidRPr="00B6722D">
        <w:rPr>
          <w:rFonts w:ascii="Trebuchet MS" w:hAnsi="Trebuchet MS"/>
          <w:sz w:val="18"/>
          <w:szCs w:val="18"/>
          <w:lang w:val="en-US"/>
        </w:rPr>
        <w:t>pilot projects</w:t>
      </w:r>
      <w:r w:rsidR="00B1477F" w:rsidRPr="00B6722D">
        <w:rPr>
          <w:rFonts w:ascii="Trebuchet MS" w:hAnsi="Trebuchet MS"/>
          <w:sz w:val="18"/>
          <w:szCs w:val="18"/>
          <w:lang w:val="en-US"/>
        </w:rPr>
        <w:t xml:space="preserve"> in</w:t>
      </w:r>
      <w:r w:rsidR="00E64E6C" w:rsidRPr="00B6722D">
        <w:rPr>
          <w:rFonts w:ascii="Trebuchet MS" w:hAnsi="Trebuchet MS"/>
          <w:sz w:val="18"/>
          <w:szCs w:val="18"/>
          <w:lang w:val="en-US"/>
        </w:rPr>
        <w:t xml:space="preserve"> the</w:t>
      </w:r>
      <w:r w:rsidR="00B1477F" w:rsidRPr="00B6722D">
        <w:rPr>
          <w:rFonts w:ascii="Trebuchet MS" w:hAnsi="Trebuchet MS"/>
          <w:sz w:val="18"/>
          <w:szCs w:val="18"/>
          <w:lang w:val="en-US"/>
        </w:rPr>
        <w:t xml:space="preserve"> Baltic-Finnish zone </w:t>
      </w:r>
      <w:r w:rsidR="009F0816" w:rsidRPr="00B6722D">
        <w:rPr>
          <w:rFonts w:ascii="Trebuchet MS" w:hAnsi="Trebuchet MS"/>
          <w:sz w:val="18"/>
          <w:szCs w:val="18"/>
          <w:lang w:val="en-US"/>
        </w:rPr>
        <w:t xml:space="preserve">geographical </w:t>
      </w:r>
      <w:r w:rsidR="00B1477F" w:rsidRPr="00B6722D">
        <w:rPr>
          <w:rFonts w:ascii="Trebuchet MS" w:hAnsi="Trebuchet MS"/>
          <w:sz w:val="18"/>
          <w:szCs w:val="18"/>
          <w:lang w:val="en-US"/>
        </w:rPr>
        <w:t xml:space="preserve">and </w:t>
      </w:r>
      <w:r w:rsidR="0081652A" w:rsidRPr="00B6722D">
        <w:rPr>
          <w:rFonts w:ascii="Trebuchet MS" w:hAnsi="Trebuchet MS"/>
          <w:sz w:val="18"/>
          <w:szCs w:val="18"/>
          <w:lang w:val="en-US"/>
        </w:rPr>
        <w:t xml:space="preserve">in </w:t>
      </w:r>
      <w:proofErr w:type="spellStart"/>
      <w:r w:rsidR="0081652A" w:rsidRPr="00B6722D">
        <w:rPr>
          <w:rFonts w:ascii="Trebuchet MS" w:hAnsi="Trebuchet MS"/>
          <w:sz w:val="18"/>
          <w:szCs w:val="18"/>
          <w:lang w:val="en-US"/>
        </w:rPr>
        <w:t>neighbouring</w:t>
      </w:r>
      <w:proofErr w:type="spellEnd"/>
      <w:r w:rsidR="0081652A" w:rsidRPr="00B6722D">
        <w:rPr>
          <w:rFonts w:ascii="Trebuchet MS" w:hAnsi="Trebuchet MS"/>
          <w:sz w:val="18"/>
          <w:szCs w:val="18"/>
          <w:lang w:val="en-US"/>
        </w:rPr>
        <w:t xml:space="preserve"> EU countries</w:t>
      </w:r>
      <w:r w:rsidR="00612FEE" w:rsidRPr="00B6722D">
        <w:rPr>
          <w:rFonts w:ascii="Trebuchet MS" w:hAnsi="Trebuchet MS"/>
          <w:sz w:val="18"/>
          <w:szCs w:val="18"/>
          <w:lang w:val="en-US"/>
        </w:rPr>
        <w:t xml:space="preserve"> to </w:t>
      </w:r>
      <w:proofErr w:type="spellStart"/>
      <w:r w:rsidR="00612FEE" w:rsidRPr="00B6722D">
        <w:rPr>
          <w:rFonts w:ascii="Trebuchet MS" w:hAnsi="Trebuchet MS"/>
          <w:sz w:val="18"/>
          <w:szCs w:val="18"/>
          <w:lang w:val="en-US"/>
        </w:rPr>
        <w:t>decarboni</w:t>
      </w:r>
      <w:r w:rsidR="00E64E6C" w:rsidRPr="00B6722D">
        <w:rPr>
          <w:rFonts w:ascii="Trebuchet MS" w:hAnsi="Trebuchet MS"/>
          <w:sz w:val="18"/>
          <w:szCs w:val="18"/>
          <w:lang w:val="en-US"/>
        </w:rPr>
        <w:t>s</w:t>
      </w:r>
      <w:r w:rsidR="00612FEE" w:rsidRPr="00B6722D">
        <w:rPr>
          <w:rFonts w:ascii="Trebuchet MS" w:hAnsi="Trebuchet MS"/>
          <w:sz w:val="18"/>
          <w:szCs w:val="18"/>
          <w:lang w:val="en-US"/>
        </w:rPr>
        <w:t>e</w:t>
      </w:r>
      <w:proofErr w:type="spellEnd"/>
      <w:r w:rsidR="00612FEE" w:rsidRPr="00B6722D">
        <w:rPr>
          <w:rFonts w:ascii="Trebuchet MS" w:hAnsi="Trebuchet MS"/>
          <w:sz w:val="18"/>
          <w:szCs w:val="18"/>
          <w:lang w:val="en-US"/>
        </w:rPr>
        <w:t xml:space="preserve"> the gas sector</w:t>
      </w:r>
      <w:r w:rsidR="00A05D6D" w:rsidRPr="00B6722D">
        <w:rPr>
          <w:rFonts w:ascii="Trebuchet MS" w:hAnsi="Trebuchet MS"/>
          <w:sz w:val="18"/>
          <w:szCs w:val="18"/>
          <w:lang w:val="en-US"/>
        </w:rPr>
        <w:t xml:space="preserve"> are listed</w:t>
      </w:r>
      <w:r w:rsidR="00D60EAA" w:rsidRPr="00B6722D">
        <w:rPr>
          <w:rFonts w:ascii="Trebuchet MS" w:hAnsi="Trebuchet MS"/>
          <w:sz w:val="18"/>
          <w:szCs w:val="18"/>
          <w:lang w:val="en-US"/>
        </w:rPr>
        <w:t xml:space="preserve"> in this chapter</w:t>
      </w:r>
      <w:r w:rsidR="0053086E" w:rsidRPr="00B6722D">
        <w:rPr>
          <w:rFonts w:ascii="Trebuchet MS" w:hAnsi="Trebuchet MS"/>
          <w:sz w:val="18"/>
          <w:szCs w:val="18"/>
          <w:lang w:val="en-US"/>
        </w:rPr>
        <w:t>.</w:t>
      </w:r>
      <w:r w:rsidR="002247F1" w:rsidRPr="00B6722D">
        <w:rPr>
          <w:rFonts w:ascii="Trebuchet MS" w:hAnsi="Trebuchet MS"/>
          <w:sz w:val="18"/>
          <w:szCs w:val="18"/>
          <w:lang w:val="en-US"/>
        </w:rPr>
        <w:t xml:space="preserve"> </w:t>
      </w:r>
      <w:r w:rsidR="00BA5367" w:rsidRPr="00B6722D">
        <w:rPr>
          <w:rFonts w:ascii="Trebuchet MS" w:hAnsi="Trebuchet MS"/>
          <w:sz w:val="18"/>
          <w:szCs w:val="18"/>
          <w:lang w:val="en-US"/>
        </w:rPr>
        <w:t xml:space="preserve">Finally, </w:t>
      </w:r>
      <w:r w:rsidR="0053086E" w:rsidRPr="00B6722D">
        <w:rPr>
          <w:rFonts w:ascii="Trebuchet MS" w:hAnsi="Trebuchet MS"/>
          <w:b/>
          <w:sz w:val="18"/>
          <w:szCs w:val="18"/>
          <w:lang w:val="en-US"/>
        </w:rPr>
        <w:t>C</w:t>
      </w:r>
      <w:r w:rsidR="002247F1" w:rsidRPr="00B6722D">
        <w:rPr>
          <w:rFonts w:ascii="Trebuchet MS" w:hAnsi="Trebuchet MS"/>
          <w:b/>
          <w:sz w:val="18"/>
          <w:szCs w:val="18"/>
          <w:lang w:val="en-US"/>
        </w:rPr>
        <w:t>hapter</w:t>
      </w:r>
      <w:r w:rsidR="002D36B3" w:rsidRPr="00B6722D">
        <w:rPr>
          <w:rFonts w:ascii="Trebuchet MS" w:hAnsi="Trebuchet MS"/>
          <w:b/>
          <w:sz w:val="18"/>
          <w:szCs w:val="18"/>
          <w:lang w:val="en-US"/>
        </w:rPr>
        <w:t xml:space="preserve"> 6</w:t>
      </w:r>
      <w:r w:rsidR="002D36B3" w:rsidRPr="00B6722D">
        <w:rPr>
          <w:rFonts w:ascii="Trebuchet MS" w:hAnsi="Trebuchet MS"/>
          <w:sz w:val="18"/>
          <w:szCs w:val="18"/>
          <w:lang w:val="en-US"/>
        </w:rPr>
        <w:t xml:space="preserve"> of the </w:t>
      </w:r>
      <w:r w:rsidR="0089608E" w:rsidRPr="00B6722D">
        <w:rPr>
          <w:rFonts w:ascii="Trebuchet MS" w:hAnsi="Trebuchet MS"/>
          <w:sz w:val="18"/>
          <w:szCs w:val="18"/>
          <w:lang w:val="en-US"/>
        </w:rPr>
        <w:t xml:space="preserve">report </w:t>
      </w:r>
      <w:proofErr w:type="spellStart"/>
      <w:r w:rsidR="008C7BAF" w:rsidRPr="00B6722D">
        <w:rPr>
          <w:rFonts w:ascii="Trebuchet MS" w:hAnsi="Trebuchet MS"/>
          <w:sz w:val="18"/>
          <w:szCs w:val="18"/>
          <w:lang w:val="en-US"/>
        </w:rPr>
        <w:t>summari</w:t>
      </w:r>
      <w:r w:rsidR="00E64E6C" w:rsidRPr="00B6722D">
        <w:rPr>
          <w:rFonts w:ascii="Trebuchet MS" w:hAnsi="Trebuchet MS"/>
          <w:sz w:val="18"/>
          <w:szCs w:val="18"/>
          <w:lang w:val="en-US"/>
        </w:rPr>
        <w:t>s</w:t>
      </w:r>
      <w:r w:rsidR="008C7BAF" w:rsidRPr="00B6722D">
        <w:rPr>
          <w:rFonts w:ascii="Trebuchet MS" w:hAnsi="Trebuchet MS"/>
          <w:sz w:val="18"/>
          <w:szCs w:val="18"/>
          <w:lang w:val="en-US"/>
        </w:rPr>
        <w:t>es</w:t>
      </w:r>
      <w:proofErr w:type="spellEnd"/>
      <w:r w:rsidR="0089608E" w:rsidRPr="00B6722D">
        <w:rPr>
          <w:rFonts w:ascii="Trebuchet MS" w:hAnsi="Trebuchet MS"/>
          <w:sz w:val="18"/>
          <w:szCs w:val="18"/>
          <w:lang w:val="en-US"/>
        </w:rPr>
        <w:t xml:space="preserve"> the local potential of </w:t>
      </w:r>
      <w:r w:rsidR="00115B44" w:rsidRPr="00B6722D">
        <w:rPr>
          <w:rFonts w:ascii="Trebuchet MS" w:hAnsi="Trebuchet MS"/>
          <w:sz w:val="18"/>
          <w:szCs w:val="18"/>
          <w:lang w:val="en-US"/>
        </w:rPr>
        <w:t>biogas/biomethane</w:t>
      </w:r>
      <w:r w:rsidR="00557D12" w:rsidRPr="00B6722D">
        <w:rPr>
          <w:rFonts w:ascii="Trebuchet MS" w:hAnsi="Trebuchet MS"/>
          <w:sz w:val="18"/>
          <w:szCs w:val="18"/>
          <w:lang w:val="en-US"/>
        </w:rPr>
        <w:t>,</w:t>
      </w:r>
      <w:r w:rsidR="00115B44" w:rsidRPr="00B6722D">
        <w:rPr>
          <w:rFonts w:ascii="Trebuchet MS" w:hAnsi="Trebuchet MS"/>
          <w:sz w:val="18"/>
          <w:szCs w:val="18"/>
          <w:lang w:val="en-US"/>
        </w:rPr>
        <w:t xml:space="preserve"> hydrogen</w:t>
      </w:r>
      <w:r w:rsidR="00DA245A" w:rsidRPr="00B6722D">
        <w:rPr>
          <w:rFonts w:ascii="Trebuchet MS" w:hAnsi="Trebuchet MS"/>
          <w:sz w:val="18"/>
          <w:szCs w:val="18"/>
          <w:lang w:val="en-US"/>
        </w:rPr>
        <w:t>,</w:t>
      </w:r>
      <w:r w:rsidR="00115B44" w:rsidRPr="00B6722D">
        <w:rPr>
          <w:rFonts w:ascii="Trebuchet MS" w:hAnsi="Trebuchet MS"/>
          <w:sz w:val="18"/>
          <w:szCs w:val="18"/>
          <w:lang w:val="en-US"/>
        </w:rPr>
        <w:t xml:space="preserve"> </w:t>
      </w:r>
      <w:r w:rsidR="00557D12" w:rsidRPr="00B6722D">
        <w:rPr>
          <w:rFonts w:ascii="Trebuchet MS" w:hAnsi="Trebuchet MS"/>
          <w:sz w:val="18"/>
          <w:szCs w:val="18"/>
          <w:lang w:val="en-US"/>
        </w:rPr>
        <w:t>and storage option</w:t>
      </w:r>
      <w:r w:rsidR="00865BE5" w:rsidRPr="00B6722D">
        <w:rPr>
          <w:rFonts w:ascii="Trebuchet MS" w:hAnsi="Trebuchet MS"/>
          <w:sz w:val="18"/>
          <w:szCs w:val="18"/>
          <w:lang w:val="en-US"/>
        </w:rPr>
        <w:t>s for the Baltic Finnish region</w:t>
      </w:r>
      <w:r w:rsidR="00FC5FAE" w:rsidRPr="00B6722D">
        <w:rPr>
          <w:rFonts w:ascii="Trebuchet MS" w:hAnsi="Trebuchet MS"/>
          <w:sz w:val="18"/>
          <w:szCs w:val="18"/>
          <w:lang w:val="en-US"/>
        </w:rPr>
        <w:t xml:space="preserve"> based on the </w:t>
      </w:r>
      <w:r w:rsidR="004A20CF" w:rsidRPr="00B6722D">
        <w:rPr>
          <w:rFonts w:ascii="Trebuchet MS" w:hAnsi="Trebuchet MS"/>
          <w:sz w:val="18"/>
          <w:szCs w:val="18"/>
          <w:lang w:val="en-US"/>
        </w:rPr>
        <w:t xml:space="preserve">inputs provided by the MEAC, in consultation with </w:t>
      </w:r>
      <w:r w:rsidR="008E2FDA" w:rsidRPr="00B6722D">
        <w:rPr>
          <w:rFonts w:ascii="Trebuchet MS" w:hAnsi="Trebuchet MS"/>
          <w:sz w:val="18"/>
          <w:szCs w:val="18"/>
          <w:lang w:val="en-US"/>
        </w:rPr>
        <w:t>RGM</w:t>
      </w:r>
      <w:r w:rsidR="00FC0A45" w:rsidRPr="00B6722D">
        <w:rPr>
          <w:rFonts w:ascii="Trebuchet MS" w:hAnsi="Trebuchet MS"/>
          <w:sz w:val="18"/>
          <w:szCs w:val="18"/>
          <w:lang w:val="en-US"/>
        </w:rPr>
        <w:t>CG region</w:t>
      </w:r>
      <w:r w:rsidR="00865BE5" w:rsidRPr="00B6722D">
        <w:rPr>
          <w:rFonts w:ascii="Trebuchet MS" w:hAnsi="Trebuchet MS"/>
          <w:sz w:val="18"/>
          <w:szCs w:val="18"/>
          <w:lang w:val="en-US"/>
        </w:rPr>
        <w:t>.</w:t>
      </w:r>
    </w:p>
    <w:p w14:paraId="74CC5096" w14:textId="77777777" w:rsidR="00FC1080" w:rsidRPr="00372A5E" w:rsidRDefault="00FC1080" w:rsidP="00372A5E">
      <w:pPr>
        <w:pStyle w:val="pf0"/>
        <w:spacing w:line="360" w:lineRule="auto"/>
        <w:ind w:left="630"/>
        <w:jc w:val="both"/>
        <w:rPr>
          <w:rFonts w:ascii="Trebuchet MS" w:hAnsi="Trebuchet MS"/>
          <w:sz w:val="18"/>
          <w:szCs w:val="18"/>
          <w:lang w:val="en-US"/>
        </w:rPr>
      </w:pPr>
    </w:p>
    <w:p w14:paraId="330390F8" w14:textId="396C6104" w:rsidR="002D3A27" w:rsidRPr="003F081A" w:rsidRDefault="00F45E47" w:rsidP="00F45E47">
      <w:pPr>
        <w:pStyle w:val="Bijschrift"/>
        <w:rPr>
          <w:color w:val="FF0000"/>
          <w:sz w:val="18"/>
        </w:rPr>
      </w:pPr>
      <w:r>
        <w:lastRenderedPageBreak/>
        <w:t xml:space="preserve">Figure 1- </w:t>
      </w:r>
      <w:r w:rsidR="006D12F8">
        <w:fldChar w:fldCharType="begin"/>
      </w:r>
      <w:r w:rsidR="006D12F8">
        <w:instrText xml:space="preserve"> SEQ Figure_1- \* ARABIC </w:instrText>
      </w:r>
      <w:r w:rsidR="006D12F8">
        <w:fldChar w:fldCharType="separate"/>
      </w:r>
      <w:r w:rsidR="00265258">
        <w:rPr>
          <w:noProof/>
        </w:rPr>
        <w:t>1</w:t>
      </w:r>
      <w:r w:rsidR="006D12F8">
        <w:rPr>
          <w:noProof/>
        </w:rPr>
        <w:fldChar w:fldCharType="end"/>
      </w:r>
      <w:r>
        <w:t xml:space="preserve"> </w:t>
      </w:r>
      <w:r w:rsidR="00991D06">
        <w:t>Estonian join</w:t>
      </w:r>
      <w:r w:rsidR="00E55889">
        <w:t>t</w:t>
      </w:r>
      <w:r w:rsidR="00991D06">
        <w:t xml:space="preserve"> gas market</w:t>
      </w:r>
      <w:r w:rsidR="00B07E33">
        <w:t xml:space="preserve"> [Source: Conexus Baltic</w:t>
      </w:r>
      <w:r w:rsidR="00451FAE">
        <w:t xml:space="preserve"> Grid</w:t>
      </w:r>
      <w:r w:rsidR="00B07E33">
        <w:t>]</w:t>
      </w:r>
      <w:r w:rsidR="003E1B0C" w:rsidRPr="003E1B0C">
        <w:rPr>
          <w:vertAlign w:val="superscript"/>
        </w:rPr>
        <w:fldChar w:fldCharType="begin"/>
      </w:r>
      <w:r w:rsidR="003E1B0C" w:rsidRPr="003E1B0C">
        <w:rPr>
          <w:vertAlign w:val="superscript"/>
        </w:rPr>
        <w:instrText xml:space="preserve"> NOTEREF _Ref103370021 \h </w:instrText>
      </w:r>
      <w:r w:rsidR="003E1B0C">
        <w:rPr>
          <w:vertAlign w:val="superscript"/>
        </w:rPr>
        <w:instrText xml:space="preserve"> \* MERGEFORMAT </w:instrText>
      </w:r>
      <w:r w:rsidR="003E1B0C" w:rsidRPr="003E1B0C">
        <w:rPr>
          <w:vertAlign w:val="superscript"/>
        </w:rPr>
      </w:r>
      <w:r w:rsidR="003E1B0C" w:rsidRPr="003E1B0C">
        <w:rPr>
          <w:vertAlign w:val="superscript"/>
        </w:rPr>
        <w:fldChar w:fldCharType="separate"/>
      </w:r>
      <w:r w:rsidR="00265258">
        <w:rPr>
          <w:vertAlign w:val="superscript"/>
        </w:rPr>
        <w:t>16</w:t>
      </w:r>
      <w:r w:rsidR="003E1B0C" w:rsidRPr="003E1B0C">
        <w:rPr>
          <w:vertAlign w:val="superscript"/>
        </w:rPr>
        <w:fldChar w:fldCharType="end"/>
      </w:r>
      <w:r w:rsidR="00991D06" w:rsidRPr="003E1B0C">
        <w:rPr>
          <w:vertAlign w:val="superscript"/>
        </w:rPr>
        <w:t xml:space="preserve"> </w:t>
      </w:r>
    </w:p>
    <w:p w14:paraId="038A336F" w14:textId="5F25455A" w:rsidR="00C558C2" w:rsidRPr="009F0816" w:rsidRDefault="00704881" w:rsidP="001E2D10">
      <w:pPr>
        <w:pStyle w:val="pf0"/>
        <w:jc w:val="center"/>
        <w:rPr>
          <w:rFonts w:ascii="Trebuchet MS" w:hAnsi="Trebuchet MS" w:cs="Arial"/>
          <w:sz w:val="18"/>
          <w:szCs w:val="18"/>
          <w:lang w:val="en-US" w:eastAsia="en-US"/>
        </w:rPr>
      </w:pPr>
      <w:r>
        <w:rPr>
          <w:noProof/>
        </w:rPr>
        <w:drawing>
          <wp:inline distT="0" distB="0" distL="0" distR="0" wp14:anchorId="33E27792" wp14:editId="7C611B6A">
            <wp:extent cx="3019425" cy="3080824"/>
            <wp:effectExtent l="0" t="0" r="0" b="571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9">
                      <a:extLst>
                        <a:ext uri="{28A0092B-C50C-407E-A947-70E740481C1C}">
                          <a14:useLocalDpi xmlns:a14="http://schemas.microsoft.com/office/drawing/2010/main" val="0"/>
                        </a:ext>
                      </a:extLst>
                    </a:blip>
                    <a:srcRect b="1100"/>
                    <a:stretch/>
                  </pic:blipFill>
                  <pic:spPr bwMode="auto">
                    <a:xfrm>
                      <a:off x="0" y="0"/>
                      <a:ext cx="3051920" cy="3113980"/>
                    </a:xfrm>
                    <a:prstGeom prst="rect">
                      <a:avLst/>
                    </a:prstGeom>
                    <a:ln>
                      <a:noFill/>
                    </a:ln>
                    <a:extLst>
                      <a:ext uri="{53640926-AAD7-44D8-BBD7-CCE9431645EC}">
                        <a14:shadowObscured xmlns:a14="http://schemas.microsoft.com/office/drawing/2010/main"/>
                      </a:ext>
                    </a:extLst>
                  </pic:spPr>
                </pic:pic>
              </a:graphicData>
            </a:graphic>
          </wp:inline>
        </w:drawing>
      </w:r>
    </w:p>
    <w:p w14:paraId="605CED5A" w14:textId="6E5025E1" w:rsidR="00EC3FF8" w:rsidRPr="00451FAE" w:rsidRDefault="00EC3FF8" w:rsidP="00451FAE">
      <w:pPr>
        <w:pStyle w:val="Kop1"/>
        <w:tabs>
          <w:tab w:val="clear" w:pos="851"/>
          <w:tab w:val="left" w:pos="993"/>
        </w:tabs>
        <w:jc w:val="both"/>
        <w:rPr>
          <w:sz w:val="36"/>
          <w:szCs w:val="16"/>
          <w:bdr w:val="none" w:sz="0" w:space="0" w:color="auto" w:frame="1"/>
          <w:shd w:val="clear" w:color="auto" w:fill="FFFFFF"/>
          <w:lang w:val="en-CA"/>
        </w:rPr>
      </w:pPr>
      <w:bookmarkStart w:id="1" w:name="_Toc114565045"/>
      <w:r w:rsidRPr="00451FAE">
        <w:rPr>
          <w:sz w:val="36"/>
          <w:szCs w:val="16"/>
          <w:bdr w:val="none" w:sz="0" w:space="0" w:color="auto" w:frame="1"/>
          <w:shd w:val="clear" w:color="auto" w:fill="FFFFFF"/>
          <w:lang w:val="en-CA"/>
        </w:rPr>
        <w:t xml:space="preserve">Summary of </w:t>
      </w:r>
      <w:r w:rsidR="00BA5367" w:rsidRPr="00451FAE">
        <w:rPr>
          <w:sz w:val="36"/>
          <w:szCs w:val="16"/>
          <w:bdr w:val="none" w:sz="0" w:space="0" w:color="auto" w:frame="1"/>
          <w:shd w:val="clear" w:color="auto" w:fill="FFFFFF"/>
          <w:lang w:val="en-CA"/>
        </w:rPr>
        <w:t>Collected Data</w:t>
      </w:r>
      <w:bookmarkEnd w:id="1"/>
    </w:p>
    <w:p w14:paraId="74D59BE2" w14:textId="1A3C2BE8" w:rsidR="00EC3FF8" w:rsidRDefault="00EC3FF8" w:rsidP="00AD4D24">
      <w:pPr>
        <w:spacing w:after="120"/>
        <w:jc w:val="both"/>
      </w:pPr>
      <w:r w:rsidRPr="077D9116">
        <w:t xml:space="preserve">The following </w:t>
      </w:r>
      <w:r w:rsidR="00C56547">
        <w:t>table</w:t>
      </w:r>
      <w:r w:rsidRPr="077D9116">
        <w:t xml:space="preserve"> provide</w:t>
      </w:r>
      <w:r w:rsidR="005535B3">
        <w:t>s</w:t>
      </w:r>
      <w:r w:rsidRPr="077D9116">
        <w:t xml:space="preserve"> an overview o</w:t>
      </w:r>
      <w:r w:rsidR="00E55889">
        <w:t>f the</w:t>
      </w:r>
      <w:r w:rsidRPr="077D9116">
        <w:t xml:space="preserve"> key data parameters </w:t>
      </w:r>
      <w:r w:rsidR="007374CF">
        <w:t>of the gas market in Baltic Finnish region</w:t>
      </w:r>
      <w:r w:rsidRPr="077D9116">
        <w:t>.</w:t>
      </w:r>
      <w:r>
        <w:t xml:space="preserve"> </w:t>
      </w:r>
      <w:r w:rsidR="00DA06E7">
        <w:t>Throughout the data collection process, data</w:t>
      </w:r>
      <w:r w:rsidR="00827831" w:rsidRPr="00827831">
        <w:t xml:space="preserve"> at the highest level of detail</w:t>
      </w:r>
      <w:r w:rsidR="00326575">
        <w:t xml:space="preserve"> possible was always sought after</w:t>
      </w:r>
      <w:r w:rsidR="00827831" w:rsidRPr="00827831">
        <w:t xml:space="preserve">. </w:t>
      </w:r>
      <w:r w:rsidR="00326575">
        <w:t>Open</w:t>
      </w:r>
      <w:r>
        <w:t>-source</w:t>
      </w:r>
      <w:r w:rsidRPr="077D9116">
        <w:t xml:space="preserve"> data was preferred</w:t>
      </w:r>
      <w:r>
        <w:t>;</w:t>
      </w:r>
      <w:r w:rsidRPr="077D9116">
        <w:t xml:space="preserve"> however</w:t>
      </w:r>
      <w:r>
        <w:t>,</w:t>
      </w:r>
      <w:r w:rsidRPr="077D9116">
        <w:t xml:space="preserve"> </w:t>
      </w:r>
      <w:r>
        <w:t>collecting</w:t>
      </w:r>
      <w:r w:rsidRPr="077D9116">
        <w:t xml:space="preserve"> data from </w:t>
      </w:r>
      <w:r>
        <w:t>public</w:t>
      </w:r>
      <w:r w:rsidRPr="077D9116">
        <w:t xml:space="preserve"> sources was not </w:t>
      </w:r>
      <w:r>
        <w:t xml:space="preserve">always </w:t>
      </w:r>
      <w:r w:rsidRPr="077D9116">
        <w:t xml:space="preserve">possible. </w:t>
      </w:r>
      <w:r>
        <w:t xml:space="preserve">To fill </w:t>
      </w:r>
      <w:r w:rsidR="00E55889">
        <w:t xml:space="preserve">in </w:t>
      </w:r>
      <w:r>
        <w:t>the</w:t>
      </w:r>
      <w:r w:rsidR="00616DE2">
        <w:t>se</w:t>
      </w:r>
      <w:r>
        <w:t xml:space="preserve"> data gap</w:t>
      </w:r>
      <w:r w:rsidR="000A6EC1">
        <w:t>s</w:t>
      </w:r>
      <w:r>
        <w:t xml:space="preserve">, the ministries and stakeholders </w:t>
      </w:r>
      <w:r w:rsidR="00616DE2">
        <w:t>were</w:t>
      </w:r>
      <w:r>
        <w:t xml:space="preserve"> contacted directly. </w:t>
      </w:r>
      <w:r w:rsidR="00AF5D0F">
        <w:t>In situations where</w:t>
      </w:r>
      <w:r>
        <w:t xml:space="preserve"> stakeholders </w:t>
      </w:r>
      <w:r w:rsidR="00AF5D0F">
        <w:t>indicated certain</w:t>
      </w:r>
      <w:r w:rsidR="00090EF5">
        <w:t xml:space="preserve"> data points </w:t>
      </w:r>
      <w:r w:rsidR="00AF5D0F">
        <w:t>could not</w:t>
      </w:r>
      <w:r w:rsidR="00090EF5">
        <w:t xml:space="preserve"> be shared due to sensitivity</w:t>
      </w:r>
      <w:r w:rsidR="00AF5D0F">
        <w:t xml:space="preserve"> issues</w:t>
      </w:r>
      <w:r>
        <w:t xml:space="preserve">, </w:t>
      </w:r>
      <w:r w:rsidR="00AF0D42">
        <w:t xml:space="preserve">suitable </w:t>
      </w:r>
      <w:r>
        <w:t xml:space="preserve">assumptions </w:t>
      </w:r>
      <w:r w:rsidR="00D223A6">
        <w:t>have been</w:t>
      </w:r>
      <w:r>
        <w:t xml:space="preserve"> made</w:t>
      </w:r>
      <w:r w:rsidR="00931986">
        <w:t>. The finali</w:t>
      </w:r>
      <w:r w:rsidR="00D223A6">
        <w:t>s</w:t>
      </w:r>
      <w:r w:rsidR="00931986">
        <w:t xml:space="preserve">ed </w:t>
      </w:r>
      <w:r>
        <w:t xml:space="preserve">data </w:t>
      </w:r>
      <w:r w:rsidR="00931986">
        <w:t xml:space="preserve">map </w:t>
      </w:r>
      <w:r w:rsidR="0011009D">
        <w:t xml:space="preserve">has been </w:t>
      </w:r>
      <w:r w:rsidR="00F22A26">
        <w:t>sent</w:t>
      </w:r>
      <w:r>
        <w:t xml:space="preserve"> out to the st</w:t>
      </w:r>
      <w:r w:rsidR="0064100A">
        <w:t>eering board members</w:t>
      </w:r>
      <w:r>
        <w:t xml:space="preserve"> </w:t>
      </w:r>
      <w:r w:rsidR="0011009D">
        <w:t xml:space="preserve">after the </w:t>
      </w:r>
      <w:r>
        <w:t>verification</w:t>
      </w:r>
      <w:r w:rsidR="0064100A">
        <w:t xml:space="preserve"> from different stakeholders</w:t>
      </w:r>
      <w:r>
        <w:t>.</w:t>
      </w:r>
      <w:r w:rsidR="00F22A26">
        <w:t xml:space="preserve"> </w:t>
      </w:r>
    </w:p>
    <w:p w14:paraId="41CA3672" w14:textId="1FEBE51F" w:rsidR="00EC3FF8" w:rsidRDefault="00EC3FF8" w:rsidP="00EC3FF8">
      <w:pPr>
        <w:jc w:val="both"/>
      </w:pPr>
      <w:r>
        <w:t xml:space="preserve">The table presented below shows an overview of the data parameters that will be used in D3 – Pathway </w:t>
      </w:r>
      <w:r w:rsidR="008B63C4">
        <w:t>M</w:t>
      </w:r>
      <w:r>
        <w:t xml:space="preserve">odelling, D4 – Socioeconomic </w:t>
      </w:r>
      <w:r w:rsidR="008B63C4">
        <w:t>I</w:t>
      </w:r>
      <w:r>
        <w:t xml:space="preserve">mpact </w:t>
      </w:r>
      <w:r w:rsidR="008B63C4">
        <w:t>A</w:t>
      </w:r>
      <w:r>
        <w:t xml:space="preserve">ssessment, D5 – Risk </w:t>
      </w:r>
      <w:r w:rsidR="008B63C4">
        <w:t>A</w:t>
      </w:r>
      <w:r>
        <w:t xml:space="preserve">ssessment, D6 – Sensitivity Analysis, and D7 – Action </w:t>
      </w:r>
      <w:r w:rsidR="00F30CB7">
        <w:t>P</w:t>
      </w:r>
      <w:r>
        <w:t xml:space="preserve">lan of the study. </w:t>
      </w:r>
    </w:p>
    <w:p w14:paraId="4E781900" w14:textId="77777777" w:rsidR="005754A3" w:rsidRDefault="005754A3" w:rsidP="005754A3">
      <w:pPr>
        <w:spacing w:line="360" w:lineRule="auto"/>
        <w:ind w:left="0"/>
      </w:pPr>
    </w:p>
    <w:p w14:paraId="5C28FCBA" w14:textId="73D7D46B" w:rsidR="005754A3" w:rsidRPr="005754A3" w:rsidRDefault="003E1B0C" w:rsidP="00B07E33">
      <w:pPr>
        <w:spacing w:line="360" w:lineRule="auto"/>
        <w:rPr>
          <w:color w:val="005962" w:themeColor="accent1"/>
        </w:rPr>
      </w:pPr>
      <w:r w:rsidRPr="005754A3">
        <w:rPr>
          <w:color w:val="005962" w:themeColor="accent1"/>
        </w:rPr>
        <w:t xml:space="preserve">Figure 2- </w:t>
      </w:r>
      <w:r w:rsidRPr="005754A3">
        <w:rPr>
          <w:color w:val="005962" w:themeColor="accent1"/>
        </w:rPr>
        <w:fldChar w:fldCharType="begin"/>
      </w:r>
      <w:r w:rsidRPr="005754A3">
        <w:rPr>
          <w:color w:val="005962" w:themeColor="accent1"/>
        </w:rPr>
        <w:instrText xml:space="preserve"> SEQ Figure_2- \* ARABIC </w:instrText>
      </w:r>
      <w:r w:rsidRPr="005754A3">
        <w:rPr>
          <w:color w:val="005962" w:themeColor="accent1"/>
        </w:rPr>
        <w:fldChar w:fldCharType="separate"/>
      </w:r>
      <w:r w:rsidR="00265258">
        <w:rPr>
          <w:noProof/>
          <w:color w:val="005962" w:themeColor="accent1"/>
        </w:rPr>
        <w:t>1</w:t>
      </w:r>
      <w:r w:rsidRPr="005754A3">
        <w:rPr>
          <w:color w:val="005962" w:themeColor="accent1"/>
        </w:rPr>
        <w:fldChar w:fldCharType="end"/>
      </w:r>
      <w:r w:rsidR="005754A3">
        <w:rPr>
          <w:color w:val="005962" w:themeColor="accent1"/>
        </w:rPr>
        <w:t xml:space="preserve"> </w:t>
      </w:r>
      <w:r w:rsidR="00705822" w:rsidRPr="00705822">
        <w:rPr>
          <w:color w:val="005962" w:themeColor="accent1"/>
        </w:rPr>
        <w:t>Data parameters mapped to relevant deliverables</w:t>
      </w:r>
    </w:p>
    <w:p w14:paraId="2129BF9E" w14:textId="77777777" w:rsidR="00FA2A4F" w:rsidRDefault="003F081A" w:rsidP="008A6D00">
      <w:pPr>
        <w:spacing w:line="360" w:lineRule="auto"/>
        <w:sectPr w:rsidR="00FA2A4F">
          <w:headerReference w:type="default" r:id="rId20"/>
          <w:pgSz w:w="11906" w:h="16838"/>
          <w:pgMar w:top="1440" w:right="1440" w:bottom="1440" w:left="1440" w:header="708" w:footer="708" w:gutter="0"/>
          <w:cols w:space="708"/>
          <w:docGrid w:linePitch="360"/>
        </w:sectPr>
      </w:pPr>
      <w:r w:rsidRPr="003F081A">
        <w:rPr>
          <w:noProof/>
        </w:rPr>
        <w:drawing>
          <wp:inline distT="0" distB="0" distL="0" distR="0" wp14:anchorId="2AD370BC" wp14:editId="7002121C">
            <wp:extent cx="5374305" cy="2101850"/>
            <wp:effectExtent l="0" t="0" r="0" b="0"/>
            <wp:docPr id="13" name="Picture 4" descr="A picture containing text, shelf&#10;&#10;Description automatically generated">
              <a:extLst xmlns:a="http://schemas.openxmlformats.org/drawingml/2006/main">
                <a:ext uri="{FF2B5EF4-FFF2-40B4-BE49-F238E27FC236}">
                  <a16:creationId xmlns:a16="http://schemas.microsoft.com/office/drawing/2014/main" id="{64C00015-3E30-4AC5-BA5D-F45AA48EB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picture containing text, shelf&#10;&#10;Description automatically generated">
                      <a:extLst>
                        <a:ext uri="{FF2B5EF4-FFF2-40B4-BE49-F238E27FC236}">
                          <a16:creationId xmlns:a16="http://schemas.microsoft.com/office/drawing/2014/main" id="{64C00015-3E30-4AC5-BA5D-F45AA48EB047}"/>
                        </a:ext>
                      </a:extLst>
                    </pic:cNvPr>
                    <pic:cNvPicPr>
                      <a:picLocks noChangeAspect="1"/>
                    </pic:cNvPicPr>
                  </pic:nvPicPr>
                  <pic:blipFill>
                    <a:blip r:embed="rId21">
                      <a:duotone>
                        <a:prstClr val="black"/>
                        <a:schemeClr val="bg1">
                          <a:tint val="45000"/>
                          <a:satMod val="400000"/>
                        </a:schemeClr>
                      </a:duotone>
                      <a:extLst>
                        <a:ext uri="{BEBA8EAE-BF5A-486C-A8C5-ECC9F3942E4B}">
                          <a14:imgProps xmlns:a14="http://schemas.microsoft.com/office/drawing/2010/main">
                            <a14:imgLayer r:embed="rId22">
                              <a14:imgEffect>
                                <a14:backgroundRemoval t="4706" b="94353" l="2307" r="97463">
                                  <a14:foregroundMark x1="2537" y1="6118" x2="2537" y2="6118"/>
                                  <a14:foregroundMark x1="35063" y1="21647" x2="35063" y2="21647"/>
                                  <a14:foregroundMark x1="26067" y1="17412" x2="26067" y2="17412"/>
                                  <a14:foregroundMark x1="47636" y1="92471" x2="47636" y2="92471"/>
                                  <a14:foregroundMark x1="73356" y1="76000" x2="73356" y2="76000"/>
                                  <a14:foregroundMark x1="92849" y1="43529" x2="92849" y2="43529"/>
                                  <a14:foregroundMark x1="96540" y1="33647" x2="96540" y2="33647"/>
                                  <a14:foregroundMark x1="54441" y1="43529" x2="54441" y2="43529"/>
                                  <a14:foregroundMark x1="71626" y1="75294" x2="71626" y2="75294"/>
                                  <a14:foregroundMark x1="69435" y1="74588" x2="69435" y2="74588"/>
                                  <a14:foregroundMark x1="49135" y1="69882" x2="49135" y2="69882"/>
                                  <a14:foregroundMark x1="47174" y1="10118" x2="47174" y2="10118"/>
                                  <a14:foregroundMark x1="25144" y1="24706" x2="25144" y2="24706"/>
                                  <a14:foregroundMark x1="24567" y1="12941" x2="24567" y2="12941"/>
                                  <a14:foregroundMark x1="26182" y1="8471" x2="26182" y2="8471"/>
                                  <a14:foregroundMark x1="24337" y1="4706" x2="24337" y2="4706"/>
                                  <a14:foregroundMark x1="26413" y1="5176" x2="26413" y2="5176"/>
                                  <a14:foregroundMark x1="24567" y1="35765" x2="24567" y2="35765"/>
                                  <a14:foregroundMark x1="25144" y1="47294" x2="25144" y2="47294"/>
                                  <a14:foregroundMark x1="25260" y1="47529" x2="25260" y2="47529"/>
                                  <a14:foregroundMark x1="25606" y1="58118" x2="25606" y2="58118"/>
                                  <a14:foregroundMark x1="3230" y1="94588" x2="2768" y2="22353"/>
                                  <a14:foregroundMark x1="48443" y1="89882" x2="46597" y2="58353"/>
                                  <a14:foregroundMark x1="46597" y1="58353" x2="48212" y2="22824"/>
                                  <a14:foregroundMark x1="48212" y1="22824" x2="47520" y2="8941"/>
                                  <a14:foregroundMark x1="34833" y1="21882" x2="34833" y2="21882"/>
                                  <a14:foregroundMark x1="32987" y1="23765" x2="40023" y2="23059"/>
                                  <a14:foregroundMark x1="40023" y1="23059" x2="42099" y2="23059"/>
                                  <a14:foregroundMark x1="29642" y1="24941" x2="35525" y2="26353"/>
                                  <a14:foregroundMark x1="54671" y1="24941" x2="60208" y2="24235"/>
                                  <a14:foregroundMark x1="64821" y1="6353" x2="63668" y2="23529"/>
                                  <a14:foregroundMark x1="63668" y1="23529" x2="65859" y2="56706"/>
                                  <a14:foregroundMark x1="65859" y1="56706" x2="64360" y2="91765"/>
                                  <a14:foregroundMark x1="68627" y1="24941" x2="68627" y2="24941"/>
                                  <a14:foregroundMark x1="73356" y1="43529" x2="73356" y2="43529"/>
                                  <a14:foregroundMark x1="89158" y1="43059" x2="89158" y2="43059"/>
                                  <a14:foregroundMark x1="84544" y1="43059" x2="84544" y2="43059"/>
                                  <a14:foregroundMark x1="83622" y1="24706" x2="83622" y2="24706"/>
                                  <a14:foregroundMark x1="85582" y1="24941" x2="85582" y2="24941"/>
                                  <a14:foregroundMark x1="88927" y1="24706" x2="88927" y2="24706"/>
                                  <a14:foregroundMark x1="97463" y1="28471" x2="97463" y2="28471"/>
                                  <a14:foregroundMark x1="92042" y1="74353" x2="92042" y2="74353"/>
                                </a14:backgroundRemoval>
                              </a14:imgEffect>
                              <a14:imgEffect>
                                <a14:sharpenSoften amount="50000"/>
                              </a14:imgEffect>
                              <a14:imgEffect>
                                <a14:colorTemperature colorTemp="11200"/>
                              </a14:imgEffect>
                              <a14:imgEffect>
                                <a14:saturation sat="0"/>
                              </a14:imgEffect>
                            </a14:imgLayer>
                          </a14:imgProps>
                        </a:ext>
                      </a:extLst>
                    </a:blip>
                    <a:stretch>
                      <a:fillRect/>
                    </a:stretch>
                  </pic:blipFill>
                  <pic:spPr>
                    <a:xfrm>
                      <a:off x="0" y="0"/>
                      <a:ext cx="5378969" cy="2103674"/>
                    </a:xfrm>
                    <a:prstGeom prst="rect">
                      <a:avLst/>
                    </a:prstGeom>
                  </pic:spPr>
                </pic:pic>
              </a:graphicData>
            </a:graphic>
          </wp:inline>
        </w:drawing>
      </w:r>
    </w:p>
    <w:p w14:paraId="3DA06BAB" w14:textId="052A077F" w:rsidR="000F41CA" w:rsidRPr="00224738" w:rsidRDefault="000F41CA" w:rsidP="00D7621B">
      <w:pPr>
        <w:pStyle w:val="Bijschrift"/>
        <w:ind w:left="0"/>
        <w:rPr>
          <w:sz w:val="18"/>
          <w:szCs w:val="20"/>
        </w:rPr>
      </w:pPr>
      <w:bookmarkStart w:id="2" w:name="_Toc391301430"/>
      <w:bookmarkStart w:id="3" w:name="_Toc391301432"/>
      <w:bookmarkStart w:id="4" w:name="_Toc429057985"/>
      <w:bookmarkStart w:id="5" w:name="_Toc429670905"/>
      <w:bookmarkStart w:id="6" w:name="_Toc100566610"/>
      <w:bookmarkStart w:id="7" w:name="_Toc100845802"/>
      <w:bookmarkStart w:id="8" w:name="_Toc100849322"/>
      <w:bookmarkEnd w:id="2"/>
      <w:bookmarkEnd w:id="3"/>
      <w:bookmarkEnd w:id="4"/>
      <w:bookmarkEnd w:id="5"/>
      <w:bookmarkEnd w:id="6"/>
      <w:bookmarkEnd w:id="7"/>
      <w:bookmarkEnd w:id="8"/>
      <w:r w:rsidRPr="00224738">
        <w:rPr>
          <w:sz w:val="18"/>
          <w:szCs w:val="20"/>
        </w:rPr>
        <w:lastRenderedPageBreak/>
        <w:t xml:space="preserve">Table </w:t>
      </w:r>
      <w:r w:rsidR="004F3F0A">
        <w:rPr>
          <w:sz w:val="18"/>
          <w:szCs w:val="20"/>
        </w:rPr>
        <w:fldChar w:fldCharType="begin"/>
      </w:r>
      <w:r w:rsidR="004F3F0A">
        <w:rPr>
          <w:sz w:val="18"/>
          <w:szCs w:val="20"/>
        </w:rPr>
        <w:instrText xml:space="preserve"> STYLEREF 1 \s </w:instrText>
      </w:r>
      <w:r w:rsidR="004F3F0A">
        <w:rPr>
          <w:sz w:val="18"/>
          <w:szCs w:val="20"/>
        </w:rPr>
        <w:fldChar w:fldCharType="separate"/>
      </w:r>
      <w:r w:rsidR="00265258">
        <w:rPr>
          <w:noProof/>
          <w:sz w:val="18"/>
          <w:szCs w:val="20"/>
        </w:rPr>
        <w:t>2</w:t>
      </w:r>
      <w:r w:rsidR="004F3F0A">
        <w:rPr>
          <w:sz w:val="18"/>
          <w:szCs w:val="20"/>
        </w:rPr>
        <w:fldChar w:fldCharType="end"/>
      </w:r>
      <w:r w:rsidR="004F3F0A">
        <w:rPr>
          <w:sz w:val="18"/>
          <w:szCs w:val="20"/>
        </w:rPr>
        <w:noBreakHyphen/>
      </w:r>
      <w:r w:rsidR="004F3F0A">
        <w:rPr>
          <w:sz w:val="18"/>
          <w:szCs w:val="20"/>
        </w:rPr>
        <w:fldChar w:fldCharType="begin"/>
      </w:r>
      <w:r w:rsidR="004F3F0A">
        <w:rPr>
          <w:sz w:val="18"/>
          <w:szCs w:val="20"/>
        </w:rPr>
        <w:instrText xml:space="preserve"> SEQ Table \* ARABIC \s 1 </w:instrText>
      </w:r>
      <w:r w:rsidR="004F3F0A">
        <w:rPr>
          <w:sz w:val="18"/>
          <w:szCs w:val="20"/>
        </w:rPr>
        <w:fldChar w:fldCharType="separate"/>
      </w:r>
      <w:r w:rsidR="00265258">
        <w:rPr>
          <w:noProof/>
          <w:sz w:val="18"/>
          <w:szCs w:val="20"/>
        </w:rPr>
        <w:t>1</w:t>
      </w:r>
      <w:r w:rsidR="004F3F0A">
        <w:rPr>
          <w:sz w:val="18"/>
          <w:szCs w:val="20"/>
        </w:rPr>
        <w:fldChar w:fldCharType="end"/>
      </w:r>
      <w:r w:rsidRPr="00224738">
        <w:rPr>
          <w:sz w:val="18"/>
          <w:szCs w:val="20"/>
        </w:rPr>
        <w:t xml:space="preserve">. </w:t>
      </w:r>
      <w:r w:rsidR="00224738" w:rsidRPr="00224738">
        <w:rPr>
          <w:sz w:val="18"/>
          <w:szCs w:val="20"/>
        </w:rPr>
        <w:t>Map of collected data</w:t>
      </w:r>
    </w:p>
    <w:tbl>
      <w:tblPr>
        <w:tblStyle w:val="Tabelraster"/>
        <w:tblW w:w="14312" w:type="dxa"/>
        <w:tblLook w:val="04A0" w:firstRow="1" w:lastRow="0" w:firstColumn="1" w:lastColumn="0" w:noHBand="0" w:noVBand="1"/>
      </w:tblPr>
      <w:tblGrid>
        <w:gridCol w:w="5058"/>
        <w:gridCol w:w="1458"/>
        <w:gridCol w:w="1706"/>
        <w:gridCol w:w="3429"/>
        <w:gridCol w:w="2661"/>
      </w:tblGrid>
      <w:tr w:rsidR="007510A0" w:rsidRPr="00801A06" w14:paraId="1528FA77" w14:textId="77777777" w:rsidTr="007B6C99">
        <w:trPr>
          <w:tblHeader/>
        </w:trPr>
        <w:tc>
          <w:tcPr>
            <w:tcW w:w="5058" w:type="dxa"/>
            <w:shd w:val="clear" w:color="auto" w:fill="005962" w:themeFill="accent1"/>
            <w:vAlign w:val="center"/>
          </w:tcPr>
          <w:p w14:paraId="4A00C48F" w14:textId="77777777" w:rsidR="007510A0" w:rsidRPr="00801A06" w:rsidRDefault="007510A0" w:rsidP="00D30A7B">
            <w:pPr>
              <w:spacing w:line="240" w:lineRule="auto"/>
              <w:ind w:left="29" w:hanging="29"/>
              <w:rPr>
                <w:b/>
                <w:color w:val="FFFFFF" w:themeColor="background1"/>
              </w:rPr>
            </w:pPr>
            <w:r w:rsidRPr="00801A06">
              <w:rPr>
                <w:b/>
                <w:color w:val="FFFFFF" w:themeColor="background1"/>
              </w:rPr>
              <w:t>Parameter</w:t>
            </w:r>
          </w:p>
        </w:tc>
        <w:tc>
          <w:tcPr>
            <w:tcW w:w="1458" w:type="dxa"/>
            <w:shd w:val="clear" w:color="auto" w:fill="005962" w:themeFill="accent1"/>
            <w:vAlign w:val="center"/>
          </w:tcPr>
          <w:p w14:paraId="1A817CFD" w14:textId="77777777" w:rsidR="007510A0" w:rsidRPr="00801A06" w:rsidRDefault="007510A0" w:rsidP="00D30A7B">
            <w:pPr>
              <w:spacing w:line="240" w:lineRule="auto"/>
              <w:ind w:hanging="447"/>
              <w:rPr>
                <w:b/>
                <w:color w:val="FFFFFF" w:themeColor="background1"/>
              </w:rPr>
            </w:pPr>
            <w:r w:rsidRPr="00801A06">
              <w:rPr>
                <w:b/>
                <w:color w:val="FFFFFF" w:themeColor="background1"/>
              </w:rPr>
              <w:t>Unit</w:t>
            </w:r>
          </w:p>
        </w:tc>
        <w:tc>
          <w:tcPr>
            <w:tcW w:w="1706" w:type="dxa"/>
            <w:shd w:val="clear" w:color="auto" w:fill="005962" w:themeFill="accent1"/>
            <w:vAlign w:val="center"/>
          </w:tcPr>
          <w:p w14:paraId="74A4C3FC" w14:textId="77777777" w:rsidR="007510A0" w:rsidRPr="00801A06" w:rsidRDefault="007510A0" w:rsidP="00D30A7B">
            <w:pPr>
              <w:spacing w:line="240" w:lineRule="auto"/>
              <w:ind w:left="0" w:firstLine="20"/>
              <w:rPr>
                <w:b/>
                <w:color w:val="FFFFFF" w:themeColor="background1"/>
              </w:rPr>
            </w:pPr>
            <w:r w:rsidRPr="00801A06">
              <w:rPr>
                <w:b/>
                <w:color w:val="FFFFFF" w:themeColor="background1"/>
              </w:rPr>
              <w:t>Relevant deliverables</w:t>
            </w:r>
          </w:p>
        </w:tc>
        <w:tc>
          <w:tcPr>
            <w:tcW w:w="3429" w:type="dxa"/>
            <w:shd w:val="clear" w:color="auto" w:fill="005962" w:themeFill="accent1"/>
            <w:vAlign w:val="center"/>
          </w:tcPr>
          <w:p w14:paraId="6FFF7EB9" w14:textId="77777777" w:rsidR="007510A0" w:rsidRPr="00801A06" w:rsidRDefault="007510A0" w:rsidP="00D30A7B">
            <w:pPr>
              <w:spacing w:line="240" w:lineRule="auto"/>
              <w:ind w:left="166"/>
              <w:rPr>
                <w:b/>
                <w:color w:val="FFFFFF" w:themeColor="background1"/>
              </w:rPr>
            </w:pPr>
            <w:r w:rsidRPr="00801A06">
              <w:rPr>
                <w:b/>
                <w:color w:val="FFFFFF" w:themeColor="background1"/>
              </w:rPr>
              <w:t>Geographical coverage</w:t>
            </w:r>
          </w:p>
        </w:tc>
        <w:tc>
          <w:tcPr>
            <w:tcW w:w="2661" w:type="dxa"/>
            <w:shd w:val="clear" w:color="auto" w:fill="005962" w:themeFill="accent1"/>
            <w:vAlign w:val="center"/>
          </w:tcPr>
          <w:p w14:paraId="37AD79DE" w14:textId="77777777" w:rsidR="007510A0" w:rsidRPr="00801A06" w:rsidRDefault="007510A0" w:rsidP="00F21988">
            <w:pPr>
              <w:spacing w:line="240" w:lineRule="auto"/>
              <w:rPr>
                <w:b/>
                <w:color w:val="FFFFFF" w:themeColor="background1"/>
              </w:rPr>
            </w:pPr>
            <w:r w:rsidRPr="00801A06">
              <w:rPr>
                <w:b/>
                <w:color w:val="FFFFFF" w:themeColor="background1"/>
              </w:rPr>
              <w:t>Temporal resolution</w:t>
            </w:r>
          </w:p>
        </w:tc>
      </w:tr>
      <w:tr w:rsidR="007510A0" w:rsidRPr="00801A06" w14:paraId="438CABBC" w14:textId="77777777" w:rsidTr="00D30A7B">
        <w:tc>
          <w:tcPr>
            <w:tcW w:w="5058" w:type="dxa"/>
            <w:vAlign w:val="center"/>
          </w:tcPr>
          <w:p w14:paraId="601D5F46" w14:textId="77777777" w:rsidR="007510A0" w:rsidRPr="00801A06" w:rsidRDefault="007510A0" w:rsidP="00D30A7B">
            <w:pPr>
              <w:spacing w:line="240" w:lineRule="auto"/>
              <w:ind w:left="29" w:hanging="29"/>
            </w:pPr>
            <w:r w:rsidRPr="00801A06">
              <w:t xml:space="preserve">Gas consumption by sector </w:t>
            </w:r>
            <w:r w:rsidRPr="00D729B3">
              <w:rPr>
                <w:rFonts w:cs="Calibri"/>
                <w:color w:val="000000"/>
              </w:rPr>
              <w:t>[natural gas, gas alternatives]</w:t>
            </w:r>
          </w:p>
        </w:tc>
        <w:tc>
          <w:tcPr>
            <w:tcW w:w="1458" w:type="dxa"/>
            <w:vAlign w:val="center"/>
          </w:tcPr>
          <w:p w14:paraId="61DCFB89" w14:textId="77777777" w:rsidR="007510A0" w:rsidRPr="00801A06" w:rsidRDefault="007510A0" w:rsidP="001D1CF8">
            <w:pPr>
              <w:spacing w:line="240" w:lineRule="auto"/>
              <w:ind w:hanging="567"/>
            </w:pPr>
            <w:r w:rsidRPr="00801A06">
              <w:t>TWh</w:t>
            </w:r>
          </w:p>
        </w:tc>
        <w:tc>
          <w:tcPr>
            <w:tcW w:w="1706" w:type="dxa"/>
            <w:vAlign w:val="center"/>
          </w:tcPr>
          <w:p w14:paraId="75AAA151"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2DFB8581"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253D810E" w14:textId="77777777" w:rsidR="007510A0" w:rsidRPr="00801A06" w:rsidRDefault="007510A0" w:rsidP="00801A06">
            <w:pPr>
              <w:spacing w:line="240" w:lineRule="auto"/>
              <w:ind w:hanging="558"/>
            </w:pPr>
            <w:r w:rsidRPr="00801A06">
              <w:rPr>
                <w:rFonts w:cs="Arial"/>
              </w:rPr>
              <w:t>Annual</w:t>
            </w:r>
          </w:p>
        </w:tc>
      </w:tr>
      <w:tr w:rsidR="007510A0" w:rsidRPr="00801A06" w14:paraId="577E5BC9" w14:textId="77777777" w:rsidTr="00D30A7B">
        <w:tc>
          <w:tcPr>
            <w:tcW w:w="5058" w:type="dxa"/>
            <w:vAlign w:val="center"/>
          </w:tcPr>
          <w:p w14:paraId="06A5273D" w14:textId="77777777" w:rsidR="007510A0" w:rsidRPr="00801A06" w:rsidRDefault="007510A0" w:rsidP="00D30A7B">
            <w:pPr>
              <w:spacing w:line="240" w:lineRule="auto"/>
              <w:ind w:left="29" w:hanging="29"/>
            </w:pPr>
            <w:r w:rsidRPr="00801A06">
              <w:rPr>
                <w:rFonts w:cs="Arial"/>
              </w:rPr>
              <w:t>Gas produced/processed [natural gas, gas alternatives]</w:t>
            </w:r>
          </w:p>
        </w:tc>
        <w:tc>
          <w:tcPr>
            <w:tcW w:w="1458" w:type="dxa"/>
            <w:vAlign w:val="center"/>
          </w:tcPr>
          <w:p w14:paraId="08DEFDC5" w14:textId="77777777" w:rsidR="007510A0" w:rsidRPr="00801A06" w:rsidRDefault="007510A0" w:rsidP="001D1CF8">
            <w:pPr>
              <w:spacing w:line="240" w:lineRule="auto"/>
              <w:ind w:hanging="567"/>
            </w:pPr>
            <w:r w:rsidRPr="00801A06">
              <w:t>TWh</w:t>
            </w:r>
          </w:p>
        </w:tc>
        <w:tc>
          <w:tcPr>
            <w:tcW w:w="1706" w:type="dxa"/>
            <w:vAlign w:val="center"/>
          </w:tcPr>
          <w:p w14:paraId="6DBA214A"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189C12F7"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3690439B" w14:textId="77777777" w:rsidR="007510A0" w:rsidRPr="00801A06" w:rsidRDefault="007510A0" w:rsidP="00801A06">
            <w:pPr>
              <w:spacing w:line="240" w:lineRule="auto"/>
              <w:ind w:hanging="558"/>
            </w:pPr>
            <w:r w:rsidRPr="00801A06">
              <w:rPr>
                <w:rFonts w:cs="Arial"/>
              </w:rPr>
              <w:t>Annual</w:t>
            </w:r>
          </w:p>
        </w:tc>
      </w:tr>
      <w:tr w:rsidR="007510A0" w:rsidRPr="00801A06" w14:paraId="515A7F4B" w14:textId="77777777" w:rsidTr="00D30A7B">
        <w:tc>
          <w:tcPr>
            <w:tcW w:w="5058" w:type="dxa"/>
            <w:vAlign w:val="center"/>
          </w:tcPr>
          <w:p w14:paraId="25941CFE" w14:textId="77777777" w:rsidR="007510A0" w:rsidRPr="00801A06" w:rsidRDefault="007510A0" w:rsidP="00D30A7B">
            <w:pPr>
              <w:spacing w:line="240" w:lineRule="auto"/>
              <w:ind w:left="29" w:hanging="29"/>
            </w:pPr>
            <w:r w:rsidRPr="00801A06">
              <w:rPr>
                <w:rFonts w:cs="Arial"/>
              </w:rPr>
              <w:t>Gas transport of [natural gas, gas alternatives] transported through pipeline linkages connecting each pair of regions</w:t>
            </w:r>
          </w:p>
        </w:tc>
        <w:tc>
          <w:tcPr>
            <w:tcW w:w="1458" w:type="dxa"/>
            <w:vAlign w:val="center"/>
          </w:tcPr>
          <w:p w14:paraId="3E28F020" w14:textId="77777777" w:rsidR="007510A0" w:rsidRPr="00801A06" w:rsidRDefault="007510A0" w:rsidP="001D1CF8">
            <w:pPr>
              <w:spacing w:line="240" w:lineRule="auto"/>
              <w:ind w:hanging="567"/>
            </w:pPr>
            <w:r w:rsidRPr="00801A06">
              <w:t>TWh</w:t>
            </w:r>
          </w:p>
        </w:tc>
        <w:tc>
          <w:tcPr>
            <w:tcW w:w="1706" w:type="dxa"/>
            <w:vAlign w:val="center"/>
          </w:tcPr>
          <w:p w14:paraId="4390C9C6"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24999C14"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34057B5D" w14:textId="77777777" w:rsidR="007510A0" w:rsidRPr="00801A06" w:rsidRDefault="007510A0" w:rsidP="00801A06">
            <w:pPr>
              <w:spacing w:line="240" w:lineRule="auto"/>
              <w:ind w:hanging="558"/>
            </w:pPr>
            <w:r w:rsidRPr="00801A06">
              <w:rPr>
                <w:rFonts w:cs="Arial"/>
              </w:rPr>
              <w:t>Annual</w:t>
            </w:r>
          </w:p>
        </w:tc>
      </w:tr>
      <w:tr w:rsidR="007510A0" w:rsidRPr="00801A06" w14:paraId="03480783" w14:textId="77777777" w:rsidTr="00D30A7B">
        <w:tc>
          <w:tcPr>
            <w:tcW w:w="5058" w:type="dxa"/>
            <w:vAlign w:val="center"/>
          </w:tcPr>
          <w:p w14:paraId="17D2384A" w14:textId="77777777" w:rsidR="007510A0" w:rsidRPr="00801A06" w:rsidRDefault="007510A0" w:rsidP="00D30A7B">
            <w:pPr>
              <w:spacing w:line="240" w:lineRule="auto"/>
              <w:ind w:left="29" w:hanging="29"/>
            </w:pPr>
            <w:r w:rsidRPr="00801A06">
              <w:rPr>
                <w:rFonts w:cs="Arial"/>
              </w:rPr>
              <w:t>Gas transport- Energy loss, expressed as a fraction of line input or output</w:t>
            </w:r>
          </w:p>
        </w:tc>
        <w:tc>
          <w:tcPr>
            <w:tcW w:w="1458" w:type="dxa"/>
            <w:vAlign w:val="center"/>
          </w:tcPr>
          <w:p w14:paraId="76C632C4" w14:textId="77777777" w:rsidR="007510A0" w:rsidRPr="00801A06" w:rsidRDefault="007510A0" w:rsidP="001D1CF8">
            <w:pPr>
              <w:spacing w:line="240" w:lineRule="auto"/>
              <w:ind w:hanging="567"/>
            </w:pPr>
            <w:r w:rsidRPr="00801A06">
              <w:rPr>
                <w:rFonts w:cs="Arial"/>
              </w:rPr>
              <w:t>%</w:t>
            </w:r>
          </w:p>
        </w:tc>
        <w:tc>
          <w:tcPr>
            <w:tcW w:w="1706" w:type="dxa"/>
            <w:vAlign w:val="center"/>
          </w:tcPr>
          <w:p w14:paraId="2C9678C6"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23A4093E"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670343AC" w14:textId="77777777" w:rsidR="007510A0" w:rsidRPr="00801A06" w:rsidRDefault="007510A0" w:rsidP="00801A06">
            <w:pPr>
              <w:spacing w:line="240" w:lineRule="auto"/>
              <w:ind w:hanging="558"/>
            </w:pPr>
            <w:r w:rsidRPr="00801A06">
              <w:rPr>
                <w:rFonts w:cs="Arial"/>
              </w:rPr>
              <w:t>Annual</w:t>
            </w:r>
          </w:p>
        </w:tc>
      </w:tr>
      <w:tr w:rsidR="007510A0" w:rsidRPr="00801A06" w14:paraId="66F2EEF6" w14:textId="77777777" w:rsidTr="00D30A7B">
        <w:tc>
          <w:tcPr>
            <w:tcW w:w="5058" w:type="dxa"/>
            <w:vAlign w:val="center"/>
          </w:tcPr>
          <w:p w14:paraId="7D54E0E3" w14:textId="77777777" w:rsidR="007510A0" w:rsidRPr="00801A06" w:rsidRDefault="007510A0" w:rsidP="00D30A7B">
            <w:pPr>
              <w:spacing w:line="240" w:lineRule="auto"/>
              <w:ind w:left="29" w:hanging="29"/>
            </w:pPr>
            <w:r w:rsidRPr="00801A06">
              <w:rPr>
                <w:rFonts w:cs="Arial"/>
              </w:rPr>
              <w:t>GHG emissions [CO</w:t>
            </w:r>
            <w:r w:rsidRPr="00801A06">
              <w:rPr>
                <w:rFonts w:cs="Arial"/>
                <w:vertAlign w:val="subscript"/>
              </w:rPr>
              <w:t>2eq.</w:t>
            </w:r>
            <w:r w:rsidRPr="00801A06">
              <w:rPr>
                <w:rFonts w:cs="Arial"/>
              </w:rPr>
              <w:t>]</w:t>
            </w:r>
            <w:r w:rsidRPr="00801A06">
              <w:t xml:space="preserve"> for e</w:t>
            </w:r>
            <w:r w:rsidRPr="00801A06">
              <w:rPr>
                <w:rFonts w:cs="Arial"/>
              </w:rPr>
              <w:t>ach stage in the gas fuel chain [[Production, processing, transmission and storage, distribution, consumption]] that occurs in the region</w:t>
            </w:r>
          </w:p>
        </w:tc>
        <w:tc>
          <w:tcPr>
            <w:tcW w:w="1458" w:type="dxa"/>
            <w:vAlign w:val="center"/>
          </w:tcPr>
          <w:p w14:paraId="3C445C6E" w14:textId="77777777" w:rsidR="007510A0" w:rsidRPr="00801A06" w:rsidRDefault="007510A0" w:rsidP="001D1CF8">
            <w:pPr>
              <w:spacing w:line="240" w:lineRule="auto"/>
              <w:ind w:hanging="567"/>
            </w:pPr>
            <w:r w:rsidRPr="00801A06">
              <w:t>CO</w:t>
            </w:r>
            <w:r w:rsidRPr="00801A06">
              <w:rPr>
                <w:vertAlign w:val="subscript"/>
              </w:rPr>
              <w:t xml:space="preserve">2eq. </w:t>
            </w:r>
          </w:p>
        </w:tc>
        <w:tc>
          <w:tcPr>
            <w:tcW w:w="1706" w:type="dxa"/>
            <w:vAlign w:val="center"/>
          </w:tcPr>
          <w:p w14:paraId="259AAB06"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399FCE76" w14:textId="369E3438"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42C05112" w14:textId="77777777" w:rsidR="007510A0" w:rsidRPr="00801A06" w:rsidRDefault="007510A0" w:rsidP="00801A06">
            <w:pPr>
              <w:spacing w:line="240" w:lineRule="auto"/>
              <w:ind w:hanging="558"/>
            </w:pPr>
            <w:r w:rsidRPr="00801A06">
              <w:rPr>
                <w:rFonts w:cs="Arial"/>
              </w:rPr>
              <w:t>Annual</w:t>
            </w:r>
          </w:p>
        </w:tc>
      </w:tr>
      <w:tr w:rsidR="007510A0" w:rsidRPr="00801A06" w14:paraId="2B4CDD40" w14:textId="77777777" w:rsidTr="00D30A7B">
        <w:tc>
          <w:tcPr>
            <w:tcW w:w="5058" w:type="dxa"/>
            <w:vAlign w:val="center"/>
          </w:tcPr>
          <w:p w14:paraId="10C641E4" w14:textId="77777777" w:rsidR="007510A0" w:rsidRPr="00801A06" w:rsidRDefault="007510A0" w:rsidP="00D30A7B">
            <w:pPr>
              <w:spacing w:line="240" w:lineRule="auto"/>
              <w:ind w:left="29" w:hanging="29"/>
              <w:rPr>
                <w:rFonts w:cs="Arial"/>
              </w:rPr>
            </w:pPr>
            <w:r w:rsidRPr="00801A06">
              <w:rPr>
                <w:rFonts w:cs="Arial"/>
              </w:rPr>
              <w:t>Fuel price (fuel consumed to produce gas alternatives)</w:t>
            </w:r>
          </w:p>
        </w:tc>
        <w:tc>
          <w:tcPr>
            <w:tcW w:w="1458" w:type="dxa"/>
            <w:vAlign w:val="center"/>
          </w:tcPr>
          <w:p w14:paraId="20DA783C" w14:textId="77777777" w:rsidR="007510A0" w:rsidRPr="00801A06" w:rsidRDefault="007510A0" w:rsidP="001D1CF8">
            <w:pPr>
              <w:spacing w:line="240" w:lineRule="auto"/>
              <w:ind w:hanging="567"/>
              <w:rPr>
                <w:rFonts w:eastAsia="Calibri" w:cs="Arial"/>
              </w:rPr>
            </w:pPr>
            <w:r w:rsidRPr="00801A06">
              <w:rPr>
                <w:rFonts w:eastAsia="Calibri" w:cs="Arial"/>
              </w:rPr>
              <w:t>€/MWh</w:t>
            </w:r>
          </w:p>
        </w:tc>
        <w:tc>
          <w:tcPr>
            <w:tcW w:w="1706" w:type="dxa"/>
            <w:vAlign w:val="center"/>
          </w:tcPr>
          <w:p w14:paraId="7843564F"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4A52FD99"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6CD7BBCF" w14:textId="77777777" w:rsidR="007510A0" w:rsidRPr="00801A06" w:rsidRDefault="007510A0" w:rsidP="00801A06">
            <w:pPr>
              <w:spacing w:line="240" w:lineRule="auto"/>
              <w:ind w:hanging="558"/>
              <w:rPr>
                <w:rFonts w:eastAsia="Calibri" w:cs="Arial"/>
              </w:rPr>
            </w:pPr>
            <w:r w:rsidRPr="00801A06">
              <w:rPr>
                <w:rFonts w:cs="Arial"/>
              </w:rPr>
              <w:t>Annual</w:t>
            </w:r>
          </w:p>
        </w:tc>
      </w:tr>
      <w:tr w:rsidR="007510A0" w:rsidRPr="00801A06" w14:paraId="7B2E2C63" w14:textId="77777777" w:rsidTr="00D30A7B">
        <w:tc>
          <w:tcPr>
            <w:tcW w:w="5058" w:type="dxa"/>
            <w:vAlign w:val="center"/>
          </w:tcPr>
          <w:p w14:paraId="3ED0AD34" w14:textId="77777777" w:rsidR="007510A0" w:rsidRPr="00801A06" w:rsidRDefault="007510A0" w:rsidP="00D30A7B">
            <w:pPr>
              <w:spacing w:line="240" w:lineRule="auto"/>
              <w:ind w:left="29" w:hanging="29"/>
              <w:rPr>
                <w:rFonts w:cs="Arial"/>
              </w:rPr>
            </w:pPr>
            <w:r w:rsidRPr="00801A06">
              <w:rPr>
                <w:rFonts w:cs="Arial"/>
              </w:rPr>
              <w:t>NG import price for gas originating from each different region</w:t>
            </w:r>
          </w:p>
        </w:tc>
        <w:tc>
          <w:tcPr>
            <w:tcW w:w="1458" w:type="dxa"/>
            <w:vAlign w:val="center"/>
          </w:tcPr>
          <w:p w14:paraId="66916C45" w14:textId="77777777" w:rsidR="007510A0" w:rsidRPr="00801A06" w:rsidRDefault="007510A0" w:rsidP="001D1CF8">
            <w:pPr>
              <w:spacing w:line="240" w:lineRule="auto"/>
              <w:ind w:hanging="567"/>
            </w:pPr>
            <w:r w:rsidRPr="00801A06">
              <w:rPr>
                <w:rFonts w:eastAsia="Calibri" w:cs="Arial"/>
              </w:rPr>
              <w:t>€/TWh</w:t>
            </w:r>
          </w:p>
        </w:tc>
        <w:tc>
          <w:tcPr>
            <w:tcW w:w="1706" w:type="dxa"/>
            <w:vAlign w:val="center"/>
          </w:tcPr>
          <w:p w14:paraId="73F37EBC"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5F51F32C" w14:textId="77777777" w:rsidR="007510A0" w:rsidRPr="00801A06" w:rsidRDefault="007510A0" w:rsidP="00D30A7B">
            <w:pPr>
              <w:spacing w:line="240" w:lineRule="auto"/>
              <w:ind w:left="25" w:hanging="25"/>
            </w:pPr>
            <w:r w:rsidRPr="00801A06">
              <w:rPr>
                <w:rFonts w:cs="Arial"/>
              </w:rPr>
              <w:t>Poland, Russia, Belarus, rest-of-world</w:t>
            </w:r>
          </w:p>
        </w:tc>
        <w:tc>
          <w:tcPr>
            <w:tcW w:w="2661" w:type="dxa"/>
            <w:vAlign w:val="center"/>
          </w:tcPr>
          <w:p w14:paraId="65EAC902" w14:textId="77777777" w:rsidR="007510A0" w:rsidRPr="00801A06" w:rsidRDefault="007510A0" w:rsidP="00801A06">
            <w:pPr>
              <w:spacing w:line="240" w:lineRule="auto"/>
              <w:ind w:hanging="558"/>
            </w:pPr>
            <w:r w:rsidRPr="00801A06">
              <w:rPr>
                <w:rFonts w:cs="Arial"/>
              </w:rPr>
              <w:t>Annual</w:t>
            </w:r>
          </w:p>
        </w:tc>
      </w:tr>
      <w:tr w:rsidR="007510A0" w:rsidRPr="00801A06" w14:paraId="36745B98" w14:textId="77777777" w:rsidTr="00801A06">
        <w:tc>
          <w:tcPr>
            <w:tcW w:w="14312" w:type="dxa"/>
            <w:gridSpan w:val="5"/>
            <w:shd w:val="clear" w:color="auto" w:fill="D0E1E1" w:themeFill="accent3" w:themeFillTint="99"/>
            <w:vAlign w:val="center"/>
          </w:tcPr>
          <w:p w14:paraId="3569C9ED" w14:textId="77777777" w:rsidR="007510A0" w:rsidRPr="00801A06" w:rsidRDefault="007510A0" w:rsidP="00D30A7B">
            <w:pPr>
              <w:spacing w:line="240" w:lineRule="auto"/>
              <w:ind w:left="435" w:hanging="415"/>
              <w:rPr>
                <w:b/>
                <w:i/>
              </w:rPr>
            </w:pPr>
            <w:r w:rsidRPr="00801A06">
              <w:rPr>
                <w:b/>
                <w:i/>
              </w:rPr>
              <w:t>Statistical data collected for a single year or an annual indicator</w:t>
            </w:r>
          </w:p>
        </w:tc>
      </w:tr>
      <w:tr w:rsidR="007510A0" w:rsidRPr="00801A06" w14:paraId="1652228D" w14:textId="77777777" w:rsidTr="00D30A7B">
        <w:tc>
          <w:tcPr>
            <w:tcW w:w="5058" w:type="dxa"/>
            <w:vAlign w:val="center"/>
          </w:tcPr>
          <w:p w14:paraId="28EAAF89" w14:textId="57A5FD5E" w:rsidR="007510A0" w:rsidRPr="00801A06" w:rsidRDefault="007510A0" w:rsidP="00D30A7B">
            <w:pPr>
              <w:spacing w:line="240" w:lineRule="auto"/>
              <w:ind w:left="29" w:hanging="29"/>
            </w:pPr>
            <w:r w:rsidRPr="00801A06">
              <w:rPr>
                <w:rFonts w:cs="Arial"/>
              </w:rPr>
              <w:t>Sub annual consumption of natural gas, gas alternatives</w:t>
            </w:r>
          </w:p>
        </w:tc>
        <w:tc>
          <w:tcPr>
            <w:tcW w:w="1458" w:type="dxa"/>
            <w:vAlign w:val="center"/>
          </w:tcPr>
          <w:p w14:paraId="4E5CE207" w14:textId="77777777" w:rsidR="007510A0" w:rsidRPr="00801A06" w:rsidRDefault="007510A0" w:rsidP="001D1CF8">
            <w:pPr>
              <w:spacing w:line="240" w:lineRule="auto"/>
              <w:ind w:hanging="567"/>
            </w:pPr>
            <w:r w:rsidRPr="00801A06">
              <w:t>GWh</w:t>
            </w:r>
          </w:p>
        </w:tc>
        <w:tc>
          <w:tcPr>
            <w:tcW w:w="1706" w:type="dxa"/>
            <w:vAlign w:val="center"/>
          </w:tcPr>
          <w:p w14:paraId="5C57F66A"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3595327A"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37BE305D" w14:textId="72D2A33F" w:rsidR="007510A0" w:rsidRPr="00801A06" w:rsidRDefault="007510A0" w:rsidP="00801A06">
            <w:pPr>
              <w:spacing w:line="240" w:lineRule="auto"/>
              <w:ind w:left="9"/>
            </w:pPr>
            <w:r w:rsidRPr="00801A06">
              <w:rPr>
                <w:rFonts w:cs="Arial"/>
              </w:rPr>
              <w:t>Monthly or seasonal</w:t>
            </w:r>
          </w:p>
        </w:tc>
      </w:tr>
      <w:tr w:rsidR="007510A0" w:rsidRPr="00801A06" w14:paraId="074795A9" w14:textId="77777777" w:rsidTr="00D30A7B">
        <w:tc>
          <w:tcPr>
            <w:tcW w:w="5058" w:type="dxa"/>
            <w:vAlign w:val="center"/>
          </w:tcPr>
          <w:p w14:paraId="680428A1" w14:textId="77777777" w:rsidR="007510A0" w:rsidRPr="00801A06" w:rsidRDefault="007510A0" w:rsidP="00D30A7B">
            <w:pPr>
              <w:spacing w:line="240" w:lineRule="auto"/>
              <w:ind w:left="29" w:hanging="29"/>
            </w:pPr>
            <w:r w:rsidRPr="00801A06">
              <w:rPr>
                <w:rFonts w:cs="Arial"/>
              </w:rPr>
              <w:t>Production capacity for natural gas, gas alternatives</w:t>
            </w:r>
          </w:p>
        </w:tc>
        <w:tc>
          <w:tcPr>
            <w:tcW w:w="1458" w:type="dxa"/>
            <w:vAlign w:val="center"/>
          </w:tcPr>
          <w:p w14:paraId="0297852E" w14:textId="77777777" w:rsidR="007510A0" w:rsidRPr="00801A06" w:rsidRDefault="007510A0" w:rsidP="001D1CF8">
            <w:pPr>
              <w:spacing w:line="240" w:lineRule="auto"/>
              <w:ind w:hanging="567"/>
            </w:pPr>
            <w:r w:rsidRPr="00801A06">
              <w:rPr>
                <w:rFonts w:cs="Arial"/>
              </w:rPr>
              <w:t>GW</w:t>
            </w:r>
          </w:p>
        </w:tc>
        <w:tc>
          <w:tcPr>
            <w:tcW w:w="1706" w:type="dxa"/>
            <w:vAlign w:val="center"/>
          </w:tcPr>
          <w:p w14:paraId="09DCDD47"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79219CAC"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198465F1" w14:textId="77777777" w:rsidR="007510A0" w:rsidRPr="00801A06" w:rsidRDefault="007510A0" w:rsidP="00801A06">
            <w:pPr>
              <w:spacing w:line="240" w:lineRule="auto"/>
              <w:ind w:left="9"/>
            </w:pPr>
            <w:r w:rsidRPr="00801A06">
              <w:rPr>
                <w:rFonts w:cs="Arial"/>
              </w:rPr>
              <w:t>Most recent data</w:t>
            </w:r>
          </w:p>
        </w:tc>
      </w:tr>
      <w:tr w:rsidR="007510A0" w:rsidRPr="00801A06" w14:paraId="14541366" w14:textId="77777777" w:rsidTr="00D30A7B">
        <w:tc>
          <w:tcPr>
            <w:tcW w:w="5058" w:type="dxa"/>
            <w:vAlign w:val="center"/>
          </w:tcPr>
          <w:p w14:paraId="60453654" w14:textId="77777777" w:rsidR="007510A0" w:rsidRPr="00801A06" w:rsidRDefault="007510A0" w:rsidP="00D30A7B">
            <w:pPr>
              <w:spacing w:line="240" w:lineRule="auto"/>
              <w:ind w:left="29" w:hanging="29"/>
            </w:pPr>
            <w:r w:rsidRPr="00801A06">
              <w:rPr>
                <w:rFonts w:cs="Arial"/>
              </w:rPr>
              <w:t>Share of each feedstock consumed to produce gas alternatives</w:t>
            </w:r>
          </w:p>
        </w:tc>
        <w:tc>
          <w:tcPr>
            <w:tcW w:w="1458" w:type="dxa"/>
            <w:vAlign w:val="center"/>
          </w:tcPr>
          <w:p w14:paraId="5A422EB9" w14:textId="77777777" w:rsidR="007510A0" w:rsidRPr="00801A06" w:rsidRDefault="007510A0" w:rsidP="001D1CF8">
            <w:pPr>
              <w:spacing w:line="240" w:lineRule="auto"/>
              <w:ind w:hanging="567"/>
            </w:pPr>
            <w:r w:rsidRPr="00801A06">
              <w:t>GW</w:t>
            </w:r>
          </w:p>
        </w:tc>
        <w:tc>
          <w:tcPr>
            <w:tcW w:w="1706" w:type="dxa"/>
            <w:vAlign w:val="center"/>
          </w:tcPr>
          <w:p w14:paraId="380752DD"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0C02B218"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5E76F2F9" w14:textId="77777777" w:rsidR="007510A0" w:rsidRPr="00801A06" w:rsidRDefault="007510A0" w:rsidP="00801A06">
            <w:pPr>
              <w:spacing w:line="240" w:lineRule="auto"/>
              <w:ind w:left="9"/>
            </w:pPr>
            <w:r w:rsidRPr="00801A06">
              <w:rPr>
                <w:rFonts w:cs="Arial"/>
              </w:rPr>
              <w:t>Most recent data</w:t>
            </w:r>
          </w:p>
        </w:tc>
      </w:tr>
      <w:tr w:rsidR="007510A0" w:rsidRPr="00801A06" w14:paraId="52561204" w14:textId="77777777" w:rsidTr="00D30A7B">
        <w:tc>
          <w:tcPr>
            <w:tcW w:w="5058" w:type="dxa"/>
            <w:vAlign w:val="center"/>
          </w:tcPr>
          <w:p w14:paraId="7878FAD4" w14:textId="77777777" w:rsidR="007510A0" w:rsidRPr="00801A06" w:rsidRDefault="007510A0" w:rsidP="00D30A7B">
            <w:pPr>
              <w:spacing w:line="240" w:lineRule="auto"/>
              <w:ind w:left="29" w:hanging="29"/>
            </w:pPr>
            <w:r w:rsidRPr="00801A06">
              <w:rPr>
                <w:rFonts w:cs="Arial"/>
              </w:rPr>
              <w:t>Conversion efficiency (in energy terms) for converting feedstocks into [gas alternatives]</w:t>
            </w:r>
          </w:p>
        </w:tc>
        <w:tc>
          <w:tcPr>
            <w:tcW w:w="1458" w:type="dxa"/>
            <w:vAlign w:val="center"/>
          </w:tcPr>
          <w:p w14:paraId="543BA1DB" w14:textId="77777777" w:rsidR="007510A0" w:rsidRPr="00801A06" w:rsidRDefault="007510A0" w:rsidP="001D1CF8">
            <w:pPr>
              <w:spacing w:line="240" w:lineRule="auto"/>
              <w:ind w:hanging="567"/>
            </w:pPr>
            <w:r w:rsidRPr="00801A06">
              <w:t>%</w:t>
            </w:r>
          </w:p>
        </w:tc>
        <w:tc>
          <w:tcPr>
            <w:tcW w:w="1706" w:type="dxa"/>
            <w:vAlign w:val="center"/>
          </w:tcPr>
          <w:p w14:paraId="0EBD3EBB"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0D1C3C31" w14:textId="77777777" w:rsidR="007510A0" w:rsidRPr="00801A06" w:rsidRDefault="007510A0" w:rsidP="00D30A7B">
            <w:pPr>
              <w:spacing w:line="240" w:lineRule="auto"/>
              <w:ind w:left="25" w:hanging="25"/>
            </w:pPr>
            <w:r>
              <w:t xml:space="preserve">Estonia, </w:t>
            </w:r>
            <w:r w:rsidRPr="00D729B3">
              <w:t>Latvia, Lithuania, Finland</w:t>
            </w:r>
          </w:p>
        </w:tc>
        <w:tc>
          <w:tcPr>
            <w:tcW w:w="2661" w:type="dxa"/>
            <w:vAlign w:val="center"/>
          </w:tcPr>
          <w:p w14:paraId="0F3DD661" w14:textId="77777777" w:rsidR="007510A0" w:rsidRPr="00801A06" w:rsidRDefault="007510A0" w:rsidP="00801A06">
            <w:pPr>
              <w:spacing w:line="240" w:lineRule="auto"/>
              <w:ind w:left="9"/>
            </w:pPr>
            <w:r w:rsidRPr="00801A06">
              <w:rPr>
                <w:rFonts w:cs="Arial"/>
              </w:rPr>
              <w:t>Most recent data</w:t>
            </w:r>
          </w:p>
        </w:tc>
      </w:tr>
      <w:tr w:rsidR="007510A0" w:rsidRPr="00801A06" w14:paraId="2D35A427" w14:textId="77777777" w:rsidTr="00D30A7B">
        <w:tc>
          <w:tcPr>
            <w:tcW w:w="5058" w:type="dxa"/>
            <w:vAlign w:val="center"/>
          </w:tcPr>
          <w:p w14:paraId="4AFE07EE" w14:textId="77777777" w:rsidR="007510A0" w:rsidRPr="00801A06" w:rsidRDefault="007510A0" w:rsidP="00D30A7B">
            <w:pPr>
              <w:spacing w:line="240" w:lineRule="auto"/>
              <w:ind w:left="29" w:hanging="29"/>
              <w:rPr>
                <w:rFonts w:cs="Arial"/>
              </w:rPr>
            </w:pPr>
            <w:r w:rsidRPr="00801A06">
              <w:rPr>
                <w:rFonts w:cs="Arial"/>
              </w:rPr>
              <w:t>Sub annual availability of production/processing capacity for natural gas and gas alternatives</w:t>
            </w:r>
          </w:p>
        </w:tc>
        <w:tc>
          <w:tcPr>
            <w:tcW w:w="1458" w:type="dxa"/>
            <w:vAlign w:val="center"/>
          </w:tcPr>
          <w:p w14:paraId="0E83258F" w14:textId="77777777" w:rsidR="007510A0" w:rsidRPr="00801A06" w:rsidRDefault="007510A0" w:rsidP="001D1CF8">
            <w:pPr>
              <w:spacing w:line="240" w:lineRule="auto"/>
              <w:ind w:hanging="567"/>
            </w:pPr>
            <w:r w:rsidRPr="00801A06">
              <w:t>GW</w:t>
            </w:r>
          </w:p>
        </w:tc>
        <w:tc>
          <w:tcPr>
            <w:tcW w:w="1706" w:type="dxa"/>
            <w:vAlign w:val="center"/>
          </w:tcPr>
          <w:p w14:paraId="5844883C"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582B42DB" w14:textId="77777777" w:rsidR="007510A0" w:rsidRPr="00AA0E7C" w:rsidRDefault="007510A0" w:rsidP="00D30A7B">
            <w:pPr>
              <w:spacing w:line="240" w:lineRule="auto"/>
              <w:ind w:left="25" w:hanging="25"/>
              <w:rPr>
                <w:b/>
                <w:bCs/>
              </w:rPr>
            </w:pPr>
            <w:r>
              <w:t xml:space="preserve">Estonia, </w:t>
            </w:r>
            <w:r w:rsidRPr="00D729B3">
              <w:t>Latvia, Lithuania, Finland</w:t>
            </w:r>
          </w:p>
        </w:tc>
        <w:tc>
          <w:tcPr>
            <w:tcW w:w="2661" w:type="dxa"/>
            <w:vAlign w:val="center"/>
          </w:tcPr>
          <w:p w14:paraId="0EB0BC54" w14:textId="15CD9942" w:rsidR="007510A0" w:rsidRPr="00801A06" w:rsidRDefault="007510A0" w:rsidP="00801A06">
            <w:pPr>
              <w:spacing w:line="240" w:lineRule="auto"/>
              <w:ind w:left="9"/>
              <w:rPr>
                <w:rFonts w:cs="Arial"/>
              </w:rPr>
            </w:pPr>
            <w:r w:rsidRPr="00801A06">
              <w:rPr>
                <w:rFonts w:cs="Arial"/>
              </w:rPr>
              <w:t>Monthly or seasonal</w:t>
            </w:r>
          </w:p>
        </w:tc>
      </w:tr>
      <w:tr w:rsidR="007510A0" w:rsidRPr="00801A06" w14:paraId="59CD8BA6" w14:textId="77777777" w:rsidTr="00D30A7B">
        <w:tc>
          <w:tcPr>
            <w:tcW w:w="5058" w:type="dxa"/>
            <w:vAlign w:val="center"/>
          </w:tcPr>
          <w:p w14:paraId="7DE74A80" w14:textId="77777777" w:rsidR="007510A0" w:rsidRPr="00801A06" w:rsidRDefault="007510A0" w:rsidP="00D30A7B">
            <w:pPr>
              <w:spacing w:line="240" w:lineRule="auto"/>
              <w:ind w:left="29" w:hanging="29"/>
              <w:rPr>
                <w:rFonts w:cs="Arial"/>
              </w:rPr>
            </w:pPr>
            <w:r w:rsidRPr="00801A06">
              <w:rPr>
                <w:rFonts w:cs="Arial"/>
              </w:rPr>
              <w:t>Net capacity of all pipeline linkages connecting each pair of regions</w:t>
            </w:r>
          </w:p>
        </w:tc>
        <w:tc>
          <w:tcPr>
            <w:tcW w:w="1458" w:type="dxa"/>
            <w:vAlign w:val="center"/>
          </w:tcPr>
          <w:p w14:paraId="2D2204A4" w14:textId="77777777" w:rsidR="007510A0" w:rsidRPr="00801A06" w:rsidRDefault="007510A0" w:rsidP="001D1CF8">
            <w:pPr>
              <w:spacing w:line="240" w:lineRule="auto"/>
              <w:ind w:hanging="567"/>
            </w:pPr>
            <w:r w:rsidRPr="00801A06">
              <w:t>GWh/day</w:t>
            </w:r>
          </w:p>
        </w:tc>
        <w:tc>
          <w:tcPr>
            <w:tcW w:w="1706" w:type="dxa"/>
            <w:vAlign w:val="center"/>
          </w:tcPr>
          <w:p w14:paraId="0D18D00A"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0BF1B58D"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52CE9240"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6CC3AE16" w14:textId="77777777" w:rsidTr="00D30A7B">
        <w:tc>
          <w:tcPr>
            <w:tcW w:w="5058" w:type="dxa"/>
            <w:vAlign w:val="center"/>
          </w:tcPr>
          <w:p w14:paraId="3D733672" w14:textId="77777777" w:rsidR="007510A0" w:rsidRPr="00801A06" w:rsidRDefault="007510A0" w:rsidP="00D30A7B">
            <w:pPr>
              <w:spacing w:line="240" w:lineRule="auto"/>
              <w:ind w:left="29" w:hanging="29"/>
              <w:rPr>
                <w:rFonts w:cs="Arial"/>
              </w:rPr>
            </w:pPr>
            <w:r w:rsidRPr="00801A06">
              <w:rPr>
                <w:rFonts w:cs="Arial"/>
              </w:rPr>
              <w:t>Total capacity of all gas storage facilities when full</w:t>
            </w:r>
          </w:p>
        </w:tc>
        <w:tc>
          <w:tcPr>
            <w:tcW w:w="1458" w:type="dxa"/>
            <w:vAlign w:val="center"/>
          </w:tcPr>
          <w:p w14:paraId="07FC96C6" w14:textId="77777777" w:rsidR="007510A0" w:rsidRPr="00801A06" w:rsidRDefault="007510A0" w:rsidP="001D1CF8">
            <w:pPr>
              <w:spacing w:line="240" w:lineRule="auto"/>
              <w:ind w:hanging="567"/>
            </w:pPr>
            <w:r w:rsidRPr="00801A06">
              <w:t>TWh</w:t>
            </w:r>
          </w:p>
        </w:tc>
        <w:tc>
          <w:tcPr>
            <w:tcW w:w="1706" w:type="dxa"/>
            <w:vAlign w:val="center"/>
          </w:tcPr>
          <w:p w14:paraId="0030D7DD"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6CD5FA05"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67E58F9F"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7D45A1D2" w14:textId="77777777" w:rsidTr="00D30A7B">
        <w:tc>
          <w:tcPr>
            <w:tcW w:w="5058" w:type="dxa"/>
            <w:vAlign w:val="center"/>
          </w:tcPr>
          <w:p w14:paraId="29FA6E57" w14:textId="77777777" w:rsidR="007510A0" w:rsidRPr="00801A06" w:rsidRDefault="007510A0" w:rsidP="00D30A7B">
            <w:pPr>
              <w:spacing w:line="240" w:lineRule="auto"/>
              <w:ind w:left="29" w:hanging="29"/>
              <w:rPr>
                <w:rFonts w:cs="Arial"/>
              </w:rPr>
            </w:pPr>
            <w:r w:rsidRPr="00801A06">
              <w:rPr>
                <w:rFonts w:cs="Arial"/>
              </w:rPr>
              <w:t>Liquefaction/regasification installed capacities for natural gas, gas alternatives like syngas, biomethane, and hydrogen</w:t>
            </w:r>
          </w:p>
        </w:tc>
        <w:tc>
          <w:tcPr>
            <w:tcW w:w="1458" w:type="dxa"/>
            <w:vAlign w:val="center"/>
          </w:tcPr>
          <w:p w14:paraId="0767CC43" w14:textId="77777777" w:rsidR="007510A0" w:rsidRPr="00801A06" w:rsidRDefault="007510A0" w:rsidP="00D30A7B">
            <w:pPr>
              <w:spacing w:line="240" w:lineRule="auto"/>
              <w:ind w:hanging="567"/>
            </w:pPr>
            <w:r w:rsidRPr="00801A06">
              <w:t>TWh</w:t>
            </w:r>
          </w:p>
        </w:tc>
        <w:tc>
          <w:tcPr>
            <w:tcW w:w="1706" w:type="dxa"/>
            <w:vAlign w:val="center"/>
          </w:tcPr>
          <w:p w14:paraId="3413D2D9"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778CA49F"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69946723" w14:textId="77777777" w:rsidR="007510A0" w:rsidRPr="00801A06" w:rsidRDefault="007510A0" w:rsidP="00801A06">
            <w:pPr>
              <w:spacing w:line="240" w:lineRule="auto"/>
              <w:ind w:left="9"/>
              <w:rPr>
                <w:rFonts w:cs="Arial"/>
                <w:b/>
              </w:rPr>
            </w:pPr>
            <w:r w:rsidRPr="00801A06">
              <w:rPr>
                <w:rFonts w:cs="Arial"/>
              </w:rPr>
              <w:t>Most recent data</w:t>
            </w:r>
          </w:p>
        </w:tc>
      </w:tr>
      <w:tr w:rsidR="007510A0" w:rsidRPr="00801A06" w14:paraId="1ED9E859" w14:textId="77777777" w:rsidTr="00D30A7B">
        <w:tc>
          <w:tcPr>
            <w:tcW w:w="5058" w:type="dxa"/>
            <w:vAlign w:val="center"/>
          </w:tcPr>
          <w:p w14:paraId="735DFC02" w14:textId="77777777" w:rsidR="007510A0" w:rsidRPr="00801A06" w:rsidRDefault="007510A0" w:rsidP="00D30A7B">
            <w:pPr>
              <w:spacing w:line="240" w:lineRule="auto"/>
              <w:ind w:left="29" w:hanging="29"/>
              <w:rPr>
                <w:rFonts w:cs="Arial"/>
              </w:rPr>
            </w:pPr>
            <w:r w:rsidRPr="00801A06">
              <w:rPr>
                <w:rFonts w:cs="Arial"/>
              </w:rPr>
              <w:t>Sub-annual availability of liquefaction/regasification capacity for natural gas, gas alternatives like syngas, biomethane, green and blue hydrogen</w:t>
            </w:r>
          </w:p>
        </w:tc>
        <w:tc>
          <w:tcPr>
            <w:tcW w:w="1458" w:type="dxa"/>
            <w:vAlign w:val="center"/>
          </w:tcPr>
          <w:p w14:paraId="7799C957" w14:textId="77777777" w:rsidR="007510A0" w:rsidRPr="00801A06" w:rsidRDefault="007510A0" w:rsidP="00D30A7B">
            <w:pPr>
              <w:spacing w:line="240" w:lineRule="auto"/>
              <w:ind w:hanging="567"/>
            </w:pPr>
            <w:r w:rsidRPr="00801A06">
              <w:t>GWh</w:t>
            </w:r>
          </w:p>
        </w:tc>
        <w:tc>
          <w:tcPr>
            <w:tcW w:w="1706" w:type="dxa"/>
            <w:vAlign w:val="center"/>
          </w:tcPr>
          <w:p w14:paraId="61CE0F1B"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39266C6E"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121A87D6"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457A6F52" w14:textId="77777777" w:rsidTr="00D30A7B">
        <w:tc>
          <w:tcPr>
            <w:tcW w:w="5058" w:type="dxa"/>
            <w:vAlign w:val="center"/>
          </w:tcPr>
          <w:p w14:paraId="28B35C60" w14:textId="77777777" w:rsidR="007510A0" w:rsidRPr="00801A06" w:rsidRDefault="007510A0" w:rsidP="00D30A7B">
            <w:pPr>
              <w:spacing w:line="240" w:lineRule="auto"/>
              <w:ind w:left="29" w:hanging="29"/>
              <w:rPr>
                <w:rFonts w:cs="Arial"/>
              </w:rPr>
            </w:pPr>
            <w:r w:rsidRPr="00801A06">
              <w:rPr>
                <w:rFonts w:cs="Arial"/>
              </w:rPr>
              <w:t>Energy loss or round-trip storage efficiency, expressed as a fraction of energy stored</w:t>
            </w:r>
          </w:p>
        </w:tc>
        <w:tc>
          <w:tcPr>
            <w:tcW w:w="1458" w:type="dxa"/>
            <w:vAlign w:val="center"/>
          </w:tcPr>
          <w:p w14:paraId="03EB91A4" w14:textId="77777777" w:rsidR="007510A0" w:rsidRPr="00801A06" w:rsidRDefault="007510A0" w:rsidP="00D30A7B">
            <w:pPr>
              <w:spacing w:line="240" w:lineRule="auto"/>
              <w:ind w:hanging="567"/>
            </w:pPr>
            <w:r w:rsidRPr="00801A06">
              <w:t>%</w:t>
            </w:r>
          </w:p>
        </w:tc>
        <w:tc>
          <w:tcPr>
            <w:tcW w:w="1706" w:type="dxa"/>
            <w:vAlign w:val="center"/>
          </w:tcPr>
          <w:p w14:paraId="7F3EEDFB"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2C3CB93C" w14:textId="77777777" w:rsidR="007510A0" w:rsidRPr="00801A06" w:rsidRDefault="007510A0" w:rsidP="00D30A7B">
            <w:pPr>
              <w:spacing w:line="240" w:lineRule="auto"/>
              <w:ind w:left="25" w:hanging="25"/>
              <w:rPr>
                <w:rFonts w:cs="Arial"/>
              </w:rPr>
            </w:pPr>
            <w:r>
              <w:t xml:space="preserve">Estonia, </w:t>
            </w:r>
            <w:r w:rsidRPr="00D729B3">
              <w:t>Latvia, Lithuania, Finland</w:t>
            </w:r>
          </w:p>
        </w:tc>
        <w:tc>
          <w:tcPr>
            <w:tcW w:w="2661" w:type="dxa"/>
            <w:vAlign w:val="center"/>
          </w:tcPr>
          <w:p w14:paraId="309B00CC"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36A833D1" w14:textId="77777777" w:rsidTr="00D30A7B">
        <w:tc>
          <w:tcPr>
            <w:tcW w:w="5058" w:type="dxa"/>
            <w:vAlign w:val="center"/>
          </w:tcPr>
          <w:p w14:paraId="050D7522" w14:textId="77777777" w:rsidR="007510A0" w:rsidRPr="00801A06" w:rsidRDefault="007510A0" w:rsidP="00D30A7B">
            <w:pPr>
              <w:spacing w:line="240" w:lineRule="auto"/>
              <w:ind w:left="29" w:hanging="29"/>
              <w:rPr>
                <w:rFonts w:cs="Arial"/>
              </w:rPr>
            </w:pPr>
            <w:r w:rsidRPr="00801A06">
              <w:rPr>
                <w:rFonts w:cs="Arial"/>
              </w:rPr>
              <w:t>Conversion efficiency or energy losses for [liquefaction, regasification] of [gas alternatives like syngas, biomethane, and hydrogen]]</w:t>
            </w:r>
          </w:p>
        </w:tc>
        <w:tc>
          <w:tcPr>
            <w:tcW w:w="1458" w:type="dxa"/>
            <w:vAlign w:val="center"/>
          </w:tcPr>
          <w:p w14:paraId="705352BE" w14:textId="77777777" w:rsidR="007510A0" w:rsidRPr="00801A06" w:rsidRDefault="007510A0" w:rsidP="00D30A7B">
            <w:pPr>
              <w:spacing w:line="240" w:lineRule="auto"/>
              <w:ind w:hanging="567"/>
            </w:pPr>
            <w:r w:rsidRPr="00801A06">
              <w:t>%</w:t>
            </w:r>
          </w:p>
        </w:tc>
        <w:tc>
          <w:tcPr>
            <w:tcW w:w="1706" w:type="dxa"/>
            <w:vAlign w:val="center"/>
          </w:tcPr>
          <w:p w14:paraId="479A4878"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04DB10C5"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631EFBA1"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5F1CB746" w14:textId="77777777" w:rsidTr="00D30A7B">
        <w:tc>
          <w:tcPr>
            <w:tcW w:w="5058" w:type="dxa"/>
            <w:vAlign w:val="center"/>
          </w:tcPr>
          <w:p w14:paraId="6DD8BB14" w14:textId="77777777" w:rsidR="007510A0" w:rsidRPr="00801A06" w:rsidRDefault="007510A0" w:rsidP="00D30A7B">
            <w:pPr>
              <w:spacing w:line="240" w:lineRule="auto"/>
              <w:ind w:left="29" w:hanging="29"/>
              <w:rPr>
                <w:rFonts w:cs="Arial"/>
              </w:rPr>
            </w:pPr>
            <w:r w:rsidRPr="00801A06">
              <w:rPr>
                <w:rFonts w:cs="Arial"/>
              </w:rPr>
              <w:t>Capital cost, annual fixed cost, and maintenance cost per unit of capacity, and variable O&amp;M cost per unit of energy for gas production plant</w:t>
            </w:r>
          </w:p>
        </w:tc>
        <w:tc>
          <w:tcPr>
            <w:tcW w:w="1458" w:type="dxa"/>
            <w:vAlign w:val="center"/>
          </w:tcPr>
          <w:p w14:paraId="2E8DEC85" w14:textId="77777777" w:rsidR="007510A0" w:rsidRPr="00801A06" w:rsidRDefault="007510A0" w:rsidP="00D30A7B">
            <w:pPr>
              <w:spacing w:line="240" w:lineRule="auto"/>
              <w:ind w:hanging="567"/>
            </w:pPr>
            <w:r w:rsidRPr="00801A06">
              <w:t>€/kW, €/kWh</w:t>
            </w:r>
          </w:p>
        </w:tc>
        <w:tc>
          <w:tcPr>
            <w:tcW w:w="1706" w:type="dxa"/>
            <w:vAlign w:val="center"/>
          </w:tcPr>
          <w:p w14:paraId="15B786B5"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3CB77FCE"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66AEE890"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361AC45F" w14:textId="77777777" w:rsidTr="00D30A7B">
        <w:tc>
          <w:tcPr>
            <w:tcW w:w="5058" w:type="dxa"/>
            <w:vAlign w:val="center"/>
          </w:tcPr>
          <w:p w14:paraId="6BAFE5E6" w14:textId="77777777" w:rsidR="007510A0" w:rsidRPr="00801A06" w:rsidRDefault="007510A0" w:rsidP="00D30A7B">
            <w:pPr>
              <w:spacing w:line="240" w:lineRule="auto"/>
              <w:ind w:left="29" w:hanging="29"/>
              <w:rPr>
                <w:rFonts w:cs="Arial"/>
              </w:rPr>
            </w:pPr>
            <w:r w:rsidRPr="00801A06">
              <w:rPr>
                <w:rFonts w:cs="Arial"/>
              </w:rPr>
              <w:lastRenderedPageBreak/>
              <w:t>Capital cost, annual fixed cost, and maintenance cost per unit of capacity, and variable O&amp;M cost per unit of energy for gas transmission pipelines</w:t>
            </w:r>
          </w:p>
        </w:tc>
        <w:tc>
          <w:tcPr>
            <w:tcW w:w="1458" w:type="dxa"/>
            <w:vAlign w:val="center"/>
          </w:tcPr>
          <w:p w14:paraId="561390DB" w14:textId="77777777" w:rsidR="007510A0" w:rsidRPr="00801A06" w:rsidRDefault="007510A0" w:rsidP="00D30A7B">
            <w:pPr>
              <w:spacing w:line="240" w:lineRule="auto"/>
              <w:ind w:hanging="567"/>
            </w:pPr>
            <w:r w:rsidRPr="00801A06">
              <w:t>€/kW, €/kWh</w:t>
            </w:r>
          </w:p>
        </w:tc>
        <w:tc>
          <w:tcPr>
            <w:tcW w:w="1706" w:type="dxa"/>
            <w:vAlign w:val="center"/>
          </w:tcPr>
          <w:p w14:paraId="47A8F567"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37DB5413"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743526B4"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4A5E2957" w14:textId="77777777" w:rsidTr="00D30A7B">
        <w:tc>
          <w:tcPr>
            <w:tcW w:w="5058" w:type="dxa"/>
            <w:vAlign w:val="center"/>
          </w:tcPr>
          <w:p w14:paraId="3BEC4974" w14:textId="77777777" w:rsidR="007510A0" w:rsidRPr="00801A06" w:rsidRDefault="007510A0" w:rsidP="00D30A7B">
            <w:pPr>
              <w:spacing w:line="240" w:lineRule="auto"/>
              <w:ind w:left="29" w:hanging="29"/>
              <w:rPr>
                <w:rFonts w:cs="Arial"/>
              </w:rPr>
            </w:pPr>
            <w:r w:rsidRPr="00801A06">
              <w:rPr>
                <w:rFonts w:cs="Arial"/>
              </w:rPr>
              <w:t>Capital cost, annual fixed cost, and maintenance cost per unit of capacity, and variable O&amp;M cost per unit of energy for storage facilities (UGS) and LNG plants</w:t>
            </w:r>
          </w:p>
        </w:tc>
        <w:tc>
          <w:tcPr>
            <w:tcW w:w="1458" w:type="dxa"/>
            <w:vAlign w:val="center"/>
          </w:tcPr>
          <w:p w14:paraId="72CAB1EB" w14:textId="77777777" w:rsidR="007510A0" w:rsidRPr="00801A06" w:rsidRDefault="007510A0" w:rsidP="00D30A7B">
            <w:pPr>
              <w:spacing w:line="240" w:lineRule="auto"/>
              <w:ind w:hanging="567"/>
            </w:pPr>
            <w:r w:rsidRPr="00801A06">
              <w:t>€/kW, €/kWh</w:t>
            </w:r>
          </w:p>
        </w:tc>
        <w:tc>
          <w:tcPr>
            <w:tcW w:w="1706" w:type="dxa"/>
            <w:vAlign w:val="center"/>
          </w:tcPr>
          <w:p w14:paraId="651868D9"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747B3CFF" w14:textId="77777777" w:rsidR="007510A0" w:rsidRDefault="007510A0" w:rsidP="00D30A7B">
            <w:pPr>
              <w:spacing w:line="240" w:lineRule="auto"/>
              <w:ind w:left="25" w:hanging="25"/>
            </w:pPr>
            <w:r>
              <w:t xml:space="preserve">Estonia, </w:t>
            </w:r>
            <w:r w:rsidRPr="00D729B3">
              <w:t>Latvia, Lithuania, Finland</w:t>
            </w:r>
          </w:p>
        </w:tc>
        <w:tc>
          <w:tcPr>
            <w:tcW w:w="2661" w:type="dxa"/>
            <w:vAlign w:val="center"/>
          </w:tcPr>
          <w:p w14:paraId="36DFFF9E"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3A0EB65A" w14:textId="77777777" w:rsidTr="00D30A7B">
        <w:tc>
          <w:tcPr>
            <w:tcW w:w="5058" w:type="dxa"/>
            <w:vAlign w:val="center"/>
          </w:tcPr>
          <w:p w14:paraId="1964B963" w14:textId="77777777" w:rsidR="007510A0" w:rsidRPr="00801A06" w:rsidRDefault="007510A0" w:rsidP="00D30A7B">
            <w:pPr>
              <w:spacing w:line="240" w:lineRule="auto"/>
              <w:ind w:left="29" w:hanging="29"/>
              <w:rPr>
                <w:rFonts w:cs="Arial"/>
              </w:rPr>
            </w:pPr>
            <w:r w:rsidRPr="00801A06">
              <w:rPr>
                <w:rFonts w:cs="Arial"/>
              </w:rPr>
              <w:t>Fuel Characteristics - Net energy density (lower heating value)</w:t>
            </w:r>
          </w:p>
        </w:tc>
        <w:tc>
          <w:tcPr>
            <w:tcW w:w="1458" w:type="dxa"/>
            <w:vAlign w:val="center"/>
          </w:tcPr>
          <w:p w14:paraId="4828C915" w14:textId="77777777" w:rsidR="007510A0" w:rsidRPr="00801A06" w:rsidRDefault="007510A0" w:rsidP="00D30A7B">
            <w:pPr>
              <w:spacing w:line="240" w:lineRule="auto"/>
              <w:ind w:hanging="567"/>
            </w:pPr>
            <w:r w:rsidRPr="00801A06">
              <w:t>GWh/ton</w:t>
            </w:r>
          </w:p>
        </w:tc>
        <w:tc>
          <w:tcPr>
            <w:tcW w:w="1706" w:type="dxa"/>
            <w:vAlign w:val="center"/>
          </w:tcPr>
          <w:p w14:paraId="5FB6F45B" w14:textId="77777777" w:rsidR="007510A0" w:rsidRPr="00801A06" w:rsidRDefault="007510A0" w:rsidP="00D30A7B">
            <w:pPr>
              <w:spacing w:line="240" w:lineRule="auto"/>
              <w:ind w:left="435" w:hanging="415"/>
              <w:rPr>
                <w:rFonts w:cs="Arial"/>
              </w:rPr>
            </w:pPr>
            <w:r w:rsidRPr="00801A06">
              <w:rPr>
                <w:rFonts w:cs="Arial"/>
              </w:rPr>
              <w:t>D3</w:t>
            </w:r>
          </w:p>
        </w:tc>
        <w:tc>
          <w:tcPr>
            <w:tcW w:w="3429" w:type="dxa"/>
            <w:vAlign w:val="center"/>
          </w:tcPr>
          <w:p w14:paraId="08C93D13" w14:textId="77777777" w:rsidR="007510A0" w:rsidRDefault="007510A0" w:rsidP="00D30A7B">
            <w:pPr>
              <w:spacing w:line="240" w:lineRule="auto"/>
              <w:ind w:left="25" w:hanging="25"/>
            </w:pPr>
            <w:r>
              <w:t>-</w:t>
            </w:r>
          </w:p>
        </w:tc>
        <w:tc>
          <w:tcPr>
            <w:tcW w:w="2661" w:type="dxa"/>
            <w:vAlign w:val="center"/>
          </w:tcPr>
          <w:p w14:paraId="2B38B89A" w14:textId="77777777" w:rsidR="007510A0" w:rsidRPr="00801A06" w:rsidRDefault="007510A0" w:rsidP="00801A06">
            <w:pPr>
              <w:spacing w:line="240" w:lineRule="auto"/>
              <w:ind w:left="9"/>
              <w:rPr>
                <w:rFonts w:cs="Arial"/>
              </w:rPr>
            </w:pPr>
            <w:r w:rsidRPr="00801A06">
              <w:rPr>
                <w:rFonts w:cs="Arial"/>
              </w:rPr>
              <w:t>Most recent data</w:t>
            </w:r>
          </w:p>
        </w:tc>
      </w:tr>
      <w:tr w:rsidR="007510A0" w:rsidRPr="00801A06" w14:paraId="14C10737" w14:textId="77777777" w:rsidTr="00801A06">
        <w:tc>
          <w:tcPr>
            <w:tcW w:w="14312" w:type="dxa"/>
            <w:gridSpan w:val="5"/>
            <w:shd w:val="clear" w:color="auto" w:fill="D0E1E1" w:themeFill="accent3" w:themeFillTint="99"/>
            <w:vAlign w:val="center"/>
          </w:tcPr>
          <w:p w14:paraId="61765C55" w14:textId="77777777" w:rsidR="007510A0" w:rsidRPr="00801A06" w:rsidRDefault="007510A0" w:rsidP="00D30A7B">
            <w:pPr>
              <w:spacing w:line="240" w:lineRule="auto"/>
              <w:ind w:left="435" w:hanging="415"/>
              <w:rPr>
                <w:b/>
                <w:i/>
              </w:rPr>
            </w:pPr>
            <w:r w:rsidRPr="00801A06">
              <w:rPr>
                <w:rFonts w:cs="Arial"/>
                <w:b/>
                <w:i/>
              </w:rPr>
              <w:t>Data forecasts and estimations collected until 2050</w:t>
            </w:r>
          </w:p>
        </w:tc>
      </w:tr>
      <w:tr w:rsidR="007510A0" w:rsidRPr="00801A06" w14:paraId="6756D57B" w14:textId="77777777" w:rsidTr="00D30A7B">
        <w:tc>
          <w:tcPr>
            <w:tcW w:w="5058" w:type="dxa"/>
            <w:vAlign w:val="center"/>
          </w:tcPr>
          <w:p w14:paraId="4C3E96C1" w14:textId="77777777" w:rsidR="007510A0" w:rsidRPr="00801A06" w:rsidRDefault="007510A0" w:rsidP="00D30A7B">
            <w:pPr>
              <w:spacing w:line="240" w:lineRule="auto"/>
              <w:ind w:left="29" w:hanging="29"/>
            </w:pPr>
            <w:r w:rsidRPr="00801A06">
              <w:rPr>
                <w:rFonts w:cs="Arial"/>
              </w:rPr>
              <w:t>Fuel prices (fuel consumed to produce gas alternatives)</w:t>
            </w:r>
          </w:p>
        </w:tc>
        <w:tc>
          <w:tcPr>
            <w:tcW w:w="1458" w:type="dxa"/>
            <w:vAlign w:val="center"/>
          </w:tcPr>
          <w:p w14:paraId="182A58C9" w14:textId="77777777" w:rsidR="007510A0" w:rsidRPr="00801A06" w:rsidRDefault="007510A0" w:rsidP="00807C6A">
            <w:pPr>
              <w:spacing w:line="240" w:lineRule="auto"/>
              <w:ind w:left="358" w:hanging="358"/>
            </w:pPr>
            <w:r w:rsidRPr="00801A06">
              <w:rPr>
                <w:rFonts w:cs="Arial"/>
              </w:rPr>
              <w:t>€/MWh</w:t>
            </w:r>
          </w:p>
        </w:tc>
        <w:tc>
          <w:tcPr>
            <w:tcW w:w="1706" w:type="dxa"/>
            <w:vAlign w:val="center"/>
          </w:tcPr>
          <w:p w14:paraId="2B9CD55D" w14:textId="77777777" w:rsidR="007510A0" w:rsidRPr="00801A06" w:rsidRDefault="007510A0" w:rsidP="00D30A7B">
            <w:pPr>
              <w:spacing w:line="240" w:lineRule="auto"/>
              <w:ind w:left="435" w:hanging="415"/>
            </w:pPr>
            <w:r w:rsidRPr="00801A06">
              <w:t>D3, D4, D6</w:t>
            </w:r>
          </w:p>
        </w:tc>
        <w:tc>
          <w:tcPr>
            <w:tcW w:w="3429" w:type="dxa"/>
            <w:vAlign w:val="center"/>
          </w:tcPr>
          <w:p w14:paraId="3AB2090F" w14:textId="77777777" w:rsidR="007510A0" w:rsidRPr="00801A06" w:rsidRDefault="007510A0" w:rsidP="00D30A7B">
            <w:pPr>
              <w:spacing w:line="240" w:lineRule="auto"/>
              <w:ind w:left="0"/>
            </w:pPr>
            <w:r>
              <w:t xml:space="preserve">Estonia, </w:t>
            </w:r>
            <w:r w:rsidRPr="00D729B3">
              <w:t>Latvia, Lithuania, Finland</w:t>
            </w:r>
          </w:p>
        </w:tc>
        <w:tc>
          <w:tcPr>
            <w:tcW w:w="2661" w:type="dxa"/>
            <w:vAlign w:val="center"/>
          </w:tcPr>
          <w:p w14:paraId="5B1247BC" w14:textId="77777777" w:rsidR="007510A0" w:rsidRPr="00801A06" w:rsidRDefault="007510A0" w:rsidP="00801A06">
            <w:pPr>
              <w:spacing w:line="240" w:lineRule="auto"/>
              <w:ind w:left="150" w:hanging="150"/>
            </w:pPr>
            <w:r w:rsidRPr="00801A06">
              <w:rPr>
                <w:rFonts w:cs="Arial"/>
              </w:rPr>
              <w:t>Annual</w:t>
            </w:r>
          </w:p>
        </w:tc>
      </w:tr>
      <w:tr w:rsidR="007510A0" w:rsidRPr="00801A06" w14:paraId="3B1F4D7E" w14:textId="77777777" w:rsidTr="00D30A7B">
        <w:tc>
          <w:tcPr>
            <w:tcW w:w="5058" w:type="dxa"/>
            <w:vAlign w:val="center"/>
          </w:tcPr>
          <w:p w14:paraId="0948B5E4" w14:textId="77777777" w:rsidR="007510A0" w:rsidRPr="00801A06" w:rsidRDefault="007510A0" w:rsidP="00D30A7B">
            <w:pPr>
              <w:spacing w:line="240" w:lineRule="auto"/>
              <w:ind w:left="29" w:hanging="29"/>
            </w:pPr>
            <w:r w:rsidRPr="00801A06">
              <w:rPr>
                <w:rFonts w:cs="Arial"/>
              </w:rPr>
              <w:t>All sectors target mixture of [gas alternatives]] in final gas mix consumed</w:t>
            </w:r>
          </w:p>
        </w:tc>
        <w:tc>
          <w:tcPr>
            <w:tcW w:w="1458" w:type="dxa"/>
            <w:vAlign w:val="center"/>
          </w:tcPr>
          <w:p w14:paraId="45769603" w14:textId="77777777" w:rsidR="007510A0" w:rsidRPr="00801A06" w:rsidRDefault="007510A0" w:rsidP="00807C6A">
            <w:pPr>
              <w:spacing w:line="240" w:lineRule="auto"/>
              <w:ind w:left="358" w:hanging="358"/>
            </w:pPr>
            <w:r w:rsidRPr="00801A06">
              <w:rPr>
                <w:rFonts w:cs="Arial"/>
              </w:rPr>
              <w:t>%</w:t>
            </w:r>
          </w:p>
        </w:tc>
        <w:tc>
          <w:tcPr>
            <w:tcW w:w="1706" w:type="dxa"/>
            <w:vAlign w:val="center"/>
          </w:tcPr>
          <w:p w14:paraId="7165D50B" w14:textId="77777777" w:rsidR="007510A0" w:rsidRPr="00801A06" w:rsidRDefault="007510A0" w:rsidP="00D30A7B">
            <w:pPr>
              <w:spacing w:line="240" w:lineRule="auto"/>
              <w:ind w:left="435" w:hanging="415"/>
            </w:pPr>
            <w:r w:rsidRPr="00801A06">
              <w:t>D3</w:t>
            </w:r>
          </w:p>
        </w:tc>
        <w:tc>
          <w:tcPr>
            <w:tcW w:w="3429" w:type="dxa"/>
            <w:vAlign w:val="center"/>
          </w:tcPr>
          <w:p w14:paraId="6AAAECAC" w14:textId="77777777" w:rsidR="007510A0" w:rsidRPr="00801A06" w:rsidRDefault="007510A0" w:rsidP="00D30A7B">
            <w:pPr>
              <w:spacing w:line="240" w:lineRule="auto"/>
              <w:ind w:left="0"/>
            </w:pPr>
            <w:r w:rsidRPr="00801A06">
              <w:rPr>
                <w:rFonts w:cs="Arial"/>
              </w:rPr>
              <w:t>Estonia, Latvia, Lithuania, Finland</w:t>
            </w:r>
          </w:p>
        </w:tc>
        <w:tc>
          <w:tcPr>
            <w:tcW w:w="2661" w:type="dxa"/>
            <w:vAlign w:val="center"/>
          </w:tcPr>
          <w:p w14:paraId="3A466F0E" w14:textId="77777777" w:rsidR="007510A0" w:rsidRPr="00801A06" w:rsidRDefault="007510A0" w:rsidP="00801A06">
            <w:pPr>
              <w:spacing w:line="240" w:lineRule="auto"/>
              <w:ind w:left="150" w:hanging="150"/>
            </w:pPr>
            <w:r w:rsidRPr="00801A06">
              <w:rPr>
                <w:rFonts w:cs="Arial"/>
              </w:rPr>
              <w:t>2030/2050</w:t>
            </w:r>
          </w:p>
        </w:tc>
      </w:tr>
      <w:tr w:rsidR="007510A0" w:rsidRPr="00801A06" w14:paraId="1A023BFE" w14:textId="77777777" w:rsidTr="00D30A7B">
        <w:tc>
          <w:tcPr>
            <w:tcW w:w="5058" w:type="dxa"/>
            <w:vAlign w:val="center"/>
          </w:tcPr>
          <w:p w14:paraId="3AECB9B5" w14:textId="77777777" w:rsidR="007510A0" w:rsidRPr="00801A06" w:rsidRDefault="007510A0" w:rsidP="00D30A7B">
            <w:pPr>
              <w:spacing w:line="240" w:lineRule="auto"/>
              <w:ind w:left="29" w:hanging="29"/>
            </w:pPr>
            <w:r w:rsidRPr="00801A06">
              <w:rPr>
                <w:rFonts w:cs="Arial"/>
              </w:rPr>
              <w:t>EU ETS prices</w:t>
            </w:r>
          </w:p>
        </w:tc>
        <w:tc>
          <w:tcPr>
            <w:tcW w:w="1458" w:type="dxa"/>
            <w:vAlign w:val="center"/>
          </w:tcPr>
          <w:p w14:paraId="269D33EA" w14:textId="77777777" w:rsidR="007510A0" w:rsidRPr="00801A06" w:rsidRDefault="007510A0" w:rsidP="00807C6A">
            <w:pPr>
              <w:spacing w:line="240" w:lineRule="auto"/>
              <w:ind w:left="358" w:hanging="358"/>
            </w:pPr>
            <w:r w:rsidRPr="00801A06">
              <w:rPr>
                <w:rFonts w:cs="Arial"/>
              </w:rPr>
              <w:t>€/t</w:t>
            </w:r>
          </w:p>
        </w:tc>
        <w:tc>
          <w:tcPr>
            <w:tcW w:w="1706" w:type="dxa"/>
            <w:vAlign w:val="center"/>
          </w:tcPr>
          <w:p w14:paraId="77DD65B5" w14:textId="77777777" w:rsidR="007510A0" w:rsidRPr="00801A06" w:rsidRDefault="007510A0" w:rsidP="00D30A7B">
            <w:pPr>
              <w:spacing w:line="240" w:lineRule="auto"/>
              <w:ind w:left="435" w:hanging="415"/>
            </w:pPr>
            <w:r w:rsidRPr="00801A06">
              <w:t>D3, D4, D6</w:t>
            </w:r>
          </w:p>
        </w:tc>
        <w:tc>
          <w:tcPr>
            <w:tcW w:w="3429" w:type="dxa"/>
            <w:vAlign w:val="center"/>
          </w:tcPr>
          <w:p w14:paraId="0393B875" w14:textId="0B7D25B6" w:rsidR="007510A0" w:rsidRPr="00801A06" w:rsidRDefault="007510A0" w:rsidP="00D30A7B">
            <w:pPr>
              <w:spacing w:line="240" w:lineRule="auto"/>
              <w:ind w:left="0"/>
            </w:pPr>
            <w:r w:rsidRPr="00801A06">
              <w:rPr>
                <w:rFonts w:cs="Arial"/>
              </w:rPr>
              <w:t>EU</w:t>
            </w:r>
          </w:p>
        </w:tc>
        <w:tc>
          <w:tcPr>
            <w:tcW w:w="2661" w:type="dxa"/>
            <w:vAlign w:val="center"/>
          </w:tcPr>
          <w:p w14:paraId="551822F7" w14:textId="77777777" w:rsidR="007510A0" w:rsidRPr="00801A06" w:rsidRDefault="007510A0" w:rsidP="00801A06">
            <w:pPr>
              <w:spacing w:line="240" w:lineRule="auto"/>
              <w:ind w:left="150" w:hanging="150"/>
            </w:pPr>
            <w:r w:rsidRPr="00801A06">
              <w:rPr>
                <w:rFonts w:cs="Arial"/>
              </w:rPr>
              <w:t>Annual</w:t>
            </w:r>
          </w:p>
        </w:tc>
      </w:tr>
      <w:tr w:rsidR="007510A0" w:rsidRPr="00801A06" w14:paraId="17D91E5C" w14:textId="77777777" w:rsidTr="00D30A7B">
        <w:tc>
          <w:tcPr>
            <w:tcW w:w="5058" w:type="dxa"/>
            <w:vAlign w:val="center"/>
          </w:tcPr>
          <w:p w14:paraId="62C44614" w14:textId="77777777" w:rsidR="007510A0" w:rsidRPr="00801A06" w:rsidRDefault="007510A0" w:rsidP="00D30A7B">
            <w:pPr>
              <w:spacing w:line="240" w:lineRule="auto"/>
              <w:ind w:left="29" w:hanging="29"/>
            </w:pPr>
            <w:r w:rsidRPr="00801A06">
              <w:rPr>
                <w:rFonts w:cs="Arial"/>
              </w:rPr>
              <w:t>Cross-border transmission capacities</w:t>
            </w:r>
          </w:p>
        </w:tc>
        <w:tc>
          <w:tcPr>
            <w:tcW w:w="1458" w:type="dxa"/>
            <w:vAlign w:val="center"/>
          </w:tcPr>
          <w:p w14:paraId="1EC1600F" w14:textId="77777777" w:rsidR="007510A0" w:rsidRPr="00801A06" w:rsidRDefault="007510A0" w:rsidP="00807C6A">
            <w:pPr>
              <w:spacing w:line="240" w:lineRule="auto"/>
              <w:ind w:left="358" w:hanging="358"/>
            </w:pPr>
            <w:r w:rsidRPr="00801A06">
              <w:rPr>
                <w:rFonts w:cs="Arial"/>
              </w:rPr>
              <w:t>GWh/d</w:t>
            </w:r>
          </w:p>
        </w:tc>
        <w:tc>
          <w:tcPr>
            <w:tcW w:w="1706" w:type="dxa"/>
            <w:vAlign w:val="center"/>
          </w:tcPr>
          <w:p w14:paraId="7B8EDD69"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32D10DAA" w14:textId="77777777" w:rsidR="007510A0" w:rsidRPr="00801A06" w:rsidRDefault="007510A0" w:rsidP="00D30A7B">
            <w:pPr>
              <w:spacing w:line="240" w:lineRule="auto"/>
              <w:ind w:left="0"/>
            </w:pPr>
            <w:r w:rsidRPr="00801A06">
              <w:rPr>
                <w:rFonts w:cs="Arial"/>
              </w:rPr>
              <w:t>Estonia, Latvia, Lithuania, Finland</w:t>
            </w:r>
          </w:p>
        </w:tc>
        <w:tc>
          <w:tcPr>
            <w:tcW w:w="2661" w:type="dxa"/>
            <w:vAlign w:val="center"/>
          </w:tcPr>
          <w:p w14:paraId="19060ACD" w14:textId="77777777" w:rsidR="007510A0" w:rsidRPr="00801A06" w:rsidRDefault="007510A0" w:rsidP="00801A06">
            <w:pPr>
              <w:spacing w:line="240" w:lineRule="auto"/>
              <w:ind w:left="150" w:hanging="150"/>
            </w:pPr>
            <w:r w:rsidRPr="00801A06">
              <w:rPr>
                <w:rFonts w:cs="Arial"/>
              </w:rPr>
              <w:t>Annual</w:t>
            </w:r>
          </w:p>
        </w:tc>
      </w:tr>
      <w:tr w:rsidR="007510A0" w:rsidRPr="00801A06" w14:paraId="095A36CE" w14:textId="77777777" w:rsidTr="00D30A7B">
        <w:tc>
          <w:tcPr>
            <w:tcW w:w="5058" w:type="dxa"/>
            <w:vAlign w:val="center"/>
          </w:tcPr>
          <w:p w14:paraId="7F6E78A0" w14:textId="77777777" w:rsidR="007510A0" w:rsidRPr="00801A06" w:rsidRDefault="007510A0" w:rsidP="00D30A7B">
            <w:pPr>
              <w:spacing w:line="240" w:lineRule="auto"/>
              <w:ind w:left="29" w:hanging="29"/>
            </w:pPr>
            <w:r w:rsidRPr="00801A06">
              <w:rPr>
                <w:rFonts w:cs="Arial"/>
              </w:rPr>
              <w:t>Electrification rate in NG consumption sectors</w:t>
            </w:r>
          </w:p>
        </w:tc>
        <w:tc>
          <w:tcPr>
            <w:tcW w:w="1458" w:type="dxa"/>
            <w:vAlign w:val="center"/>
          </w:tcPr>
          <w:p w14:paraId="4C167DB9" w14:textId="77777777" w:rsidR="007510A0" w:rsidRPr="00801A06" w:rsidRDefault="007510A0" w:rsidP="00807C6A">
            <w:pPr>
              <w:spacing w:line="240" w:lineRule="auto"/>
              <w:ind w:left="358" w:hanging="358"/>
            </w:pPr>
            <w:r w:rsidRPr="00801A06">
              <w:t>%</w:t>
            </w:r>
          </w:p>
        </w:tc>
        <w:tc>
          <w:tcPr>
            <w:tcW w:w="1706" w:type="dxa"/>
            <w:vAlign w:val="center"/>
          </w:tcPr>
          <w:p w14:paraId="15E1F5C1" w14:textId="77777777" w:rsidR="007510A0" w:rsidRPr="00801A06" w:rsidRDefault="007510A0" w:rsidP="00D30A7B">
            <w:pPr>
              <w:spacing w:line="240" w:lineRule="auto"/>
              <w:ind w:left="435" w:hanging="415"/>
            </w:pPr>
            <w:r w:rsidRPr="00801A06">
              <w:rPr>
                <w:rFonts w:cs="Arial"/>
              </w:rPr>
              <w:t>D3</w:t>
            </w:r>
          </w:p>
        </w:tc>
        <w:tc>
          <w:tcPr>
            <w:tcW w:w="3429" w:type="dxa"/>
            <w:vAlign w:val="center"/>
          </w:tcPr>
          <w:p w14:paraId="189DB4E6" w14:textId="77777777" w:rsidR="007510A0" w:rsidRPr="00801A06" w:rsidRDefault="007510A0" w:rsidP="00D30A7B">
            <w:pPr>
              <w:spacing w:line="240" w:lineRule="auto"/>
              <w:ind w:left="0"/>
            </w:pPr>
            <w:r w:rsidRPr="00801A06">
              <w:rPr>
                <w:rFonts w:cs="Arial"/>
              </w:rPr>
              <w:t>Modelled region</w:t>
            </w:r>
          </w:p>
        </w:tc>
        <w:tc>
          <w:tcPr>
            <w:tcW w:w="2661" w:type="dxa"/>
            <w:vAlign w:val="center"/>
          </w:tcPr>
          <w:p w14:paraId="75318F7A" w14:textId="77777777" w:rsidR="007510A0" w:rsidRPr="00801A06" w:rsidRDefault="007510A0" w:rsidP="00801A06">
            <w:pPr>
              <w:spacing w:line="240" w:lineRule="auto"/>
              <w:ind w:left="150" w:hanging="150"/>
            </w:pPr>
            <w:r w:rsidRPr="00801A06">
              <w:rPr>
                <w:rFonts w:cs="Arial"/>
              </w:rPr>
              <w:t>Annual</w:t>
            </w:r>
          </w:p>
        </w:tc>
      </w:tr>
      <w:tr w:rsidR="007510A0" w:rsidRPr="00801A06" w14:paraId="2F4527F9" w14:textId="77777777" w:rsidTr="00801A06">
        <w:tc>
          <w:tcPr>
            <w:tcW w:w="14312" w:type="dxa"/>
            <w:gridSpan w:val="5"/>
            <w:shd w:val="clear" w:color="auto" w:fill="D0E1E1" w:themeFill="accent3" w:themeFillTint="99"/>
            <w:vAlign w:val="center"/>
          </w:tcPr>
          <w:p w14:paraId="64F53D7F" w14:textId="08D41965" w:rsidR="007510A0" w:rsidRPr="00801A06" w:rsidRDefault="007510A0" w:rsidP="00D30A7B">
            <w:pPr>
              <w:spacing w:line="240" w:lineRule="auto"/>
              <w:ind w:left="435" w:hanging="415"/>
              <w:rPr>
                <w:rFonts w:cs="Arial"/>
                <w:b/>
                <w:i/>
              </w:rPr>
            </w:pPr>
            <w:r w:rsidRPr="00801A06">
              <w:rPr>
                <w:rFonts w:cs="Arial"/>
                <w:b/>
                <w:i/>
              </w:rPr>
              <w:t>Socioeconomic parameters for Estonia</w:t>
            </w:r>
          </w:p>
        </w:tc>
      </w:tr>
      <w:tr w:rsidR="007510A0" w:rsidRPr="00801A06" w14:paraId="5EC2762D" w14:textId="77777777" w:rsidTr="00D30A7B">
        <w:tc>
          <w:tcPr>
            <w:tcW w:w="5058" w:type="dxa"/>
            <w:vAlign w:val="center"/>
          </w:tcPr>
          <w:p w14:paraId="0B1B5872" w14:textId="77777777" w:rsidR="007510A0" w:rsidRPr="00801A06" w:rsidRDefault="007510A0" w:rsidP="00D30A7B">
            <w:pPr>
              <w:spacing w:line="240" w:lineRule="auto"/>
              <w:ind w:left="29" w:hanging="29"/>
              <w:rPr>
                <w:rFonts w:cs="Arial"/>
              </w:rPr>
            </w:pPr>
            <w:r w:rsidRPr="00801A06">
              <w:rPr>
                <w:rFonts w:cs="Arial"/>
              </w:rPr>
              <w:t>Gross domestic product and its main components</w:t>
            </w:r>
          </w:p>
        </w:tc>
        <w:tc>
          <w:tcPr>
            <w:tcW w:w="1458" w:type="dxa"/>
            <w:vAlign w:val="center"/>
          </w:tcPr>
          <w:p w14:paraId="331CD0DA" w14:textId="77777777" w:rsidR="007510A0" w:rsidRPr="00801A06" w:rsidRDefault="007510A0" w:rsidP="00D30A7B">
            <w:pPr>
              <w:spacing w:line="240" w:lineRule="auto"/>
              <w:ind w:left="74" w:hanging="74"/>
              <w:rPr>
                <w:rFonts w:cs="Arial"/>
              </w:rPr>
            </w:pPr>
            <w:r w:rsidRPr="00801A06">
              <w:t>€</w:t>
            </w:r>
          </w:p>
        </w:tc>
        <w:tc>
          <w:tcPr>
            <w:tcW w:w="1706" w:type="dxa"/>
            <w:vAlign w:val="center"/>
          </w:tcPr>
          <w:p w14:paraId="738500F3" w14:textId="77777777" w:rsidR="007510A0" w:rsidRPr="00801A06" w:rsidRDefault="007510A0" w:rsidP="00D30A7B">
            <w:pPr>
              <w:spacing w:line="240" w:lineRule="auto"/>
              <w:ind w:left="435" w:hanging="415"/>
              <w:rPr>
                <w:rFonts w:cs="Arial"/>
              </w:rPr>
            </w:pPr>
            <w:r w:rsidRPr="00801A06">
              <w:rPr>
                <w:rFonts w:cs="Arial"/>
              </w:rPr>
              <w:t>D4, D6</w:t>
            </w:r>
          </w:p>
        </w:tc>
        <w:tc>
          <w:tcPr>
            <w:tcW w:w="3429" w:type="dxa"/>
            <w:vAlign w:val="center"/>
          </w:tcPr>
          <w:p w14:paraId="50826E9A" w14:textId="5CEC79D2" w:rsidR="007510A0" w:rsidRPr="007F528B" w:rsidRDefault="00040ABA" w:rsidP="00D30A7B">
            <w:pPr>
              <w:spacing w:line="240" w:lineRule="auto"/>
              <w:ind w:left="425" w:hanging="425"/>
              <w:rPr>
                <w:rFonts w:cs="Arial"/>
              </w:rPr>
            </w:pPr>
            <w:r w:rsidRPr="00040ABA">
              <w:rPr>
                <w:rFonts w:cs="Arial"/>
              </w:rPr>
              <w:t>Estonia, Latvia, Lithuania, Finland</w:t>
            </w:r>
          </w:p>
        </w:tc>
        <w:tc>
          <w:tcPr>
            <w:tcW w:w="2661" w:type="dxa"/>
            <w:vAlign w:val="center"/>
          </w:tcPr>
          <w:p w14:paraId="36D9DB65" w14:textId="77777777" w:rsidR="007510A0" w:rsidRPr="00801A06" w:rsidRDefault="007510A0" w:rsidP="00F21988">
            <w:pPr>
              <w:spacing w:line="240" w:lineRule="auto"/>
              <w:ind w:left="0"/>
              <w:rPr>
                <w:rFonts w:cs="Arial"/>
              </w:rPr>
            </w:pPr>
            <w:r w:rsidRPr="00801A06">
              <w:rPr>
                <w:rFonts w:cs="Arial"/>
              </w:rPr>
              <w:t>Annual</w:t>
            </w:r>
          </w:p>
        </w:tc>
      </w:tr>
      <w:tr w:rsidR="007510A0" w:rsidRPr="00801A06" w14:paraId="55BF3C81" w14:textId="77777777" w:rsidTr="00D30A7B">
        <w:trPr>
          <w:trHeight w:val="90"/>
        </w:trPr>
        <w:tc>
          <w:tcPr>
            <w:tcW w:w="5058" w:type="dxa"/>
            <w:vAlign w:val="center"/>
          </w:tcPr>
          <w:p w14:paraId="653C76EF" w14:textId="77777777" w:rsidR="007510A0" w:rsidRPr="00801A06" w:rsidRDefault="007510A0" w:rsidP="00D30A7B">
            <w:pPr>
              <w:spacing w:line="240" w:lineRule="auto"/>
              <w:ind w:left="29" w:hanging="29"/>
              <w:rPr>
                <w:rFonts w:cs="Arial"/>
              </w:rPr>
            </w:pPr>
            <w:r w:rsidRPr="00801A06">
              <w:rPr>
                <w:rFonts w:cs="Arial"/>
              </w:rPr>
              <w:t>Employment levels</w:t>
            </w:r>
          </w:p>
        </w:tc>
        <w:tc>
          <w:tcPr>
            <w:tcW w:w="1458" w:type="dxa"/>
            <w:vAlign w:val="center"/>
          </w:tcPr>
          <w:p w14:paraId="5BAB9FD1" w14:textId="77777777" w:rsidR="007510A0" w:rsidRPr="00801A06" w:rsidRDefault="007510A0" w:rsidP="00D30A7B">
            <w:pPr>
              <w:spacing w:line="240" w:lineRule="auto"/>
              <w:ind w:left="74" w:hanging="74"/>
              <w:rPr>
                <w:rFonts w:cs="Arial"/>
              </w:rPr>
            </w:pPr>
            <w:r w:rsidRPr="00801A06">
              <w:rPr>
                <w:rFonts w:cs="Arial"/>
              </w:rPr>
              <w:t>Persons</w:t>
            </w:r>
          </w:p>
        </w:tc>
        <w:tc>
          <w:tcPr>
            <w:tcW w:w="1706" w:type="dxa"/>
            <w:vAlign w:val="center"/>
          </w:tcPr>
          <w:p w14:paraId="621EEB77" w14:textId="77777777" w:rsidR="007510A0" w:rsidRPr="00801A06" w:rsidRDefault="007510A0" w:rsidP="00D30A7B">
            <w:pPr>
              <w:spacing w:line="240" w:lineRule="auto"/>
              <w:ind w:left="435" w:hanging="415"/>
              <w:rPr>
                <w:rFonts w:cs="Arial"/>
              </w:rPr>
            </w:pPr>
            <w:r w:rsidRPr="00801A06">
              <w:rPr>
                <w:rFonts w:cs="Arial"/>
              </w:rPr>
              <w:t>D4, D6</w:t>
            </w:r>
          </w:p>
        </w:tc>
        <w:tc>
          <w:tcPr>
            <w:tcW w:w="3429" w:type="dxa"/>
            <w:vAlign w:val="center"/>
          </w:tcPr>
          <w:p w14:paraId="573C2C90" w14:textId="5E2E462C" w:rsidR="007510A0" w:rsidRPr="007F528B" w:rsidRDefault="00040ABA" w:rsidP="00D30A7B">
            <w:pPr>
              <w:spacing w:line="240" w:lineRule="auto"/>
              <w:ind w:left="425" w:hanging="425"/>
              <w:rPr>
                <w:rFonts w:cs="Arial"/>
              </w:rPr>
            </w:pPr>
            <w:r w:rsidRPr="00040ABA">
              <w:rPr>
                <w:rFonts w:cs="Arial"/>
              </w:rPr>
              <w:t>Estonia, Latvia, Lithuania, Finland</w:t>
            </w:r>
          </w:p>
        </w:tc>
        <w:tc>
          <w:tcPr>
            <w:tcW w:w="2661" w:type="dxa"/>
            <w:vAlign w:val="center"/>
          </w:tcPr>
          <w:p w14:paraId="3A868593" w14:textId="370F0523" w:rsidR="007510A0" w:rsidRPr="00801A06" w:rsidRDefault="00801A06" w:rsidP="00F21988">
            <w:pPr>
              <w:spacing w:line="240" w:lineRule="auto"/>
              <w:ind w:left="0"/>
              <w:rPr>
                <w:rFonts w:cs="Arial"/>
              </w:rPr>
            </w:pPr>
            <w:r w:rsidRPr="00801A06">
              <w:rPr>
                <w:rFonts w:cs="Arial"/>
              </w:rPr>
              <w:t>Annual</w:t>
            </w:r>
          </w:p>
        </w:tc>
      </w:tr>
      <w:tr w:rsidR="007510A0" w:rsidRPr="00801A06" w14:paraId="44A22576" w14:textId="77777777" w:rsidTr="00D30A7B">
        <w:tc>
          <w:tcPr>
            <w:tcW w:w="5058" w:type="dxa"/>
            <w:vAlign w:val="center"/>
          </w:tcPr>
          <w:p w14:paraId="2481147B" w14:textId="77777777" w:rsidR="007510A0" w:rsidRPr="00801A06" w:rsidRDefault="007510A0" w:rsidP="00D30A7B">
            <w:pPr>
              <w:spacing w:line="240" w:lineRule="auto"/>
              <w:ind w:left="29" w:hanging="29"/>
              <w:rPr>
                <w:rFonts w:cs="Arial"/>
              </w:rPr>
            </w:pPr>
            <w:r w:rsidRPr="00801A06">
              <w:rPr>
                <w:rFonts w:cs="Arial"/>
              </w:rPr>
              <w:t>Employment by skill and economic activity</w:t>
            </w:r>
          </w:p>
        </w:tc>
        <w:tc>
          <w:tcPr>
            <w:tcW w:w="1458" w:type="dxa"/>
            <w:vAlign w:val="center"/>
          </w:tcPr>
          <w:p w14:paraId="06FB7094" w14:textId="77777777" w:rsidR="007510A0" w:rsidRPr="00801A06" w:rsidRDefault="007510A0" w:rsidP="00D30A7B">
            <w:pPr>
              <w:spacing w:line="240" w:lineRule="auto"/>
              <w:ind w:left="74" w:hanging="74"/>
              <w:rPr>
                <w:rFonts w:cs="Arial"/>
              </w:rPr>
            </w:pPr>
            <w:r w:rsidRPr="00801A06">
              <w:rPr>
                <w:rFonts w:cs="Arial"/>
              </w:rPr>
              <w:t>Persons</w:t>
            </w:r>
          </w:p>
        </w:tc>
        <w:tc>
          <w:tcPr>
            <w:tcW w:w="1706" w:type="dxa"/>
            <w:vAlign w:val="center"/>
          </w:tcPr>
          <w:p w14:paraId="771A9296" w14:textId="77777777" w:rsidR="007510A0" w:rsidRPr="00801A06" w:rsidRDefault="007510A0" w:rsidP="00D30A7B">
            <w:pPr>
              <w:spacing w:line="240" w:lineRule="auto"/>
              <w:ind w:left="435" w:hanging="415"/>
              <w:rPr>
                <w:rFonts w:cs="Arial"/>
              </w:rPr>
            </w:pPr>
            <w:r w:rsidRPr="00801A06">
              <w:rPr>
                <w:rFonts w:cs="Arial"/>
              </w:rPr>
              <w:t>D4, D6</w:t>
            </w:r>
          </w:p>
        </w:tc>
        <w:tc>
          <w:tcPr>
            <w:tcW w:w="3429" w:type="dxa"/>
            <w:vAlign w:val="center"/>
          </w:tcPr>
          <w:p w14:paraId="517686DE" w14:textId="3E9C2A0C" w:rsidR="007510A0" w:rsidRPr="007F528B" w:rsidRDefault="00040ABA" w:rsidP="00D30A7B">
            <w:pPr>
              <w:spacing w:line="240" w:lineRule="auto"/>
              <w:ind w:left="425" w:hanging="425"/>
              <w:rPr>
                <w:rFonts w:cs="Arial"/>
              </w:rPr>
            </w:pPr>
            <w:r w:rsidRPr="00040ABA">
              <w:rPr>
                <w:rFonts w:cs="Arial"/>
              </w:rPr>
              <w:t>Estonia, Latvia, Lithuania, Finland</w:t>
            </w:r>
          </w:p>
        </w:tc>
        <w:tc>
          <w:tcPr>
            <w:tcW w:w="2661" w:type="dxa"/>
            <w:vAlign w:val="center"/>
          </w:tcPr>
          <w:p w14:paraId="4B20CE96" w14:textId="19A9D59A" w:rsidR="007510A0" w:rsidRPr="00801A06" w:rsidRDefault="00801A06" w:rsidP="00F21988">
            <w:pPr>
              <w:spacing w:line="240" w:lineRule="auto"/>
              <w:ind w:left="0"/>
              <w:rPr>
                <w:rFonts w:cs="Arial"/>
              </w:rPr>
            </w:pPr>
            <w:r w:rsidRPr="00801A06">
              <w:rPr>
                <w:rFonts w:cs="Arial"/>
              </w:rPr>
              <w:t>Annual</w:t>
            </w:r>
          </w:p>
        </w:tc>
      </w:tr>
      <w:tr w:rsidR="007510A0" w:rsidRPr="00801A06" w14:paraId="1BF27082" w14:textId="77777777" w:rsidTr="00D30A7B">
        <w:tc>
          <w:tcPr>
            <w:tcW w:w="5058" w:type="dxa"/>
            <w:vAlign w:val="center"/>
          </w:tcPr>
          <w:p w14:paraId="1B83F8F6" w14:textId="77777777" w:rsidR="007510A0" w:rsidRPr="00801A06" w:rsidRDefault="007510A0" w:rsidP="00D30A7B">
            <w:pPr>
              <w:spacing w:line="240" w:lineRule="auto"/>
              <w:ind w:left="29" w:hanging="29"/>
            </w:pPr>
            <w:r w:rsidRPr="00801A06">
              <w:rPr>
                <w:rFonts w:cs="Arial"/>
              </w:rPr>
              <w:t>Labour productivity (GDP/employee)</w:t>
            </w:r>
          </w:p>
        </w:tc>
        <w:tc>
          <w:tcPr>
            <w:tcW w:w="1458" w:type="dxa"/>
            <w:vAlign w:val="center"/>
          </w:tcPr>
          <w:p w14:paraId="30F2A7B8" w14:textId="77777777" w:rsidR="007510A0" w:rsidRPr="00801A06" w:rsidRDefault="007510A0" w:rsidP="00D30A7B">
            <w:pPr>
              <w:spacing w:line="240" w:lineRule="auto"/>
              <w:ind w:left="74" w:hanging="74"/>
            </w:pPr>
            <w:r w:rsidRPr="00801A06">
              <w:t>€/person</w:t>
            </w:r>
          </w:p>
        </w:tc>
        <w:tc>
          <w:tcPr>
            <w:tcW w:w="1706" w:type="dxa"/>
            <w:vAlign w:val="center"/>
          </w:tcPr>
          <w:p w14:paraId="68191A14"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260A621C" w14:textId="368875F1"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776294C6" w14:textId="546C5A3A" w:rsidR="007510A0" w:rsidRPr="00801A06" w:rsidRDefault="00801A06" w:rsidP="00F21988">
            <w:pPr>
              <w:spacing w:line="240" w:lineRule="auto"/>
              <w:ind w:left="0"/>
            </w:pPr>
            <w:r w:rsidRPr="00801A06">
              <w:rPr>
                <w:rFonts w:cs="Arial"/>
              </w:rPr>
              <w:t>Annual</w:t>
            </w:r>
          </w:p>
        </w:tc>
      </w:tr>
      <w:tr w:rsidR="007510A0" w:rsidRPr="00801A06" w14:paraId="22AD5C57" w14:textId="77777777" w:rsidTr="00D30A7B">
        <w:tc>
          <w:tcPr>
            <w:tcW w:w="5058" w:type="dxa"/>
            <w:vAlign w:val="center"/>
          </w:tcPr>
          <w:p w14:paraId="3ED2F961" w14:textId="77777777" w:rsidR="007510A0" w:rsidRPr="00801A06" w:rsidRDefault="007510A0" w:rsidP="00D30A7B">
            <w:pPr>
              <w:spacing w:line="240" w:lineRule="auto"/>
              <w:ind w:left="29" w:hanging="29"/>
            </w:pPr>
            <w:r w:rsidRPr="00801A06">
              <w:rPr>
                <w:rFonts w:cs="Arial"/>
              </w:rPr>
              <w:t>Household disposable income</w:t>
            </w:r>
          </w:p>
        </w:tc>
        <w:tc>
          <w:tcPr>
            <w:tcW w:w="1458" w:type="dxa"/>
            <w:vAlign w:val="center"/>
          </w:tcPr>
          <w:p w14:paraId="3EB5C306" w14:textId="77777777" w:rsidR="007510A0" w:rsidRPr="00801A06" w:rsidRDefault="007510A0" w:rsidP="00D30A7B">
            <w:pPr>
              <w:spacing w:line="240" w:lineRule="auto"/>
              <w:ind w:left="74" w:hanging="74"/>
            </w:pPr>
            <w:r w:rsidRPr="00801A06">
              <w:t>€</w:t>
            </w:r>
          </w:p>
        </w:tc>
        <w:tc>
          <w:tcPr>
            <w:tcW w:w="1706" w:type="dxa"/>
            <w:vAlign w:val="center"/>
          </w:tcPr>
          <w:p w14:paraId="5E078D47"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62C3BD4C" w14:textId="4F5CB94D"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0A420B04" w14:textId="7053E47E" w:rsidR="007510A0" w:rsidRPr="00801A06" w:rsidRDefault="00801A06" w:rsidP="00F21988">
            <w:pPr>
              <w:spacing w:line="240" w:lineRule="auto"/>
              <w:ind w:left="0"/>
            </w:pPr>
            <w:r w:rsidRPr="00801A06">
              <w:rPr>
                <w:rFonts w:cs="Arial"/>
              </w:rPr>
              <w:t>Annual</w:t>
            </w:r>
          </w:p>
        </w:tc>
      </w:tr>
      <w:tr w:rsidR="007510A0" w:rsidRPr="00801A06" w14:paraId="41DCF40E" w14:textId="77777777" w:rsidTr="00D30A7B">
        <w:tc>
          <w:tcPr>
            <w:tcW w:w="5058" w:type="dxa"/>
            <w:vAlign w:val="center"/>
          </w:tcPr>
          <w:p w14:paraId="6FBC3ECF" w14:textId="77777777" w:rsidR="007510A0" w:rsidRPr="00801A06" w:rsidRDefault="007510A0" w:rsidP="00D30A7B">
            <w:pPr>
              <w:spacing w:line="240" w:lineRule="auto"/>
              <w:ind w:left="29" w:hanging="29"/>
            </w:pPr>
            <w:r w:rsidRPr="00801A06">
              <w:rPr>
                <w:rFonts w:cs="Arial"/>
              </w:rPr>
              <w:t>Household disposable income spent on energy</w:t>
            </w:r>
          </w:p>
        </w:tc>
        <w:tc>
          <w:tcPr>
            <w:tcW w:w="1458" w:type="dxa"/>
            <w:vAlign w:val="center"/>
          </w:tcPr>
          <w:p w14:paraId="23C276CC" w14:textId="77777777" w:rsidR="007510A0" w:rsidRPr="00801A06" w:rsidRDefault="007510A0" w:rsidP="00D30A7B">
            <w:pPr>
              <w:spacing w:line="240" w:lineRule="auto"/>
              <w:ind w:left="74" w:hanging="74"/>
            </w:pPr>
            <w:r w:rsidRPr="00801A06">
              <w:t>€</w:t>
            </w:r>
          </w:p>
        </w:tc>
        <w:tc>
          <w:tcPr>
            <w:tcW w:w="1706" w:type="dxa"/>
            <w:vAlign w:val="center"/>
          </w:tcPr>
          <w:p w14:paraId="765443A7"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19B44BD1" w14:textId="27F38F35"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34CD4501" w14:textId="3EEFD08C" w:rsidR="007510A0" w:rsidRPr="00801A06" w:rsidRDefault="00801A06" w:rsidP="00F21988">
            <w:pPr>
              <w:spacing w:line="240" w:lineRule="auto"/>
              <w:ind w:left="0"/>
            </w:pPr>
            <w:r w:rsidRPr="00801A06">
              <w:rPr>
                <w:rFonts w:cs="Arial"/>
              </w:rPr>
              <w:t>Annual</w:t>
            </w:r>
          </w:p>
        </w:tc>
      </w:tr>
      <w:tr w:rsidR="007510A0" w:rsidRPr="00801A06" w14:paraId="11E5B9FC" w14:textId="77777777" w:rsidTr="00D30A7B">
        <w:tc>
          <w:tcPr>
            <w:tcW w:w="5058" w:type="dxa"/>
            <w:vAlign w:val="center"/>
          </w:tcPr>
          <w:p w14:paraId="548B9BDF" w14:textId="77777777" w:rsidR="007510A0" w:rsidRPr="00801A06" w:rsidRDefault="007510A0" w:rsidP="00D30A7B">
            <w:pPr>
              <w:spacing w:line="240" w:lineRule="auto"/>
              <w:ind w:left="29" w:hanging="29"/>
            </w:pPr>
            <w:r w:rsidRPr="00801A06">
              <w:rPr>
                <w:rFonts w:cs="Arial"/>
              </w:rPr>
              <w:t>Household expenditure by consumption purpose</w:t>
            </w:r>
          </w:p>
        </w:tc>
        <w:tc>
          <w:tcPr>
            <w:tcW w:w="1458" w:type="dxa"/>
            <w:vAlign w:val="center"/>
          </w:tcPr>
          <w:p w14:paraId="0AE78B3D" w14:textId="77777777" w:rsidR="007510A0" w:rsidRPr="00801A06" w:rsidRDefault="007510A0" w:rsidP="00D30A7B">
            <w:pPr>
              <w:spacing w:line="240" w:lineRule="auto"/>
              <w:ind w:left="74" w:hanging="74"/>
            </w:pPr>
            <w:r w:rsidRPr="00801A06">
              <w:t>€ (or %)</w:t>
            </w:r>
          </w:p>
        </w:tc>
        <w:tc>
          <w:tcPr>
            <w:tcW w:w="1706" w:type="dxa"/>
            <w:vAlign w:val="center"/>
          </w:tcPr>
          <w:p w14:paraId="6FD552BD"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65D4039C" w14:textId="05CB0B4E"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119B67B1" w14:textId="5E1DEAF9" w:rsidR="007510A0" w:rsidRPr="00801A06" w:rsidRDefault="00801A06" w:rsidP="00F21988">
            <w:pPr>
              <w:spacing w:line="240" w:lineRule="auto"/>
              <w:ind w:left="0"/>
            </w:pPr>
            <w:r w:rsidRPr="00801A06">
              <w:rPr>
                <w:rFonts w:cs="Arial"/>
              </w:rPr>
              <w:t>Annual</w:t>
            </w:r>
          </w:p>
        </w:tc>
      </w:tr>
      <w:tr w:rsidR="007510A0" w:rsidRPr="00801A06" w14:paraId="40753B64" w14:textId="77777777" w:rsidTr="00D30A7B">
        <w:tc>
          <w:tcPr>
            <w:tcW w:w="5058" w:type="dxa"/>
            <w:vAlign w:val="center"/>
          </w:tcPr>
          <w:p w14:paraId="351CB35E" w14:textId="77777777" w:rsidR="007510A0" w:rsidRPr="00801A06" w:rsidRDefault="007510A0" w:rsidP="00D30A7B">
            <w:pPr>
              <w:spacing w:line="240" w:lineRule="auto"/>
              <w:ind w:left="29" w:hanging="29"/>
            </w:pPr>
            <w:r w:rsidRPr="00801A06">
              <w:rPr>
                <w:rFonts w:cs="Arial"/>
              </w:rPr>
              <w:t>Gas costs for households</w:t>
            </w:r>
          </w:p>
        </w:tc>
        <w:tc>
          <w:tcPr>
            <w:tcW w:w="1458" w:type="dxa"/>
            <w:vAlign w:val="center"/>
          </w:tcPr>
          <w:p w14:paraId="2919E72E" w14:textId="77777777" w:rsidR="007510A0" w:rsidRPr="00801A06" w:rsidRDefault="007510A0" w:rsidP="00D30A7B">
            <w:pPr>
              <w:spacing w:line="240" w:lineRule="auto"/>
              <w:ind w:left="74" w:hanging="74"/>
            </w:pPr>
            <w:r w:rsidRPr="00801A06">
              <w:t>€</w:t>
            </w:r>
          </w:p>
        </w:tc>
        <w:tc>
          <w:tcPr>
            <w:tcW w:w="1706" w:type="dxa"/>
            <w:vAlign w:val="center"/>
          </w:tcPr>
          <w:p w14:paraId="61C694DE"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1A49FB97" w14:textId="11C4EC53"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23459BC3" w14:textId="44400B34" w:rsidR="007510A0" w:rsidRPr="00801A06" w:rsidRDefault="00801A06" w:rsidP="00F21988">
            <w:pPr>
              <w:spacing w:line="240" w:lineRule="auto"/>
              <w:ind w:left="0"/>
            </w:pPr>
            <w:r w:rsidRPr="00801A06">
              <w:rPr>
                <w:rFonts w:cs="Arial"/>
              </w:rPr>
              <w:t>Annual</w:t>
            </w:r>
          </w:p>
        </w:tc>
      </w:tr>
      <w:tr w:rsidR="007510A0" w:rsidRPr="00801A06" w14:paraId="163A03B8" w14:textId="77777777" w:rsidTr="00D30A7B">
        <w:tc>
          <w:tcPr>
            <w:tcW w:w="5058" w:type="dxa"/>
            <w:vAlign w:val="center"/>
          </w:tcPr>
          <w:p w14:paraId="6C7443F7" w14:textId="77777777" w:rsidR="007510A0" w:rsidRPr="00801A06" w:rsidRDefault="007510A0" w:rsidP="00D30A7B">
            <w:pPr>
              <w:spacing w:line="240" w:lineRule="auto"/>
              <w:ind w:left="29" w:hanging="29"/>
            </w:pPr>
            <w:r w:rsidRPr="00801A06">
              <w:rPr>
                <w:rFonts w:cs="Arial"/>
              </w:rPr>
              <w:t>Gas costs for commercial consumers</w:t>
            </w:r>
          </w:p>
        </w:tc>
        <w:tc>
          <w:tcPr>
            <w:tcW w:w="1458" w:type="dxa"/>
            <w:vAlign w:val="center"/>
          </w:tcPr>
          <w:p w14:paraId="4360565D" w14:textId="77777777" w:rsidR="007510A0" w:rsidRPr="00801A06" w:rsidRDefault="007510A0" w:rsidP="00D30A7B">
            <w:pPr>
              <w:spacing w:line="240" w:lineRule="auto"/>
              <w:ind w:left="74" w:hanging="74"/>
            </w:pPr>
            <w:r w:rsidRPr="00801A06">
              <w:t>€</w:t>
            </w:r>
          </w:p>
        </w:tc>
        <w:tc>
          <w:tcPr>
            <w:tcW w:w="1706" w:type="dxa"/>
            <w:vAlign w:val="center"/>
          </w:tcPr>
          <w:p w14:paraId="61DDFC88"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1C2DE9F1" w14:textId="67CFAF71"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287471AF" w14:textId="3BAE07EC" w:rsidR="007510A0" w:rsidRPr="00801A06" w:rsidRDefault="00801A06" w:rsidP="00F21988">
            <w:pPr>
              <w:spacing w:line="240" w:lineRule="auto"/>
              <w:ind w:left="0"/>
            </w:pPr>
            <w:r w:rsidRPr="00801A06">
              <w:rPr>
                <w:rFonts w:cs="Arial"/>
              </w:rPr>
              <w:t>Annual</w:t>
            </w:r>
          </w:p>
        </w:tc>
      </w:tr>
      <w:tr w:rsidR="007510A0" w:rsidRPr="00801A06" w14:paraId="64627CD0" w14:textId="77777777" w:rsidTr="00D30A7B">
        <w:tc>
          <w:tcPr>
            <w:tcW w:w="5058" w:type="dxa"/>
            <w:vAlign w:val="center"/>
          </w:tcPr>
          <w:p w14:paraId="70D77084" w14:textId="77777777" w:rsidR="007510A0" w:rsidRPr="00801A06" w:rsidRDefault="007510A0" w:rsidP="00D30A7B">
            <w:pPr>
              <w:spacing w:line="240" w:lineRule="auto"/>
              <w:ind w:left="29" w:hanging="29"/>
            </w:pPr>
            <w:r w:rsidRPr="00801A06">
              <w:rPr>
                <w:rFonts w:cs="Arial"/>
              </w:rPr>
              <w:t>NG taxes and levies</w:t>
            </w:r>
          </w:p>
        </w:tc>
        <w:tc>
          <w:tcPr>
            <w:tcW w:w="1458" w:type="dxa"/>
            <w:vAlign w:val="center"/>
          </w:tcPr>
          <w:p w14:paraId="14045BFC" w14:textId="77777777" w:rsidR="007510A0" w:rsidRPr="00801A06" w:rsidRDefault="007510A0" w:rsidP="00D30A7B">
            <w:pPr>
              <w:spacing w:line="240" w:lineRule="auto"/>
              <w:ind w:left="74" w:hanging="74"/>
            </w:pPr>
            <w:r w:rsidRPr="00801A06">
              <w:t>€</w:t>
            </w:r>
          </w:p>
        </w:tc>
        <w:tc>
          <w:tcPr>
            <w:tcW w:w="1706" w:type="dxa"/>
            <w:vAlign w:val="center"/>
          </w:tcPr>
          <w:p w14:paraId="064998E9"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507BC543" w14:textId="6A0B2FE9"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374B7208" w14:textId="111AFAC8" w:rsidR="007510A0" w:rsidRPr="00801A06" w:rsidRDefault="00801A06" w:rsidP="00F21988">
            <w:pPr>
              <w:spacing w:line="240" w:lineRule="auto"/>
              <w:ind w:left="0"/>
            </w:pPr>
            <w:r w:rsidRPr="00801A06">
              <w:rPr>
                <w:rFonts w:cs="Arial"/>
              </w:rPr>
              <w:t>Annual</w:t>
            </w:r>
          </w:p>
        </w:tc>
      </w:tr>
      <w:tr w:rsidR="007510A0" w:rsidRPr="00801A06" w14:paraId="3407DD89" w14:textId="77777777" w:rsidTr="00D30A7B">
        <w:tc>
          <w:tcPr>
            <w:tcW w:w="5058" w:type="dxa"/>
            <w:vAlign w:val="center"/>
          </w:tcPr>
          <w:p w14:paraId="2F1E92D9" w14:textId="77777777" w:rsidR="007510A0" w:rsidRPr="00801A06" w:rsidRDefault="007510A0" w:rsidP="00D30A7B">
            <w:pPr>
              <w:spacing w:line="240" w:lineRule="auto"/>
              <w:ind w:left="29" w:hanging="29"/>
            </w:pPr>
            <w:r w:rsidRPr="00801A06">
              <w:rPr>
                <w:rFonts w:cs="Arial"/>
              </w:rPr>
              <w:t>Government taxes and revenues</w:t>
            </w:r>
          </w:p>
        </w:tc>
        <w:tc>
          <w:tcPr>
            <w:tcW w:w="1458" w:type="dxa"/>
            <w:vAlign w:val="center"/>
          </w:tcPr>
          <w:p w14:paraId="42F4502B" w14:textId="77777777" w:rsidR="007510A0" w:rsidRPr="00801A06" w:rsidRDefault="007510A0" w:rsidP="00D30A7B">
            <w:pPr>
              <w:spacing w:line="240" w:lineRule="auto"/>
              <w:ind w:left="74" w:hanging="74"/>
            </w:pPr>
            <w:r w:rsidRPr="00801A06">
              <w:t>€</w:t>
            </w:r>
          </w:p>
        </w:tc>
        <w:tc>
          <w:tcPr>
            <w:tcW w:w="1706" w:type="dxa"/>
            <w:vAlign w:val="center"/>
          </w:tcPr>
          <w:p w14:paraId="31B46A72" w14:textId="77777777" w:rsidR="007510A0" w:rsidRPr="00801A06" w:rsidRDefault="007510A0" w:rsidP="00D30A7B">
            <w:pPr>
              <w:spacing w:line="240" w:lineRule="auto"/>
              <w:ind w:left="435" w:hanging="415"/>
            </w:pPr>
            <w:r w:rsidRPr="00801A06">
              <w:rPr>
                <w:rFonts w:cs="Arial"/>
              </w:rPr>
              <w:t>D4, D6</w:t>
            </w:r>
          </w:p>
        </w:tc>
        <w:tc>
          <w:tcPr>
            <w:tcW w:w="3429" w:type="dxa"/>
            <w:vAlign w:val="center"/>
          </w:tcPr>
          <w:p w14:paraId="716475AC" w14:textId="5682584B" w:rsidR="007510A0" w:rsidRPr="007F528B" w:rsidRDefault="00040ABA" w:rsidP="00D30A7B">
            <w:pPr>
              <w:spacing w:line="240" w:lineRule="auto"/>
              <w:ind w:left="425" w:hanging="425"/>
            </w:pPr>
            <w:r w:rsidRPr="00040ABA">
              <w:rPr>
                <w:rFonts w:cs="Arial"/>
              </w:rPr>
              <w:t>Estonia, Latvia, Lithuania, Finland</w:t>
            </w:r>
          </w:p>
        </w:tc>
        <w:tc>
          <w:tcPr>
            <w:tcW w:w="2661" w:type="dxa"/>
            <w:vAlign w:val="center"/>
          </w:tcPr>
          <w:p w14:paraId="360334A8" w14:textId="74842854" w:rsidR="007510A0" w:rsidRPr="00801A06" w:rsidRDefault="00801A06" w:rsidP="00F21988">
            <w:pPr>
              <w:spacing w:line="240" w:lineRule="auto"/>
              <w:ind w:left="0"/>
            </w:pPr>
            <w:r w:rsidRPr="00801A06">
              <w:rPr>
                <w:rFonts w:cs="Arial"/>
              </w:rPr>
              <w:t>Annual</w:t>
            </w:r>
          </w:p>
        </w:tc>
      </w:tr>
      <w:tr w:rsidR="007510A0" w:rsidRPr="00801A06" w14:paraId="31686050" w14:textId="77777777" w:rsidTr="00401485">
        <w:tc>
          <w:tcPr>
            <w:tcW w:w="5058" w:type="dxa"/>
            <w:vAlign w:val="center"/>
          </w:tcPr>
          <w:p w14:paraId="2CCA95B4" w14:textId="77777777" w:rsidR="007510A0" w:rsidRPr="00801A06" w:rsidRDefault="007510A0" w:rsidP="00D30A7B">
            <w:pPr>
              <w:spacing w:line="240" w:lineRule="auto"/>
              <w:ind w:left="29" w:hanging="29"/>
            </w:pPr>
            <w:r w:rsidRPr="00801A06">
              <w:rPr>
                <w:rFonts w:cs="Arial"/>
              </w:rPr>
              <w:t>Value added</w:t>
            </w:r>
          </w:p>
        </w:tc>
        <w:tc>
          <w:tcPr>
            <w:tcW w:w="1458" w:type="dxa"/>
            <w:vAlign w:val="center"/>
          </w:tcPr>
          <w:p w14:paraId="72DDF86C" w14:textId="77777777" w:rsidR="007510A0" w:rsidRPr="00801A06" w:rsidRDefault="007510A0" w:rsidP="00D30A7B">
            <w:pPr>
              <w:spacing w:line="240" w:lineRule="auto"/>
              <w:ind w:left="74" w:hanging="74"/>
            </w:pPr>
            <w:r w:rsidRPr="00801A06">
              <w:t>€</w:t>
            </w:r>
          </w:p>
        </w:tc>
        <w:tc>
          <w:tcPr>
            <w:tcW w:w="1706" w:type="dxa"/>
            <w:vAlign w:val="center"/>
          </w:tcPr>
          <w:p w14:paraId="489045DD" w14:textId="77777777" w:rsidR="007510A0" w:rsidRPr="00801A06" w:rsidRDefault="007510A0" w:rsidP="00D30A7B">
            <w:pPr>
              <w:spacing w:line="240" w:lineRule="auto"/>
              <w:ind w:left="435" w:hanging="415"/>
            </w:pPr>
            <w:r w:rsidRPr="00801A06">
              <w:rPr>
                <w:rFonts w:cs="Arial"/>
              </w:rPr>
              <w:t>D4, D6</w:t>
            </w:r>
          </w:p>
        </w:tc>
        <w:tc>
          <w:tcPr>
            <w:tcW w:w="3429" w:type="dxa"/>
          </w:tcPr>
          <w:p w14:paraId="61D50839" w14:textId="2899E873" w:rsidR="007510A0" w:rsidRPr="007F528B" w:rsidRDefault="00040ABA" w:rsidP="00D30A7B">
            <w:pPr>
              <w:spacing w:line="240" w:lineRule="auto"/>
              <w:ind w:left="425" w:hanging="425"/>
            </w:pPr>
            <w:r w:rsidRPr="000A38A9">
              <w:t>Estonia, Latvia, Lithuania, Finland</w:t>
            </w:r>
          </w:p>
        </w:tc>
        <w:tc>
          <w:tcPr>
            <w:tcW w:w="2661" w:type="dxa"/>
            <w:vAlign w:val="center"/>
          </w:tcPr>
          <w:p w14:paraId="44A963D9" w14:textId="5D558E1F" w:rsidR="007510A0" w:rsidRPr="00801A06" w:rsidRDefault="00801A06" w:rsidP="00F21988">
            <w:pPr>
              <w:spacing w:line="240" w:lineRule="auto"/>
              <w:ind w:left="0"/>
            </w:pPr>
            <w:r w:rsidRPr="00801A06">
              <w:rPr>
                <w:rFonts w:cs="Arial"/>
              </w:rPr>
              <w:t>Annual</w:t>
            </w:r>
          </w:p>
        </w:tc>
      </w:tr>
      <w:tr w:rsidR="007510A0" w:rsidRPr="00801A06" w14:paraId="1C7DBBFA" w14:textId="77777777" w:rsidTr="00401485">
        <w:tc>
          <w:tcPr>
            <w:tcW w:w="5058" w:type="dxa"/>
            <w:vAlign w:val="center"/>
          </w:tcPr>
          <w:p w14:paraId="0C43A6CC" w14:textId="77777777" w:rsidR="007510A0" w:rsidRPr="00801A06" w:rsidRDefault="007510A0" w:rsidP="00D30A7B">
            <w:pPr>
              <w:spacing w:line="240" w:lineRule="auto"/>
              <w:ind w:left="29" w:hanging="29"/>
            </w:pPr>
            <w:r w:rsidRPr="00801A06">
              <w:rPr>
                <w:rFonts w:cs="Arial"/>
              </w:rPr>
              <w:t>Population trends/forecasts</w:t>
            </w:r>
          </w:p>
        </w:tc>
        <w:tc>
          <w:tcPr>
            <w:tcW w:w="1458" w:type="dxa"/>
            <w:vAlign w:val="center"/>
          </w:tcPr>
          <w:p w14:paraId="1A628966" w14:textId="77777777" w:rsidR="007510A0" w:rsidRPr="00801A06" w:rsidRDefault="007510A0" w:rsidP="00D30A7B">
            <w:pPr>
              <w:spacing w:line="240" w:lineRule="auto"/>
              <w:ind w:left="74" w:hanging="74"/>
            </w:pPr>
            <w:r w:rsidRPr="00801A06">
              <w:t>%, persons</w:t>
            </w:r>
          </w:p>
        </w:tc>
        <w:tc>
          <w:tcPr>
            <w:tcW w:w="1706" w:type="dxa"/>
            <w:vAlign w:val="center"/>
          </w:tcPr>
          <w:p w14:paraId="513DC4C0" w14:textId="77777777" w:rsidR="007510A0" w:rsidRPr="00801A06" w:rsidRDefault="007510A0" w:rsidP="00D30A7B">
            <w:pPr>
              <w:spacing w:line="240" w:lineRule="auto"/>
              <w:ind w:left="435" w:hanging="415"/>
            </w:pPr>
            <w:r w:rsidRPr="00801A06">
              <w:rPr>
                <w:rFonts w:cs="Arial"/>
              </w:rPr>
              <w:t>D4, D5, D6</w:t>
            </w:r>
          </w:p>
        </w:tc>
        <w:tc>
          <w:tcPr>
            <w:tcW w:w="3429" w:type="dxa"/>
          </w:tcPr>
          <w:p w14:paraId="49B1EA84" w14:textId="02444B1F" w:rsidR="007510A0" w:rsidRPr="007F528B" w:rsidRDefault="00040ABA" w:rsidP="00D30A7B">
            <w:pPr>
              <w:spacing w:line="240" w:lineRule="auto"/>
              <w:ind w:left="425" w:hanging="425"/>
            </w:pPr>
            <w:r w:rsidRPr="000A38A9">
              <w:t>Estonia, Latvia, Lithuania, Finland</w:t>
            </w:r>
          </w:p>
        </w:tc>
        <w:tc>
          <w:tcPr>
            <w:tcW w:w="2661" w:type="dxa"/>
            <w:vAlign w:val="center"/>
          </w:tcPr>
          <w:p w14:paraId="497EB1F4" w14:textId="18CCE3C5" w:rsidR="007510A0" w:rsidRPr="00801A06" w:rsidRDefault="00801A06" w:rsidP="00801A06">
            <w:pPr>
              <w:spacing w:line="240" w:lineRule="auto"/>
              <w:ind w:hanging="567"/>
            </w:pPr>
            <w:r w:rsidRPr="00801A06">
              <w:rPr>
                <w:rFonts w:cs="Arial"/>
              </w:rPr>
              <w:t>Annual</w:t>
            </w:r>
          </w:p>
        </w:tc>
      </w:tr>
      <w:tr w:rsidR="007510A0" w:rsidRPr="00801A06" w14:paraId="603DB52B" w14:textId="77777777" w:rsidTr="00D30A7B">
        <w:tc>
          <w:tcPr>
            <w:tcW w:w="5058" w:type="dxa"/>
            <w:vAlign w:val="center"/>
          </w:tcPr>
          <w:p w14:paraId="1EA13399" w14:textId="77777777" w:rsidR="007510A0" w:rsidRPr="00801A06" w:rsidRDefault="007510A0" w:rsidP="00D30A7B">
            <w:pPr>
              <w:spacing w:line="240" w:lineRule="auto"/>
              <w:ind w:left="29" w:hanging="29"/>
            </w:pPr>
            <w:r w:rsidRPr="00801A06">
              <w:rPr>
                <w:rFonts w:cs="Arial"/>
              </w:rPr>
              <w:t>Input Output table</w:t>
            </w:r>
          </w:p>
        </w:tc>
        <w:tc>
          <w:tcPr>
            <w:tcW w:w="9254" w:type="dxa"/>
            <w:gridSpan w:val="4"/>
            <w:vAlign w:val="center"/>
          </w:tcPr>
          <w:p w14:paraId="29453CE4" w14:textId="77777777" w:rsidR="007510A0" w:rsidRPr="00801A06" w:rsidRDefault="007510A0" w:rsidP="00F21988">
            <w:pPr>
              <w:spacing w:line="240" w:lineRule="auto"/>
              <w:rPr>
                <w:i/>
              </w:rPr>
            </w:pPr>
          </w:p>
        </w:tc>
      </w:tr>
    </w:tbl>
    <w:p w14:paraId="55656F4C" w14:textId="77777777" w:rsidR="007536BE" w:rsidRDefault="007536BE" w:rsidP="007536BE">
      <w:pPr>
        <w:ind w:left="0"/>
        <w:sectPr w:rsidR="007536BE" w:rsidSect="00691714">
          <w:footerReference w:type="default" r:id="rId23"/>
          <w:pgSz w:w="16838" w:h="11906" w:orient="landscape"/>
          <w:pgMar w:top="1440" w:right="1440" w:bottom="1440" w:left="1440" w:header="708" w:footer="569" w:gutter="0"/>
          <w:cols w:space="708"/>
          <w:docGrid w:linePitch="360"/>
        </w:sectPr>
      </w:pPr>
    </w:p>
    <w:p w14:paraId="47444403" w14:textId="073C1211" w:rsidR="00CC7999" w:rsidRPr="00451FAE" w:rsidRDefault="00CC7999" w:rsidP="00451FAE">
      <w:pPr>
        <w:pStyle w:val="Kop1"/>
        <w:tabs>
          <w:tab w:val="clear" w:pos="851"/>
          <w:tab w:val="left" w:pos="993"/>
        </w:tabs>
        <w:jc w:val="both"/>
        <w:rPr>
          <w:sz w:val="36"/>
          <w:szCs w:val="16"/>
          <w:bdr w:val="none" w:sz="0" w:space="0" w:color="auto" w:frame="1"/>
          <w:shd w:val="clear" w:color="auto" w:fill="FFFFFF"/>
          <w:lang w:val="en-CA"/>
        </w:rPr>
      </w:pPr>
      <w:bookmarkStart w:id="9" w:name="_Toc114565046"/>
      <w:bookmarkStart w:id="10" w:name="_Hlk104734443"/>
      <w:r w:rsidRPr="00451FAE">
        <w:rPr>
          <w:sz w:val="36"/>
          <w:szCs w:val="16"/>
          <w:bdr w:val="none" w:sz="0" w:space="0" w:color="auto" w:frame="1"/>
          <w:shd w:val="clear" w:color="auto" w:fill="FFFFFF"/>
          <w:lang w:val="en-CA"/>
        </w:rPr>
        <w:lastRenderedPageBreak/>
        <w:t xml:space="preserve">Historical </w:t>
      </w:r>
      <w:r w:rsidR="005838FE" w:rsidRPr="00451FAE">
        <w:rPr>
          <w:sz w:val="36"/>
          <w:szCs w:val="16"/>
          <w:bdr w:val="none" w:sz="0" w:space="0" w:color="auto" w:frame="1"/>
          <w:shd w:val="clear" w:color="auto" w:fill="FFFFFF"/>
          <w:lang w:val="en-CA"/>
        </w:rPr>
        <w:t>data and overview of current legislation</w:t>
      </w:r>
      <w:r w:rsidR="007467A2" w:rsidRPr="00451FAE">
        <w:rPr>
          <w:sz w:val="36"/>
          <w:szCs w:val="16"/>
          <w:bdr w:val="none" w:sz="0" w:space="0" w:color="auto" w:frame="1"/>
          <w:shd w:val="clear" w:color="auto" w:fill="FFFFFF"/>
          <w:lang w:val="en-CA"/>
        </w:rPr>
        <w:t>/regulation and functioning of gas sector</w:t>
      </w:r>
      <w:bookmarkEnd w:id="9"/>
    </w:p>
    <w:p w14:paraId="6DE994ED" w14:textId="4135547E" w:rsidR="00F26D2D" w:rsidRPr="00043018" w:rsidRDefault="00EB09F6" w:rsidP="004524AF">
      <w:pPr>
        <w:pStyle w:val="Kop2"/>
        <w:tabs>
          <w:tab w:val="clear" w:pos="851"/>
          <w:tab w:val="left" w:pos="540"/>
        </w:tabs>
        <w:ind w:left="630" w:firstLine="0"/>
      </w:pPr>
      <w:bookmarkStart w:id="11" w:name="_Toc114565047"/>
      <w:bookmarkEnd w:id="10"/>
      <w:r w:rsidRPr="00043018">
        <w:t xml:space="preserve">Historical </w:t>
      </w:r>
      <w:r w:rsidR="00043018" w:rsidRPr="00B40DF1">
        <w:t>data</w:t>
      </w:r>
      <w:bookmarkEnd w:id="11"/>
    </w:p>
    <w:p w14:paraId="05E9818C" w14:textId="21DBFCB8" w:rsidR="00CA49A4" w:rsidRDefault="0063057B" w:rsidP="00F42FEE">
      <w:pPr>
        <w:spacing w:after="120"/>
        <w:jc w:val="both"/>
      </w:pPr>
      <w:r w:rsidRPr="0063057B">
        <w:t xml:space="preserve">There </w:t>
      </w:r>
      <w:r w:rsidR="00C875F1">
        <w:t xml:space="preserve">is </w:t>
      </w:r>
      <w:r w:rsidRPr="0063057B">
        <w:t xml:space="preserve">no natural gas production in Estonia, Latvia, Lithuania, and Finland. </w:t>
      </w:r>
      <w:r w:rsidR="009A50C3">
        <w:t>The</w:t>
      </w:r>
      <w:r w:rsidRPr="0063057B">
        <w:t xml:space="preserve"> </w:t>
      </w:r>
      <w:r w:rsidR="009A50C3">
        <w:t xml:space="preserve">current </w:t>
      </w:r>
      <w:r w:rsidRPr="0063057B">
        <w:t xml:space="preserve">gas consumption in the Baltic-Finnish region is mainly dominated by natural gas. </w:t>
      </w:r>
      <w:r w:rsidR="009A50C3">
        <w:t>Local</w:t>
      </w:r>
      <w:r w:rsidRPr="0063057B">
        <w:t xml:space="preserve"> biogas </w:t>
      </w:r>
      <w:r w:rsidR="00CA49A4">
        <w:t>production</w:t>
      </w:r>
      <w:r w:rsidRPr="0063057B">
        <w:t xml:space="preserve"> is </w:t>
      </w:r>
      <w:r w:rsidR="009A50C3">
        <w:t xml:space="preserve">limited and </w:t>
      </w:r>
      <w:r w:rsidRPr="0063057B">
        <w:t xml:space="preserve">mainly </w:t>
      </w:r>
      <w:r w:rsidR="00D42E9B">
        <w:t xml:space="preserve">used </w:t>
      </w:r>
      <w:r w:rsidRPr="0063057B">
        <w:t xml:space="preserve">for electricity production. </w:t>
      </w:r>
      <w:r w:rsidR="000B1BBD">
        <w:t>Some b</w:t>
      </w:r>
      <w:r w:rsidR="00CA49A4" w:rsidRPr="0063057B">
        <w:t xml:space="preserve">iomethane is produced in Estonia and Finland and is being used as bio-CNG in the transport sector. There is </w:t>
      </w:r>
      <w:r w:rsidR="00CA49A4">
        <w:t>currently no</w:t>
      </w:r>
      <w:r w:rsidR="00CA49A4" w:rsidRPr="0063057B">
        <w:t xml:space="preserve"> hydrogen use in Estonia and Latvia, but it is being produced and consumed in Finland (in refinery processes) and</w:t>
      </w:r>
      <w:r w:rsidR="00CA49A4">
        <w:t xml:space="preserve"> in</w:t>
      </w:r>
      <w:r w:rsidR="00CA49A4" w:rsidRPr="0063057B">
        <w:t xml:space="preserve"> Lithuania (in refinery and fertilizer production processes). </w:t>
      </w:r>
      <w:r w:rsidR="005152D0">
        <w:t>Current h</w:t>
      </w:r>
      <w:r w:rsidR="002D7126">
        <w:t xml:space="preserve">ydrogen production in Finland and </w:t>
      </w:r>
      <w:r w:rsidR="007374CF">
        <w:t>Lithuania</w:t>
      </w:r>
      <w:r w:rsidR="002D7126">
        <w:t xml:space="preserve"> is based on NG</w:t>
      </w:r>
      <w:r w:rsidR="003A25A1">
        <w:t xml:space="preserve">. In Finland only 1% of the total hydrogen produced </w:t>
      </w:r>
      <w:r w:rsidR="00BE4781">
        <w:t>is electrolytic hydrogen.</w:t>
      </w:r>
      <w:r w:rsidR="00E4382E">
        <w:rPr>
          <w:rStyle w:val="Voetnootmarkering"/>
        </w:rPr>
        <w:footnoteReference w:id="2"/>
      </w:r>
      <w:r w:rsidR="00BE4781">
        <w:t xml:space="preserve"> </w:t>
      </w:r>
      <w:r w:rsidR="002D7126">
        <w:t xml:space="preserve"> </w:t>
      </w:r>
    </w:p>
    <w:p w14:paraId="6CC3A499" w14:textId="2D1C263F" w:rsidR="00C06CC0" w:rsidRDefault="00CA49A4" w:rsidP="000D627F">
      <w:pPr>
        <w:spacing w:after="120"/>
        <w:jc w:val="both"/>
      </w:pPr>
      <w:r>
        <w:t>N</w:t>
      </w:r>
      <w:r w:rsidR="00D42E9B">
        <w:t>atural gas is</w:t>
      </w:r>
      <w:r w:rsidR="00CF660A" w:rsidRPr="00265966">
        <w:t xml:space="preserve"> either imported </w:t>
      </w:r>
      <w:r w:rsidR="005009D6">
        <w:t xml:space="preserve">in the Baltic-Finnish gas market </w:t>
      </w:r>
      <w:r w:rsidR="00D42E9B">
        <w:t xml:space="preserve">via pipelines </w:t>
      </w:r>
      <w:r w:rsidR="00CF660A" w:rsidRPr="00265966">
        <w:t xml:space="preserve">from Russia and Belarus or </w:t>
      </w:r>
      <w:r w:rsidR="00D42E9B">
        <w:t>via</w:t>
      </w:r>
      <w:r w:rsidR="00CF660A" w:rsidRPr="00265966">
        <w:t xml:space="preserve"> LNG terminals. In 20</w:t>
      </w:r>
      <w:r w:rsidR="001A24D6">
        <w:t>21</w:t>
      </w:r>
      <w:r w:rsidR="00CF660A" w:rsidRPr="00265966">
        <w:t>, 5.</w:t>
      </w:r>
      <w:r w:rsidR="00516ABD">
        <w:t>02</w:t>
      </w:r>
      <w:r w:rsidR="00CF660A" w:rsidRPr="00265966">
        <w:t xml:space="preserve"> TWh, </w:t>
      </w:r>
      <w:r w:rsidR="00F315E2">
        <w:t>7.78</w:t>
      </w:r>
      <w:r w:rsidR="00CF660A" w:rsidRPr="00265966">
        <w:t xml:space="preserve"> TWh, 24</w:t>
      </w:r>
      <w:r w:rsidR="00F315E2">
        <w:t>.27</w:t>
      </w:r>
      <w:r w:rsidR="00CF660A" w:rsidRPr="00265966">
        <w:t xml:space="preserve"> TWh, and </w:t>
      </w:r>
      <w:r w:rsidR="00856B5E">
        <w:t>25.08</w:t>
      </w:r>
      <w:r w:rsidR="00CF660A" w:rsidRPr="00265966">
        <w:t xml:space="preserve"> TWh natural gas were consumed in Estonia, Latvia, Lithuania, and Finland respectively</w:t>
      </w:r>
      <w:r w:rsidR="00D7422F">
        <w:rPr>
          <w:rStyle w:val="Voetnootmarkering"/>
        </w:rPr>
        <w:footnoteReference w:id="3"/>
      </w:r>
      <w:r w:rsidR="00CF660A" w:rsidRPr="00265966">
        <w:t>.</w:t>
      </w:r>
      <w:r w:rsidR="00C06CC0">
        <w:t xml:space="preserve"> </w:t>
      </w:r>
      <w:r w:rsidR="00993D0D">
        <w:t xml:space="preserve">Country gas mix profiles are presented </w:t>
      </w:r>
      <w:r w:rsidR="00AE3A30">
        <w:t xml:space="preserve">in </w:t>
      </w:r>
      <w:r w:rsidR="004323F7">
        <w:t xml:space="preserve">the </w:t>
      </w:r>
      <w:r w:rsidR="00AE3A30">
        <w:t>following sections</w:t>
      </w:r>
      <w:r w:rsidR="000D627F">
        <w:t>.</w:t>
      </w:r>
    </w:p>
    <w:p w14:paraId="713AAC7F" w14:textId="048E189E" w:rsidR="00B8170E" w:rsidRPr="00404389" w:rsidRDefault="00B8170E" w:rsidP="00014FE9">
      <w:pPr>
        <w:pStyle w:val="Kop6"/>
        <w:rPr>
          <w:color w:val="auto"/>
        </w:rPr>
      </w:pPr>
      <w:r w:rsidRPr="00404389">
        <w:rPr>
          <w:color w:val="auto"/>
        </w:rPr>
        <w:t>Estonia</w:t>
      </w:r>
    </w:p>
    <w:p w14:paraId="4238AC2D" w14:textId="704EB019" w:rsidR="00B8170E" w:rsidRPr="00774CBD" w:rsidRDefault="00B8170E" w:rsidP="00B8170E">
      <w:pPr>
        <w:rPr>
          <w:b/>
          <w:color w:val="002C30"/>
        </w:rPr>
      </w:pPr>
      <w:r w:rsidRPr="00774CBD">
        <w:rPr>
          <w:b/>
          <w:color w:val="002C30"/>
        </w:rPr>
        <w:t>Natural Gas</w:t>
      </w:r>
    </w:p>
    <w:p w14:paraId="01482064" w14:textId="313B1263" w:rsidR="00B8170E" w:rsidRPr="003226D3" w:rsidRDefault="00FE5BD0" w:rsidP="007111D9">
      <w:pPr>
        <w:spacing w:after="240"/>
        <w:jc w:val="both"/>
        <w:rPr>
          <w:color w:val="000000" w:themeColor="text1"/>
        </w:rPr>
      </w:pPr>
      <w:bookmarkStart w:id="12" w:name="_Hlk103366302"/>
      <w:r>
        <w:rPr>
          <w:color w:val="000000" w:themeColor="text1"/>
        </w:rPr>
        <w:t xml:space="preserve">The largest </w:t>
      </w:r>
      <w:r w:rsidRPr="00526508">
        <w:rPr>
          <w:rStyle w:val="cf01"/>
          <w:rFonts w:ascii="Trebuchet MS" w:hAnsi="Trebuchet MS"/>
        </w:rPr>
        <w:t>natural gas</w:t>
      </w:r>
      <w:r w:rsidRPr="00526508">
        <w:rPr>
          <w:color w:val="000000" w:themeColor="text1"/>
        </w:rPr>
        <w:t xml:space="preserve"> </w:t>
      </w:r>
      <w:r>
        <w:rPr>
          <w:color w:val="000000" w:themeColor="text1"/>
        </w:rPr>
        <w:t xml:space="preserve">(NG) consumer in Estonia is the heat production sector (district heating) followed by the industry and buildings sectors (residential, commercial, and public services), and </w:t>
      </w:r>
      <w:r>
        <w:rPr>
          <w:rStyle w:val="cf01"/>
          <w:rFonts w:ascii="Trebuchet MS" w:hAnsi="Trebuchet MS"/>
        </w:rPr>
        <w:t>a</w:t>
      </w:r>
      <w:r w:rsidRPr="00526508">
        <w:rPr>
          <w:rStyle w:val="cf01"/>
          <w:rFonts w:ascii="Trebuchet MS" w:hAnsi="Trebuchet MS"/>
        </w:rPr>
        <w:t xml:space="preserve"> </w:t>
      </w:r>
      <w:r>
        <w:rPr>
          <w:rStyle w:val="cf01"/>
          <w:rFonts w:ascii="Trebuchet MS" w:hAnsi="Trebuchet MS"/>
        </w:rPr>
        <w:t>small</w:t>
      </w:r>
      <w:r w:rsidRPr="00526508">
        <w:rPr>
          <w:rStyle w:val="cf01"/>
          <w:rFonts w:ascii="Trebuchet MS" w:hAnsi="Trebuchet MS"/>
        </w:rPr>
        <w:t xml:space="preserve"> amount of electricity is being produced from </w:t>
      </w:r>
      <w:r>
        <w:rPr>
          <w:rStyle w:val="cf01"/>
          <w:rFonts w:ascii="Trebuchet MS" w:hAnsi="Trebuchet MS"/>
        </w:rPr>
        <w:t>NG</w:t>
      </w:r>
      <w:r w:rsidRPr="00526508">
        <w:rPr>
          <w:rStyle w:val="cf01"/>
          <w:rFonts w:ascii="Trebuchet MS" w:hAnsi="Trebuchet MS"/>
        </w:rPr>
        <w:t xml:space="preserve"> in Estonia</w:t>
      </w:r>
      <w:r>
        <w:rPr>
          <w:color w:val="000000" w:themeColor="text1"/>
        </w:rPr>
        <w:t xml:space="preserve">, whereas </w:t>
      </w:r>
      <w:r w:rsidR="00520877">
        <w:rPr>
          <w:color w:val="000000" w:themeColor="text1"/>
        </w:rPr>
        <w:t xml:space="preserve">the </w:t>
      </w:r>
      <w:r>
        <w:rPr>
          <w:color w:val="000000" w:themeColor="text1"/>
        </w:rPr>
        <w:t xml:space="preserve">transport sector has only </w:t>
      </w:r>
      <w:r w:rsidR="00520877">
        <w:rPr>
          <w:color w:val="000000" w:themeColor="text1"/>
        </w:rPr>
        <w:t xml:space="preserve">a </w:t>
      </w:r>
      <w:r>
        <w:rPr>
          <w:color w:val="000000" w:themeColor="text1"/>
        </w:rPr>
        <w:t xml:space="preserve">small number of </w:t>
      </w:r>
      <w:r w:rsidR="00520877">
        <w:rPr>
          <w:color w:val="000000" w:themeColor="text1"/>
        </w:rPr>
        <w:t xml:space="preserve">gas </w:t>
      </w:r>
      <w:r>
        <w:rPr>
          <w:color w:val="000000" w:themeColor="text1"/>
        </w:rPr>
        <w:t xml:space="preserve">users. </w:t>
      </w:r>
      <w:r w:rsidR="004F5145">
        <w:rPr>
          <w:color w:val="000000" w:themeColor="text1"/>
        </w:rPr>
        <w:t>The n</w:t>
      </w:r>
      <w:r w:rsidR="008A7E29">
        <w:rPr>
          <w:color w:val="000000" w:themeColor="text1"/>
        </w:rPr>
        <w:t xml:space="preserve">atural gas consumption profile is </w:t>
      </w:r>
      <w:r w:rsidR="007C3295">
        <w:rPr>
          <w:color w:val="000000" w:themeColor="text1"/>
        </w:rPr>
        <w:t>show</w:t>
      </w:r>
      <w:r w:rsidR="004E6814">
        <w:rPr>
          <w:color w:val="000000" w:themeColor="text1"/>
        </w:rPr>
        <w:t xml:space="preserve">n in </w:t>
      </w:r>
      <w:bookmarkEnd w:id="12"/>
      <w:r w:rsidR="0042227D" w:rsidRPr="0042227D">
        <w:rPr>
          <w:b/>
          <w:bCs/>
          <w:color w:val="000000" w:themeColor="text1"/>
        </w:rPr>
        <w:fldChar w:fldCharType="begin"/>
      </w:r>
      <w:r w:rsidR="0042227D" w:rsidRPr="0042227D">
        <w:rPr>
          <w:b/>
          <w:bCs/>
          <w:color w:val="000000" w:themeColor="text1"/>
        </w:rPr>
        <w:instrText xml:space="preserve"> REF _Ref104732655 \h  \* MERGEFORMAT </w:instrText>
      </w:r>
      <w:r w:rsidR="0042227D" w:rsidRPr="0042227D">
        <w:rPr>
          <w:b/>
          <w:bCs/>
          <w:color w:val="000000" w:themeColor="text1"/>
        </w:rPr>
      </w:r>
      <w:r w:rsidR="0042227D" w:rsidRPr="0042227D">
        <w:rPr>
          <w:b/>
          <w:bCs/>
          <w:color w:val="000000" w:themeColor="text1"/>
        </w:rPr>
        <w:fldChar w:fldCharType="separate"/>
      </w:r>
      <w:r w:rsidR="00265258" w:rsidRPr="000B0BFC">
        <w:rPr>
          <w:b/>
          <w:bCs/>
        </w:rPr>
        <w:t xml:space="preserve">Figure </w:t>
      </w:r>
      <w:r w:rsidR="00265258" w:rsidRPr="000B0BFC">
        <w:rPr>
          <w:b/>
          <w:bCs/>
          <w:noProof/>
        </w:rPr>
        <w:t>3</w:t>
      </w:r>
      <w:r w:rsidR="00265258" w:rsidRPr="000B0BFC">
        <w:rPr>
          <w:b/>
          <w:bCs/>
          <w:noProof/>
        </w:rPr>
        <w:noBreakHyphen/>
        <w:t>1</w:t>
      </w:r>
      <w:r w:rsidR="0042227D" w:rsidRPr="0042227D">
        <w:rPr>
          <w:b/>
          <w:bCs/>
          <w:color w:val="000000" w:themeColor="text1"/>
        </w:rPr>
        <w:fldChar w:fldCharType="end"/>
      </w:r>
      <w:r w:rsidR="00FA567C">
        <w:rPr>
          <w:color w:val="000000" w:themeColor="text1"/>
        </w:rPr>
        <w:t xml:space="preserve">. </w:t>
      </w:r>
    </w:p>
    <w:p w14:paraId="13A395C8" w14:textId="55FA7268" w:rsidR="00C52303" w:rsidRPr="00791F84" w:rsidRDefault="00C52303" w:rsidP="008D3089">
      <w:pPr>
        <w:pStyle w:val="Bijschrift"/>
        <w:rPr>
          <w:color w:val="005962" w:themeColor="accent1"/>
        </w:rPr>
      </w:pPr>
      <w:bookmarkStart w:id="13" w:name="_Ref103366069"/>
      <w:bookmarkStart w:id="14" w:name="_Ref104732655"/>
      <w:bookmarkStart w:id="15" w:name="_Ref103366050"/>
      <w:r>
        <w:t>Figure</w:t>
      </w:r>
      <w:r w:rsidR="00990B9D">
        <w:t xml:space="preserve"> </w:t>
      </w:r>
      <w:bookmarkEnd w:id="13"/>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w:t>
      </w:r>
      <w:r w:rsidR="006D12F8">
        <w:rPr>
          <w:noProof/>
        </w:rPr>
        <w:fldChar w:fldCharType="end"/>
      </w:r>
      <w:bookmarkEnd w:id="14"/>
      <w:r w:rsidR="00DC6C5A" w:rsidRPr="00791F84">
        <w:rPr>
          <w:color w:val="005962" w:themeColor="accent1"/>
        </w:rPr>
        <w:t xml:space="preserve">. </w:t>
      </w:r>
      <w:r w:rsidR="00791F84" w:rsidRPr="00791F84">
        <w:rPr>
          <w:color w:val="005962" w:themeColor="accent1"/>
        </w:rPr>
        <w:t>Natural gas consumption profile for Estoni</w:t>
      </w:r>
      <w:bookmarkEnd w:id="15"/>
      <w:r w:rsidR="004323F7">
        <w:rPr>
          <w:color w:val="005962" w:themeColor="accent1"/>
        </w:rPr>
        <w:t>a</w:t>
      </w:r>
      <w:r w:rsidR="004323F7">
        <w:rPr>
          <w:rStyle w:val="Voetnootmarkering"/>
          <w:color w:val="005962" w:themeColor="accent1"/>
        </w:rPr>
        <w:footnoteReference w:id="4"/>
      </w:r>
    </w:p>
    <w:p w14:paraId="55532C90" w14:textId="7542A021" w:rsidR="00984C13" w:rsidRPr="00914C3B" w:rsidRDefault="004323F7" w:rsidP="00914C3B">
      <w:pPr>
        <w:jc w:val="center"/>
      </w:pPr>
      <w:r>
        <w:rPr>
          <w:noProof/>
        </w:rPr>
        <w:drawing>
          <wp:inline distT="0" distB="0" distL="0" distR="0" wp14:anchorId="1805F68B" wp14:editId="0045130D">
            <wp:extent cx="3803650" cy="2032000"/>
            <wp:effectExtent l="0" t="0" r="6350" b="6350"/>
            <wp:docPr id="21" name="Chart 21">
              <a:extLst xmlns:a="http://schemas.openxmlformats.org/drawingml/2006/main">
                <a:ext uri="{FF2B5EF4-FFF2-40B4-BE49-F238E27FC236}">
                  <a16:creationId xmlns:a16="http://schemas.microsoft.com/office/drawing/2014/main" id="{767DAAB9-A9DD-5DE1-3867-89178AB63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ACEEAF" w14:textId="54703950" w:rsidR="00984C13" w:rsidRDefault="00984C13" w:rsidP="00984C13">
      <w:pPr>
        <w:rPr>
          <w:b/>
          <w:bCs/>
        </w:rPr>
      </w:pPr>
      <w:r w:rsidRPr="00984C13">
        <w:rPr>
          <w:b/>
          <w:bCs/>
        </w:rPr>
        <w:t>Biogas/</w:t>
      </w:r>
      <w:r w:rsidR="00CC06A4">
        <w:rPr>
          <w:b/>
          <w:bCs/>
        </w:rPr>
        <w:t>b</w:t>
      </w:r>
      <w:r w:rsidRPr="00984C13">
        <w:rPr>
          <w:b/>
          <w:bCs/>
        </w:rPr>
        <w:t>iomethane</w:t>
      </w:r>
    </w:p>
    <w:p w14:paraId="4BBB7A03" w14:textId="5AD52A45" w:rsidR="0007568F" w:rsidRDefault="00CF6658" w:rsidP="00BA7E2E">
      <w:pPr>
        <w:jc w:val="both"/>
      </w:pPr>
      <w:r w:rsidRPr="00CF6658">
        <w:t xml:space="preserve">In 2019, Estonia produced </w:t>
      </w:r>
      <w:r w:rsidR="00306A54">
        <w:t xml:space="preserve">about </w:t>
      </w:r>
      <w:r w:rsidRPr="00CF6658">
        <w:t xml:space="preserve">100 GWh of biogas, from which 38 GWh of electricity was generated. The country’s total biogas production capacity </w:t>
      </w:r>
      <w:r w:rsidR="00306A54">
        <w:t>amounts to</w:t>
      </w:r>
      <w:r w:rsidRPr="00CF6658">
        <w:t xml:space="preserve"> 25 MW, corresponding to 9.4 MW of installed electric</w:t>
      </w:r>
      <w:r w:rsidR="00306A54">
        <w:t>ity generation</w:t>
      </w:r>
      <w:r w:rsidRPr="00CF6658">
        <w:t xml:space="preserve"> capacity. </w:t>
      </w:r>
      <w:r w:rsidR="000B1BBD">
        <w:t>T</w:t>
      </w:r>
      <w:r w:rsidRPr="00CF6658">
        <w:t xml:space="preserve">he first biomethane plant Green Gas OÜ </w:t>
      </w:r>
      <w:r w:rsidR="00306A54">
        <w:t>(</w:t>
      </w:r>
      <w:r w:rsidRPr="00CF6658">
        <w:t>annual capacity of 5-6 million Nm</w:t>
      </w:r>
      <w:r w:rsidRPr="00173044">
        <w:rPr>
          <w:vertAlign w:val="superscript"/>
        </w:rPr>
        <w:t>3</w:t>
      </w:r>
      <w:r w:rsidR="00306A54">
        <w:t>)</w:t>
      </w:r>
      <w:r w:rsidRPr="00CF6658">
        <w:t xml:space="preserve"> </w:t>
      </w:r>
      <w:r w:rsidR="00306A54" w:rsidRPr="00CF6658">
        <w:t xml:space="preserve">started to produce biomethane </w:t>
      </w:r>
      <w:r w:rsidRPr="00CF6658">
        <w:t xml:space="preserve">from aspen pulp wastewater in the first quarter of 2018. The second </w:t>
      </w:r>
      <w:r w:rsidRPr="00CF6658">
        <w:lastRenderedPageBreak/>
        <w:t xml:space="preserve">biomethane plant </w:t>
      </w:r>
      <w:proofErr w:type="spellStart"/>
      <w:r w:rsidRPr="00CF6658">
        <w:t>Biometaan</w:t>
      </w:r>
      <w:proofErr w:type="spellEnd"/>
      <w:r w:rsidRPr="00CF6658">
        <w:t xml:space="preserve"> OÜ </w:t>
      </w:r>
      <w:r w:rsidR="00306A54">
        <w:t>(</w:t>
      </w:r>
      <w:r w:rsidR="00306A54" w:rsidRPr="00CF6658">
        <w:t>annual capacity of 1.3 million Nm</w:t>
      </w:r>
      <w:r w:rsidR="00306A54" w:rsidRPr="00E511BB">
        <w:rPr>
          <w:vertAlign w:val="superscript"/>
        </w:rPr>
        <w:t>3</w:t>
      </w:r>
      <w:r w:rsidR="00306A54">
        <w:t>)</w:t>
      </w:r>
      <w:r w:rsidR="00306A54" w:rsidRPr="00CF6658">
        <w:t xml:space="preserve"> </w:t>
      </w:r>
      <w:r w:rsidRPr="00CF6658">
        <w:t>produce</w:t>
      </w:r>
      <w:r w:rsidR="000B1BBD">
        <w:t>s</w:t>
      </w:r>
      <w:r w:rsidRPr="00CF6658">
        <w:t xml:space="preserve"> biomethane</w:t>
      </w:r>
      <w:r w:rsidR="000B1BBD">
        <w:t xml:space="preserve"> </w:t>
      </w:r>
      <w:r w:rsidRPr="00CF6658">
        <w:t>from agricultural residues</w:t>
      </w:r>
      <w:r w:rsidR="00220ECD">
        <w:t xml:space="preserve"> and other feedstocks</w:t>
      </w:r>
      <w:r w:rsidRPr="00CF6658">
        <w:t xml:space="preserve"> </w:t>
      </w:r>
      <w:r w:rsidR="000B1BBD">
        <w:t xml:space="preserve">since </w:t>
      </w:r>
      <w:r w:rsidRPr="00CF6658">
        <w:t xml:space="preserve">June 2018. All the produced biomethane is used in the transport sector. There are 20 </w:t>
      </w:r>
      <w:r w:rsidR="000B1BBD">
        <w:t>b</w:t>
      </w:r>
      <w:r w:rsidRPr="00CF6658">
        <w:t xml:space="preserve">io-CNG filling stations in Estonia; 19 stations offer a blend of </w:t>
      </w:r>
      <w:r w:rsidR="000B1BBD">
        <w:t>b</w:t>
      </w:r>
      <w:r w:rsidRPr="00CF6658">
        <w:t xml:space="preserve">io-CNG and natural gas, while 1 </w:t>
      </w:r>
      <w:r w:rsidR="000B1BBD">
        <w:t xml:space="preserve">station </w:t>
      </w:r>
      <w:r w:rsidRPr="00CF6658">
        <w:t xml:space="preserve">offers pure </w:t>
      </w:r>
      <w:r w:rsidR="000B1BBD">
        <w:t>b</w:t>
      </w:r>
      <w:r w:rsidRPr="00CF6658">
        <w:t>io-CNG.</w:t>
      </w:r>
      <w:r>
        <w:t xml:space="preserve"> The fol</w:t>
      </w:r>
      <w:r w:rsidR="00A80F16">
        <w:t xml:space="preserve">lowing </w:t>
      </w:r>
      <w:r w:rsidR="001E7D8C" w:rsidRPr="001E7D8C">
        <w:rPr>
          <w:b/>
          <w:bCs/>
        </w:rPr>
        <w:fldChar w:fldCharType="begin"/>
      </w:r>
      <w:r w:rsidR="001E7D8C" w:rsidRPr="001E7D8C">
        <w:rPr>
          <w:b/>
          <w:bCs/>
        </w:rPr>
        <w:instrText xml:space="preserve"> REF _Ref104732755 \h  \* MERGEFORMAT </w:instrText>
      </w:r>
      <w:r w:rsidR="001E7D8C" w:rsidRPr="001E7D8C">
        <w:rPr>
          <w:b/>
          <w:bCs/>
        </w:rPr>
      </w:r>
      <w:r w:rsidR="001E7D8C" w:rsidRPr="001E7D8C">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2</w:t>
      </w:r>
      <w:r w:rsidR="001E7D8C" w:rsidRPr="001E7D8C">
        <w:rPr>
          <w:b/>
          <w:bCs/>
        </w:rPr>
        <w:fldChar w:fldCharType="end"/>
      </w:r>
      <w:r w:rsidR="001E7D8C">
        <w:rPr>
          <w:b/>
          <w:bCs/>
        </w:rPr>
        <w:t xml:space="preserve"> </w:t>
      </w:r>
      <w:r w:rsidR="00A80F16">
        <w:t>shows the historical production of biogas</w:t>
      </w:r>
      <w:bookmarkStart w:id="16" w:name="_Ref103361921"/>
      <w:r w:rsidR="00940EC7">
        <w:t xml:space="preserve"> as per the feedstoc</w:t>
      </w:r>
      <w:bookmarkStart w:id="17" w:name="_Ref104726461"/>
      <w:r w:rsidR="00940EC7">
        <w:t>k</w:t>
      </w:r>
      <w:bookmarkEnd w:id="17"/>
      <w:r w:rsidR="00940EC7">
        <w:t xml:space="preserve"> used</w:t>
      </w:r>
      <w:bookmarkStart w:id="18" w:name="_Ref104726485"/>
      <w:r w:rsidR="00E511BB">
        <w:t>.</w:t>
      </w:r>
      <w:r w:rsidR="00340D8F">
        <w:rPr>
          <w:rStyle w:val="Voetnootmarkering"/>
        </w:rPr>
        <w:footnoteReference w:id="5"/>
      </w:r>
      <w:bookmarkEnd w:id="16"/>
      <w:bookmarkEnd w:id="18"/>
    </w:p>
    <w:p w14:paraId="7F2D5820" w14:textId="77777777" w:rsidR="0007568F" w:rsidRDefault="0007568F" w:rsidP="00CF6658">
      <w:pPr>
        <w:jc w:val="both"/>
      </w:pPr>
    </w:p>
    <w:p w14:paraId="6BB7ECD3" w14:textId="6A6413B1" w:rsidR="005C1761" w:rsidRDefault="005C1761" w:rsidP="008D3089">
      <w:pPr>
        <w:pStyle w:val="Bijschrift"/>
      </w:pPr>
      <w:bookmarkStart w:id="19" w:name="_Ref103366137"/>
      <w:bookmarkStart w:id="20" w:name="_Ref104732755"/>
      <w:r>
        <w:t>Figure</w:t>
      </w:r>
      <w:r w:rsidR="00914C3B">
        <w:t xml:space="preserve"> </w:t>
      </w:r>
      <w:bookmarkEnd w:id="19"/>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2</w:t>
      </w:r>
      <w:r w:rsidR="006D12F8">
        <w:rPr>
          <w:noProof/>
        </w:rPr>
        <w:fldChar w:fldCharType="end"/>
      </w:r>
      <w:bookmarkEnd w:id="20"/>
      <w:r>
        <w:t xml:space="preserve">. Biogas </w:t>
      </w:r>
      <w:r w:rsidR="000B1BBD">
        <w:t>p</w:t>
      </w:r>
      <w:r>
        <w:t>roduction in Estonia</w:t>
      </w:r>
      <w:r w:rsidRPr="005C1761">
        <w:rPr>
          <w:vertAlign w:val="superscript"/>
        </w:rPr>
        <w:fldChar w:fldCharType="begin"/>
      </w:r>
      <w:r w:rsidRPr="005C1761">
        <w:rPr>
          <w:vertAlign w:val="superscript"/>
        </w:rPr>
        <w:instrText xml:space="preserve"> NOTEREF _Ref103361921 \h </w:instrText>
      </w:r>
      <w:r>
        <w:rPr>
          <w:vertAlign w:val="superscript"/>
        </w:rPr>
        <w:instrText xml:space="preserve"> \* MERGEFORMAT </w:instrText>
      </w:r>
      <w:r w:rsidRPr="005C1761">
        <w:rPr>
          <w:vertAlign w:val="superscript"/>
        </w:rPr>
      </w:r>
      <w:r w:rsidRPr="005C1761">
        <w:rPr>
          <w:vertAlign w:val="superscript"/>
        </w:rPr>
        <w:fldChar w:fldCharType="separate"/>
      </w:r>
      <w:r w:rsidR="00265258">
        <w:rPr>
          <w:vertAlign w:val="superscript"/>
        </w:rPr>
        <w:t>4</w:t>
      </w:r>
      <w:r w:rsidRPr="005C1761">
        <w:rPr>
          <w:vertAlign w:val="superscript"/>
        </w:rPr>
        <w:fldChar w:fldCharType="end"/>
      </w:r>
    </w:p>
    <w:p w14:paraId="4FC0EE77" w14:textId="008394C8" w:rsidR="00C15AC6" w:rsidRDefault="005C1761" w:rsidP="0017555E">
      <w:pPr>
        <w:jc w:val="center"/>
      </w:pPr>
      <w:r>
        <w:rPr>
          <w:noProof/>
        </w:rPr>
        <w:drawing>
          <wp:inline distT="0" distB="0" distL="0" distR="0" wp14:anchorId="68EAE714" wp14:editId="4DD62197">
            <wp:extent cx="3763925" cy="2020186"/>
            <wp:effectExtent l="0" t="0" r="8255" b="0"/>
            <wp:docPr id="59" name="Chart 59">
              <a:extLst xmlns:a="http://schemas.openxmlformats.org/drawingml/2006/main">
                <a:ext uri="{FF2B5EF4-FFF2-40B4-BE49-F238E27FC236}">
                  <a16:creationId xmlns:a16="http://schemas.microsoft.com/office/drawing/2014/main" id="{7982A150-122A-ED6E-6BE0-312FBCAC8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D7B0AD" w14:textId="54547898" w:rsidR="00C15AC6" w:rsidRPr="00404389" w:rsidRDefault="00C15AC6" w:rsidP="00404389">
      <w:pPr>
        <w:rPr>
          <w:b/>
          <w:bCs/>
        </w:rPr>
      </w:pPr>
      <w:r w:rsidRPr="00404389">
        <w:rPr>
          <w:b/>
          <w:bCs/>
        </w:rPr>
        <w:t>Latvia</w:t>
      </w:r>
    </w:p>
    <w:p w14:paraId="5CC51B20" w14:textId="4F5B72A0" w:rsidR="00C15AC6" w:rsidRPr="00404389" w:rsidRDefault="00C15AC6" w:rsidP="000D16B2">
      <w:pPr>
        <w:rPr>
          <w:b/>
        </w:rPr>
      </w:pPr>
      <w:r w:rsidRPr="00404389">
        <w:rPr>
          <w:b/>
        </w:rPr>
        <w:t>Natural Gas</w:t>
      </w:r>
    </w:p>
    <w:p w14:paraId="74448234" w14:textId="255325DB" w:rsidR="00C15AC6" w:rsidRPr="000D16B2" w:rsidRDefault="000D16B2" w:rsidP="000D16B2">
      <w:pPr>
        <w:spacing w:after="240"/>
        <w:jc w:val="both"/>
        <w:rPr>
          <w:b/>
          <w:color w:val="000000" w:themeColor="text1"/>
        </w:rPr>
      </w:pPr>
      <w:bookmarkStart w:id="21" w:name="_Hlk103367053"/>
      <w:r>
        <w:rPr>
          <w:color w:val="000000" w:themeColor="text1"/>
        </w:rPr>
        <w:t xml:space="preserve">Natural gas consumption in </w:t>
      </w:r>
      <w:r w:rsidR="003510A0">
        <w:rPr>
          <w:color w:val="000000" w:themeColor="text1"/>
        </w:rPr>
        <w:t>Latvia</w:t>
      </w:r>
      <w:r>
        <w:rPr>
          <w:color w:val="000000" w:themeColor="text1"/>
        </w:rPr>
        <w:t xml:space="preserve"> has </w:t>
      </w:r>
      <w:r w:rsidR="0040060C">
        <w:rPr>
          <w:color w:val="000000" w:themeColor="text1"/>
        </w:rPr>
        <w:t>incr</w:t>
      </w:r>
      <w:r w:rsidR="001C0386">
        <w:rPr>
          <w:color w:val="000000" w:themeColor="text1"/>
        </w:rPr>
        <w:t>eased slightly</w:t>
      </w:r>
      <w:r>
        <w:rPr>
          <w:color w:val="000000" w:themeColor="text1"/>
        </w:rPr>
        <w:t xml:space="preserve"> from</w:t>
      </w:r>
      <w:r w:rsidR="008B566F">
        <w:rPr>
          <w:color w:val="000000" w:themeColor="text1"/>
        </w:rPr>
        <w:t xml:space="preserve"> 13.</w:t>
      </w:r>
      <w:r w:rsidR="006F423E">
        <w:rPr>
          <w:color w:val="000000" w:themeColor="text1"/>
        </w:rPr>
        <w:t>1</w:t>
      </w:r>
      <w:r w:rsidR="007C1C69">
        <w:rPr>
          <w:color w:val="000000" w:themeColor="text1"/>
        </w:rPr>
        <w:t>3</w:t>
      </w:r>
      <w:r>
        <w:rPr>
          <w:color w:val="000000" w:themeColor="text1"/>
        </w:rPr>
        <w:t xml:space="preserve"> TWh in 2015 to </w:t>
      </w:r>
      <w:r w:rsidR="00E46A73">
        <w:rPr>
          <w:color w:val="000000" w:themeColor="text1"/>
        </w:rPr>
        <w:t>14.263</w:t>
      </w:r>
      <w:r>
        <w:rPr>
          <w:color w:val="000000" w:themeColor="text1"/>
        </w:rPr>
        <w:t xml:space="preserve"> TWh in 20</w:t>
      </w:r>
      <w:r w:rsidR="007B3965">
        <w:rPr>
          <w:color w:val="000000" w:themeColor="text1"/>
        </w:rPr>
        <w:t>19</w:t>
      </w:r>
      <w:r w:rsidR="0025421F">
        <w:rPr>
          <w:color w:val="000000" w:themeColor="text1"/>
        </w:rPr>
        <w:t xml:space="preserve"> and decreased </w:t>
      </w:r>
      <w:r w:rsidR="00FA575C">
        <w:rPr>
          <w:color w:val="000000" w:themeColor="text1"/>
        </w:rPr>
        <w:t>to 7.78 TWh in 2021</w:t>
      </w:r>
      <w:r>
        <w:rPr>
          <w:color w:val="000000" w:themeColor="text1"/>
        </w:rPr>
        <w:t xml:space="preserve">. The largest NG consumer in </w:t>
      </w:r>
      <w:r w:rsidR="006F6506">
        <w:rPr>
          <w:color w:val="000000" w:themeColor="text1"/>
        </w:rPr>
        <w:t>Latvia</w:t>
      </w:r>
      <w:r>
        <w:rPr>
          <w:color w:val="000000" w:themeColor="text1"/>
        </w:rPr>
        <w:t xml:space="preserve"> is</w:t>
      </w:r>
      <w:r w:rsidR="0007568F">
        <w:rPr>
          <w:color w:val="000000" w:themeColor="text1"/>
        </w:rPr>
        <w:t xml:space="preserve"> the </w:t>
      </w:r>
      <w:r>
        <w:rPr>
          <w:color w:val="000000" w:themeColor="text1"/>
        </w:rPr>
        <w:t xml:space="preserve">electricity </w:t>
      </w:r>
      <w:r w:rsidR="0007568F">
        <w:rPr>
          <w:color w:val="000000" w:themeColor="text1"/>
        </w:rPr>
        <w:t xml:space="preserve">generation </w:t>
      </w:r>
      <w:r>
        <w:rPr>
          <w:color w:val="000000" w:themeColor="text1"/>
        </w:rPr>
        <w:t xml:space="preserve">sector followed by </w:t>
      </w:r>
      <w:r w:rsidR="0007568F">
        <w:rPr>
          <w:color w:val="000000" w:themeColor="text1"/>
        </w:rPr>
        <w:t xml:space="preserve">the </w:t>
      </w:r>
      <w:r>
        <w:rPr>
          <w:color w:val="000000" w:themeColor="text1"/>
        </w:rPr>
        <w:t>buildings sector (residential, commercial, and services)</w:t>
      </w:r>
      <w:r w:rsidR="00873801">
        <w:rPr>
          <w:color w:val="000000" w:themeColor="text1"/>
        </w:rPr>
        <w:t xml:space="preserve"> and in</w:t>
      </w:r>
      <w:r w:rsidR="00F616CF">
        <w:rPr>
          <w:color w:val="000000" w:themeColor="text1"/>
        </w:rPr>
        <w:t>dustry</w:t>
      </w:r>
      <w:r w:rsidR="0007568F">
        <w:rPr>
          <w:color w:val="000000" w:themeColor="text1"/>
        </w:rPr>
        <w:t>, w</w:t>
      </w:r>
      <w:r>
        <w:rPr>
          <w:color w:val="000000" w:themeColor="text1"/>
        </w:rPr>
        <w:t>hereas agricultur</w:t>
      </w:r>
      <w:r w:rsidR="0007568F">
        <w:rPr>
          <w:color w:val="000000" w:themeColor="text1"/>
        </w:rPr>
        <w:t>e</w:t>
      </w:r>
      <w:r w:rsidR="00E03B09">
        <w:rPr>
          <w:color w:val="000000" w:themeColor="text1"/>
        </w:rPr>
        <w:t>/</w:t>
      </w:r>
      <w:r>
        <w:rPr>
          <w:color w:val="000000" w:themeColor="text1"/>
        </w:rPr>
        <w:t xml:space="preserve">forestry </w:t>
      </w:r>
      <w:r w:rsidR="00E03B09">
        <w:rPr>
          <w:color w:val="000000" w:themeColor="text1"/>
        </w:rPr>
        <w:t xml:space="preserve">and transport </w:t>
      </w:r>
      <w:r w:rsidR="0007568F">
        <w:rPr>
          <w:color w:val="000000" w:themeColor="text1"/>
        </w:rPr>
        <w:t xml:space="preserve">only consume small </w:t>
      </w:r>
      <w:r>
        <w:rPr>
          <w:color w:val="000000" w:themeColor="text1"/>
        </w:rPr>
        <w:t xml:space="preserve">NG </w:t>
      </w:r>
      <w:r w:rsidR="0007568F">
        <w:rPr>
          <w:color w:val="000000" w:themeColor="text1"/>
        </w:rPr>
        <w:t>volumes</w:t>
      </w:r>
      <w:r w:rsidR="00E03B09">
        <w:rPr>
          <w:color w:val="000000" w:themeColor="text1"/>
        </w:rPr>
        <w:t xml:space="preserve"> (</w:t>
      </w:r>
      <w:r w:rsidR="003D5B05">
        <w:rPr>
          <w:color w:val="000000" w:themeColor="text1"/>
        </w:rPr>
        <w:t>67</w:t>
      </w:r>
      <w:r w:rsidR="0036412D">
        <w:rPr>
          <w:color w:val="000000" w:themeColor="text1"/>
        </w:rPr>
        <w:t xml:space="preserve"> GWh and 2.5 GWh </w:t>
      </w:r>
      <w:r w:rsidR="00263A0E">
        <w:rPr>
          <w:color w:val="000000" w:themeColor="text1"/>
        </w:rPr>
        <w:t>in 2019</w:t>
      </w:r>
      <w:r w:rsidR="0036412D">
        <w:rPr>
          <w:color w:val="000000" w:themeColor="text1"/>
        </w:rPr>
        <w:t xml:space="preserve"> respectively)</w:t>
      </w:r>
      <w:r>
        <w:rPr>
          <w:color w:val="000000" w:themeColor="text1"/>
        </w:rPr>
        <w:t xml:space="preserve">. </w:t>
      </w:r>
      <w:r w:rsidR="0007568F">
        <w:rPr>
          <w:color w:val="000000" w:themeColor="text1"/>
        </w:rPr>
        <w:t xml:space="preserve">While the consumption levels of the buildings and industry sectors </w:t>
      </w:r>
      <w:r w:rsidR="001C714D">
        <w:rPr>
          <w:color w:val="000000" w:themeColor="text1"/>
        </w:rPr>
        <w:t>remained in 2015-2019 largely at the same level, the gas use for e</w:t>
      </w:r>
      <w:r w:rsidR="00120C23">
        <w:rPr>
          <w:color w:val="000000" w:themeColor="text1"/>
        </w:rPr>
        <w:t>lectricity production</w:t>
      </w:r>
      <w:r>
        <w:rPr>
          <w:color w:val="000000" w:themeColor="text1"/>
        </w:rPr>
        <w:t xml:space="preserve"> </w:t>
      </w:r>
      <w:r w:rsidR="008C13D9">
        <w:rPr>
          <w:color w:val="000000" w:themeColor="text1"/>
        </w:rPr>
        <w:t xml:space="preserve">shows </w:t>
      </w:r>
      <w:r w:rsidR="001C714D">
        <w:rPr>
          <w:color w:val="000000" w:themeColor="text1"/>
        </w:rPr>
        <w:t xml:space="preserve">large </w:t>
      </w:r>
      <w:r w:rsidR="007A00B0">
        <w:rPr>
          <w:color w:val="000000" w:themeColor="text1"/>
        </w:rPr>
        <w:t>fluctuati</w:t>
      </w:r>
      <w:r w:rsidR="001C714D">
        <w:rPr>
          <w:color w:val="000000" w:themeColor="text1"/>
        </w:rPr>
        <w:t>ons, depending on electricity demand and other supply sources</w:t>
      </w:r>
      <w:r w:rsidR="007A00B0">
        <w:rPr>
          <w:color w:val="000000" w:themeColor="text1"/>
        </w:rPr>
        <w:t>.</w:t>
      </w:r>
      <w:r>
        <w:rPr>
          <w:color w:val="000000" w:themeColor="text1"/>
        </w:rPr>
        <w:t xml:space="preserve"> </w:t>
      </w:r>
      <w:r w:rsidR="00187F18">
        <w:rPr>
          <w:color w:val="000000" w:themeColor="text1"/>
        </w:rPr>
        <w:t>Sectoral</w:t>
      </w:r>
      <w:r w:rsidR="001C714D">
        <w:rPr>
          <w:color w:val="000000" w:themeColor="text1"/>
        </w:rPr>
        <w:t xml:space="preserve"> n</w:t>
      </w:r>
      <w:r>
        <w:rPr>
          <w:color w:val="000000" w:themeColor="text1"/>
        </w:rPr>
        <w:t>atural gas consumption profile</w:t>
      </w:r>
      <w:r w:rsidR="00065385">
        <w:rPr>
          <w:color w:val="000000" w:themeColor="text1"/>
        </w:rPr>
        <w:t xml:space="preserve"> for</w:t>
      </w:r>
      <w:r w:rsidR="001C714D">
        <w:rPr>
          <w:color w:val="000000" w:themeColor="text1"/>
        </w:rPr>
        <w:t xml:space="preserve"> Latvia</w:t>
      </w:r>
      <w:r w:rsidR="00065385">
        <w:rPr>
          <w:color w:val="000000" w:themeColor="text1"/>
        </w:rPr>
        <w:t xml:space="preserve"> (</w:t>
      </w:r>
      <w:r w:rsidR="00F86E49">
        <w:rPr>
          <w:color w:val="000000" w:themeColor="text1"/>
        </w:rPr>
        <w:t>2015-</w:t>
      </w:r>
      <w:r w:rsidR="00065385">
        <w:rPr>
          <w:color w:val="000000" w:themeColor="text1"/>
        </w:rPr>
        <w:t>2019)</w:t>
      </w:r>
      <w:r w:rsidR="001C714D">
        <w:rPr>
          <w:color w:val="000000" w:themeColor="text1"/>
        </w:rPr>
        <w:t xml:space="preserve"> </w:t>
      </w:r>
      <w:r>
        <w:rPr>
          <w:color w:val="000000" w:themeColor="text1"/>
        </w:rPr>
        <w:t>is shown in the</w:t>
      </w:r>
      <w:bookmarkEnd w:id="21"/>
      <w:r w:rsidR="001E7D8C">
        <w:rPr>
          <w:b/>
          <w:color w:val="000000" w:themeColor="text1"/>
        </w:rPr>
        <w:t xml:space="preserve"> </w:t>
      </w:r>
      <w:r w:rsidR="00F46640" w:rsidRPr="00F46640">
        <w:rPr>
          <w:b/>
          <w:bCs/>
          <w:color w:val="000000" w:themeColor="text1"/>
        </w:rPr>
        <w:fldChar w:fldCharType="begin"/>
      </w:r>
      <w:r w:rsidR="00F46640" w:rsidRPr="00F46640">
        <w:rPr>
          <w:b/>
          <w:bCs/>
          <w:color w:val="000000" w:themeColor="text1"/>
        </w:rPr>
        <w:instrText xml:space="preserve"> REF _Ref104732782 \h  \* MERGEFORMAT </w:instrText>
      </w:r>
      <w:r w:rsidR="00F46640" w:rsidRPr="00F46640">
        <w:rPr>
          <w:b/>
          <w:bCs/>
          <w:color w:val="000000" w:themeColor="text1"/>
        </w:rPr>
      </w:r>
      <w:r w:rsidR="00F46640" w:rsidRPr="00F46640">
        <w:rPr>
          <w:b/>
          <w:bCs/>
          <w:color w:val="000000" w:themeColor="text1"/>
        </w:rPr>
        <w:fldChar w:fldCharType="separate"/>
      </w:r>
      <w:r w:rsidR="00265258" w:rsidRPr="000B0BFC">
        <w:rPr>
          <w:b/>
          <w:bCs/>
        </w:rPr>
        <w:t xml:space="preserve">Figure </w:t>
      </w:r>
      <w:r w:rsidR="00265258" w:rsidRPr="000B0BFC">
        <w:rPr>
          <w:b/>
          <w:bCs/>
          <w:noProof/>
        </w:rPr>
        <w:t>3</w:t>
      </w:r>
      <w:r w:rsidR="00265258" w:rsidRPr="000B0BFC">
        <w:rPr>
          <w:b/>
          <w:bCs/>
          <w:noProof/>
        </w:rPr>
        <w:noBreakHyphen/>
        <w:t>3</w:t>
      </w:r>
      <w:r w:rsidR="00F46640" w:rsidRPr="00F46640">
        <w:rPr>
          <w:b/>
          <w:bCs/>
          <w:color w:val="000000" w:themeColor="text1"/>
        </w:rPr>
        <w:fldChar w:fldCharType="end"/>
      </w:r>
      <w:r w:rsidR="007A00B0">
        <w:rPr>
          <w:color w:val="000000" w:themeColor="text1"/>
        </w:rPr>
        <w:t>.</w:t>
      </w:r>
    </w:p>
    <w:p w14:paraId="3D370970" w14:textId="37E9CEFE" w:rsidR="00AD07D6" w:rsidRPr="00957014" w:rsidRDefault="00AD07D6" w:rsidP="00ED5DBE">
      <w:pPr>
        <w:pStyle w:val="Bijschrift"/>
        <w:spacing w:after="0"/>
        <w:rPr>
          <w:color w:val="auto"/>
        </w:rPr>
      </w:pPr>
      <w:bookmarkStart w:id="22" w:name="_Ref103366684"/>
      <w:bookmarkStart w:id="23" w:name="_Ref104732782"/>
      <w:r>
        <w:t>F</w:t>
      </w:r>
      <w:r w:rsidR="00957014">
        <w:t>igure</w:t>
      </w:r>
      <w:r w:rsidR="007A00B0">
        <w:t xml:space="preserve"> </w:t>
      </w:r>
      <w:bookmarkEnd w:id="22"/>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3</w:t>
      </w:r>
      <w:r w:rsidR="006D12F8">
        <w:rPr>
          <w:noProof/>
        </w:rPr>
        <w:fldChar w:fldCharType="end"/>
      </w:r>
      <w:bookmarkEnd w:id="23"/>
      <w:r w:rsidR="007A00B0">
        <w:t>.</w:t>
      </w:r>
      <w:r w:rsidR="00957014">
        <w:t xml:space="preserve"> </w:t>
      </w:r>
      <w:r w:rsidR="00A5754F">
        <w:t xml:space="preserve">Natural gas consumption profile for </w:t>
      </w:r>
      <w:r w:rsidR="00A5754F" w:rsidRPr="00DB34E7">
        <w:t>Latvi</w:t>
      </w:r>
      <w:r w:rsidR="00DD1CD2">
        <w:t>a</w:t>
      </w:r>
      <w:bookmarkStart w:id="24" w:name="_Ref113612543"/>
      <w:r w:rsidR="00DD1CD2">
        <w:rPr>
          <w:rStyle w:val="Voetnootmarkering"/>
        </w:rPr>
        <w:footnoteReference w:id="6"/>
      </w:r>
      <w:bookmarkEnd w:id="24"/>
    </w:p>
    <w:p w14:paraId="37409A5E" w14:textId="13C1F4F0" w:rsidR="00C15AC6" w:rsidRDefault="00AD07D6" w:rsidP="00BA7E2E">
      <w:pPr>
        <w:spacing w:line="240" w:lineRule="auto"/>
        <w:jc w:val="center"/>
        <w:rPr>
          <w:b/>
        </w:rPr>
      </w:pPr>
      <w:r>
        <w:rPr>
          <w:noProof/>
        </w:rPr>
        <w:drawing>
          <wp:inline distT="0" distB="0" distL="0" distR="0" wp14:anchorId="12DE588F" wp14:editId="66EC8629">
            <wp:extent cx="3625702" cy="2445489"/>
            <wp:effectExtent l="0" t="0" r="0" b="0"/>
            <wp:docPr id="60" name="Chart 60">
              <a:extLst xmlns:a="http://schemas.openxmlformats.org/drawingml/2006/main">
                <a:ext uri="{FF2B5EF4-FFF2-40B4-BE49-F238E27FC236}">
                  <a16:creationId xmlns:a16="http://schemas.microsoft.com/office/drawing/2014/main" id="{192CA15D-5C75-B9FB-5A41-7EE1EEDD7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C84855" w14:textId="77777777" w:rsidR="00E1528E" w:rsidRDefault="00E1528E" w:rsidP="00BA7E2E">
      <w:pPr>
        <w:spacing w:before="120"/>
        <w:jc w:val="both"/>
        <w:rPr>
          <w:b/>
          <w:bCs/>
        </w:rPr>
      </w:pPr>
    </w:p>
    <w:p w14:paraId="150FA206" w14:textId="77777777" w:rsidR="00E1528E" w:rsidRDefault="00E1528E" w:rsidP="00BA7E2E">
      <w:pPr>
        <w:spacing w:before="120"/>
        <w:jc w:val="both"/>
        <w:rPr>
          <w:b/>
          <w:bCs/>
        </w:rPr>
      </w:pPr>
    </w:p>
    <w:p w14:paraId="40750D07" w14:textId="1BF4AFF9" w:rsidR="00A5754F" w:rsidRPr="00465F87" w:rsidRDefault="00A5754F" w:rsidP="00BA7E2E">
      <w:pPr>
        <w:spacing w:before="120"/>
        <w:jc w:val="both"/>
        <w:rPr>
          <w:b/>
          <w:color w:val="F04E30" w:themeColor="accent2"/>
        </w:rPr>
      </w:pPr>
      <w:r w:rsidRPr="00A5754F">
        <w:rPr>
          <w:b/>
          <w:bCs/>
        </w:rPr>
        <w:lastRenderedPageBreak/>
        <w:t>Biogas</w:t>
      </w:r>
      <w:r>
        <w:rPr>
          <w:b/>
          <w:bCs/>
        </w:rPr>
        <w:t>/</w:t>
      </w:r>
      <w:r w:rsidR="00CC06A4">
        <w:rPr>
          <w:b/>
          <w:bCs/>
        </w:rPr>
        <w:t>b</w:t>
      </w:r>
      <w:r>
        <w:rPr>
          <w:b/>
          <w:bCs/>
        </w:rPr>
        <w:t>iomethane</w:t>
      </w:r>
    </w:p>
    <w:p w14:paraId="660FF84A" w14:textId="21E490F7" w:rsidR="00A5754F" w:rsidRDefault="001C714D" w:rsidP="00DC4CE9">
      <w:pPr>
        <w:spacing w:after="240"/>
        <w:jc w:val="both"/>
      </w:pPr>
      <w:r>
        <w:t>The production of biogas is very limited in Latvia</w:t>
      </w:r>
      <w:r w:rsidR="003E6C0E">
        <w:t xml:space="preserve">, and there </w:t>
      </w:r>
      <w:r w:rsidR="007F24D1">
        <w:t xml:space="preserve">is </w:t>
      </w:r>
      <w:r w:rsidR="003E6C0E">
        <w:t>no biomethane injection into the grid</w:t>
      </w:r>
      <w:r w:rsidR="0053564B">
        <w:t>.</w:t>
      </w:r>
      <w:r>
        <w:t xml:space="preserve"> </w:t>
      </w:r>
      <w:r w:rsidR="00537101">
        <w:t xml:space="preserve">It is stated in the 2020 report from </w:t>
      </w:r>
      <w:r w:rsidR="0053564B">
        <w:t xml:space="preserve">the </w:t>
      </w:r>
      <w:r w:rsidR="00537101">
        <w:t>Renewable Gas Trade centre in Europe (REGATRACE)</w:t>
      </w:r>
      <w:bookmarkStart w:id="25" w:name="_Ref103362918"/>
      <w:r w:rsidR="000C7C52">
        <w:rPr>
          <w:rStyle w:val="Voetnootmarkering"/>
        </w:rPr>
        <w:footnoteReference w:id="7"/>
      </w:r>
      <w:bookmarkEnd w:id="25"/>
      <w:r w:rsidR="00537101">
        <w:t xml:space="preserve"> that ‘unless the Latvian government drastically changes its legislation and puts in place a legal basis for biomethane production, the Latvian biogas and biomethane sectors </w:t>
      </w:r>
      <w:r w:rsidR="004002C8">
        <w:t xml:space="preserve">will not </w:t>
      </w:r>
      <w:r w:rsidR="00DE7FE9">
        <w:t>develop</w:t>
      </w:r>
      <w:r w:rsidR="00790AA3">
        <w:t xml:space="preserve"> in future</w:t>
      </w:r>
      <w:r w:rsidR="00537101">
        <w:t>. The trajectory of the overall production of biogas production and capacity shows a decrease in numbers in recent years. Legislation on biomethane production has not yet been introduced in Latvia, yet one biogas plant did start producing biomethane for its own needs in 2020’. </w:t>
      </w:r>
      <w:r w:rsidR="003A5AB1">
        <w:t>The historical production of biogas</w:t>
      </w:r>
      <w:r w:rsidR="0053564B">
        <w:t xml:space="preserve"> is shown </w:t>
      </w:r>
      <w:r w:rsidR="003A5AB1">
        <w:t>in</w:t>
      </w:r>
      <w:r w:rsidR="00F46640">
        <w:rPr>
          <w:b/>
        </w:rPr>
        <w:t xml:space="preserve"> </w:t>
      </w:r>
      <w:r w:rsidR="00F46640" w:rsidRPr="00F46640">
        <w:rPr>
          <w:b/>
          <w:bCs/>
        </w:rPr>
        <w:fldChar w:fldCharType="begin"/>
      </w:r>
      <w:r w:rsidR="00F46640" w:rsidRPr="00F46640">
        <w:rPr>
          <w:b/>
          <w:bCs/>
        </w:rPr>
        <w:instrText xml:space="preserve"> REF _Ref104732802 \h  \* MERGEFORMAT </w:instrText>
      </w:r>
      <w:r w:rsidR="00F46640" w:rsidRPr="00F46640">
        <w:rPr>
          <w:b/>
          <w:bCs/>
        </w:rPr>
      </w:r>
      <w:r w:rsidR="00F46640" w:rsidRPr="00F46640">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4</w:t>
      </w:r>
      <w:r w:rsidR="00F46640" w:rsidRPr="00F46640">
        <w:rPr>
          <w:b/>
          <w:bCs/>
        </w:rPr>
        <w:fldChar w:fldCharType="end"/>
      </w:r>
      <w:r w:rsidR="003A5AB1">
        <w:t>.</w:t>
      </w:r>
    </w:p>
    <w:p w14:paraId="42E47B18" w14:textId="2A2FB59D" w:rsidR="003A5AB1" w:rsidRDefault="003A5AB1" w:rsidP="00BA7E2E">
      <w:pPr>
        <w:pStyle w:val="Bijschrift"/>
        <w:spacing w:after="0"/>
        <w:rPr>
          <w:vertAlign w:val="superscript"/>
        </w:rPr>
      </w:pPr>
      <w:bookmarkStart w:id="26" w:name="_Ref103366835"/>
      <w:bookmarkStart w:id="27" w:name="_Ref104732802"/>
      <w:r>
        <w:t>Figure</w:t>
      </w:r>
      <w:r w:rsidR="00DC4CE9">
        <w:t xml:space="preserve"> </w:t>
      </w:r>
      <w:bookmarkEnd w:id="26"/>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4</w:t>
      </w:r>
      <w:r w:rsidR="006D12F8">
        <w:rPr>
          <w:noProof/>
        </w:rPr>
        <w:fldChar w:fldCharType="end"/>
      </w:r>
      <w:bookmarkEnd w:id="27"/>
      <w:r>
        <w:t>. Biogas</w:t>
      </w:r>
      <w:r w:rsidR="001C714D">
        <w:t xml:space="preserve"> p</w:t>
      </w:r>
      <w:r>
        <w:t xml:space="preserve">roduction in </w:t>
      </w:r>
      <w:r w:rsidR="000B644A">
        <w:t>Latvia</w:t>
      </w:r>
      <w:r w:rsidRPr="005C1761">
        <w:rPr>
          <w:vertAlign w:val="superscript"/>
        </w:rPr>
        <w:fldChar w:fldCharType="begin"/>
      </w:r>
      <w:r w:rsidRPr="005C1761">
        <w:rPr>
          <w:vertAlign w:val="superscript"/>
        </w:rPr>
        <w:instrText xml:space="preserve"> NOTEREF _Ref103361921 \h </w:instrText>
      </w:r>
      <w:r>
        <w:rPr>
          <w:vertAlign w:val="superscript"/>
        </w:rPr>
        <w:instrText xml:space="preserve"> \* MERGEFORMAT </w:instrText>
      </w:r>
      <w:r w:rsidRPr="005C1761">
        <w:rPr>
          <w:vertAlign w:val="superscript"/>
        </w:rPr>
      </w:r>
      <w:r w:rsidRPr="005C1761">
        <w:rPr>
          <w:vertAlign w:val="superscript"/>
        </w:rPr>
        <w:fldChar w:fldCharType="separate"/>
      </w:r>
      <w:r w:rsidR="00265258">
        <w:rPr>
          <w:vertAlign w:val="superscript"/>
        </w:rPr>
        <w:t>4</w:t>
      </w:r>
      <w:r w:rsidRPr="005C1761">
        <w:rPr>
          <w:vertAlign w:val="superscript"/>
        </w:rPr>
        <w:fldChar w:fldCharType="end"/>
      </w:r>
    </w:p>
    <w:p w14:paraId="3D6B2933" w14:textId="3E1C44D0" w:rsidR="003A5AB1" w:rsidRDefault="00166907" w:rsidP="00BA7E2E">
      <w:pPr>
        <w:spacing w:line="240" w:lineRule="auto"/>
        <w:jc w:val="center"/>
      </w:pPr>
      <w:r>
        <w:rPr>
          <w:noProof/>
        </w:rPr>
        <w:drawing>
          <wp:inline distT="0" distB="0" distL="0" distR="0" wp14:anchorId="5D88C803" wp14:editId="2C34A940">
            <wp:extent cx="3529965" cy="2137144"/>
            <wp:effectExtent l="0" t="0" r="0" b="0"/>
            <wp:docPr id="61" name="Chart 61">
              <a:extLst xmlns:a="http://schemas.openxmlformats.org/drawingml/2006/main">
                <a:ext uri="{FF2B5EF4-FFF2-40B4-BE49-F238E27FC236}">
                  <a16:creationId xmlns:a16="http://schemas.microsoft.com/office/drawing/2014/main" id="{9926E092-A6F8-A587-E826-7BFEDB547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331905" w14:textId="32624250" w:rsidR="00EA4177" w:rsidRDefault="00EA4177" w:rsidP="0010270A">
      <w:pPr>
        <w:pStyle w:val="Kop5"/>
      </w:pPr>
      <w:r w:rsidRPr="000321C2">
        <w:t>Lithuania</w:t>
      </w:r>
    </w:p>
    <w:p w14:paraId="78803A9E" w14:textId="4307A7B9" w:rsidR="00EA4177" w:rsidRPr="000321C2" w:rsidRDefault="00EA4177" w:rsidP="00EA4177">
      <w:pPr>
        <w:rPr>
          <w:b/>
          <w:color w:val="002C30"/>
        </w:rPr>
      </w:pPr>
      <w:r w:rsidRPr="000321C2">
        <w:rPr>
          <w:b/>
          <w:color w:val="002C30"/>
        </w:rPr>
        <w:t>Natural Gas</w:t>
      </w:r>
    </w:p>
    <w:p w14:paraId="5D1C58DA" w14:textId="326E953D" w:rsidR="00EA4177" w:rsidRPr="00F15752" w:rsidRDefault="00F15752" w:rsidP="00C67E85">
      <w:pPr>
        <w:spacing w:after="240"/>
        <w:jc w:val="both"/>
        <w:rPr>
          <w:color w:val="000000" w:themeColor="text1"/>
        </w:rPr>
      </w:pPr>
      <w:r>
        <w:rPr>
          <w:color w:val="000000" w:themeColor="text1"/>
        </w:rPr>
        <w:t>Natural gas consumption in L</w:t>
      </w:r>
      <w:r w:rsidR="00B33F13">
        <w:rPr>
          <w:color w:val="000000" w:themeColor="text1"/>
        </w:rPr>
        <w:t>ithuania</w:t>
      </w:r>
      <w:r>
        <w:rPr>
          <w:color w:val="000000" w:themeColor="text1"/>
        </w:rPr>
        <w:t xml:space="preserve"> has </w:t>
      </w:r>
      <w:r w:rsidR="002D33A2">
        <w:rPr>
          <w:color w:val="000000" w:themeColor="text1"/>
        </w:rPr>
        <w:t>decreased</w:t>
      </w:r>
      <w:r>
        <w:rPr>
          <w:color w:val="000000" w:themeColor="text1"/>
        </w:rPr>
        <w:t xml:space="preserve"> from </w:t>
      </w:r>
      <w:r w:rsidR="00B226B2">
        <w:rPr>
          <w:color w:val="000000" w:themeColor="text1"/>
        </w:rPr>
        <w:t>26</w:t>
      </w:r>
      <w:r w:rsidR="00396CDD">
        <w:rPr>
          <w:color w:val="000000" w:themeColor="text1"/>
        </w:rPr>
        <w:t>.3</w:t>
      </w:r>
      <w:r>
        <w:rPr>
          <w:color w:val="000000" w:themeColor="text1"/>
        </w:rPr>
        <w:t xml:space="preserve"> TWh in 2015 to </w:t>
      </w:r>
      <w:r w:rsidR="007B3965">
        <w:rPr>
          <w:color w:val="000000" w:themeColor="text1"/>
        </w:rPr>
        <w:t>24.</w:t>
      </w:r>
      <w:r w:rsidR="00395CA1">
        <w:rPr>
          <w:color w:val="000000" w:themeColor="text1"/>
        </w:rPr>
        <w:t>27</w:t>
      </w:r>
      <w:r>
        <w:rPr>
          <w:color w:val="000000" w:themeColor="text1"/>
        </w:rPr>
        <w:t xml:space="preserve"> TWh in 20</w:t>
      </w:r>
      <w:r w:rsidR="00395CA1">
        <w:rPr>
          <w:color w:val="000000" w:themeColor="text1"/>
        </w:rPr>
        <w:t>21</w:t>
      </w:r>
      <w:r>
        <w:rPr>
          <w:color w:val="000000" w:themeColor="text1"/>
        </w:rPr>
        <w:t>. The largest NG consumer in L</w:t>
      </w:r>
      <w:r w:rsidR="00B33F13">
        <w:rPr>
          <w:color w:val="000000" w:themeColor="text1"/>
        </w:rPr>
        <w:t>ithuania</w:t>
      </w:r>
      <w:r>
        <w:rPr>
          <w:color w:val="000000" w:themeColor="text1"/>
        </w:rPr>
        <w:t xml:space="preserve"> is </w:t>
      </w:r>
      <w:r w:rsidR="009A6FC2">
        <w:rPr>
          <w:color w:val="000000" w:themeColor="text1"/>
        </w:rPr>
        <w:t>the non-energy</w:t>
      </w:r>
      <w:r>
        <w:rPr>
          <w:color w:val="000000" w:themeColor="text1"/>
        </w:rPr>
        <w:t xml:space="preserve"> sector </w:t>
      </w:r>
      <w:r w:rsidR="0013317A">
        <w:rPr>
          <w:color w:val="000000" w:themeColor="text1"/>
        </w:rPr>
        <w:t>(</w:t>
      </w:r>
      <w:r w:rsidR="0053564B">
        <w:rPr>
          <w:color w:val="000000" w:themeColor="text1"/>
        </w:rPr>
        <w:t xml:space="preserve">used as </w:t>
      </w:r>
      <w:r w:rsidR="0013317A">
        <w:rPr>
          <w:color w:val="000000" w:themeColor="text1"/>
        </w:rPr>
        <w:t xml:space="preserve">feedstock </w:t>
      </w:r>
      <w:r w:rsidR="0053564B">
        <w:rPr>
          <w:color w:val="000000" w:themeColor="text1"/>
        </w:rPr>
        <w:t xml:space="preserve">for </w:t>
      </w:r>
      <w:r w:rsidR="0013317A">
        <w:rPr>
          <w:color w:val="000000" w:themeColor="text1"/>
        </w:rPr>
        <w:t xml:space="preserve">fertilizer </w:t>
      </w:r>
      <w:r w:rsidR="0053564B">
        <w:rPr>
          <w:color w:val="000000" w:themeColor="text1"/>
        </w:rPr>
        <w:t xml:space="preserve">production </w:t>
      </w:r>
      <w:r w:rsidR="0013317A">
        <w:rPr>
          <w:color w:val="000000" w:themeColor="text1"/>
        </w:rPr>
        <w:t xml:space="preserve">and </w:t>
      </w:r>
      <w:r w:rsidR="0053564B">
        <w:rPr>
          <w:color w:val="000000" w:themeColor="text1"/>
        </w:rPr>
        <w:t xml:space="preserve">in </w:t>
      </w:r>
      <w:r w:rsidR="0013317A">
        <w:rPr>
          <w:color w:val="000000" w:themeColor="text1"/>
        </w:rPr>
        <w:t>refinery</w:t>
      </w:r>
      <w:r w:rsidR="0053564B">
        <w:rPr>
          <w:color w:val="000000" w:themeColor="text1"/>
        </w:rPr>
        <w:t xml:space="preserve"> processes</w:t>
      </w:r>
      <w:r w:rsidR="0013317A">
        <w:rPr>
          <w:color w:val="000000" w:themeColor="text1"/>
        </w:rPr>
        <w:t>)</w:t>
      </w:r>
      <w:r>
        <w:rPr>
          <w:color w:val="000000" w:themeColor="text1"/>
        </w:rPr>
        <w:t xml:space="preserve"> followed by </w:t>
      </w:r>
      <w:r w:rsidR="0053564B">
        <w:rPr>
          <w:color w:val="000000" w:themeColor="text1"/>
        </w:rPr>
        <w:t>the e</w:t>
      </w:r>
      <w:r w:rsidR="001D70ED">
        <w:rPr>
          <w:color w:val="000000" w:themeColor="text1"/>
        </w:rPr>
        <w:t>lectricity production</w:t>
      </w:r>
      <w:r w:rsidR="00C9689B">
        <w:rPr>
          <w:color w:val="000000" w:themeColor="text1"/>
        </w:rPr>
        <w:t xml:space="preserve">, </w:t>
      </w:r>
      <w:r w:rsidR="0073794B">
        <w:rPr>
          <w:color w:val="000000" w:themeColor="text1"/>
        </w:rPr>
        <w:t xml:space="preserve">energy use in </w:t>
      </w:r>
      <w:r w:rsidR="00C9689B">
        <w:rPr>
          <w:color w:val="000000" w:themeColor="text1"/>
        </w:rPr>
        <w:t>industry</w:t>
      </w:r>
      <w:r w:rsidR="007F4A67">
        <w:rPr>
          <w:color w:val="000000" w:themeColor="text1"/>
        </w:rPr>
        <w:t>, and</w:t>
      </w:r>
      <w:r>
        <w:rPr>
          <w:color w:val="000000" w:themeColor="text1"/>
        </w:rPr>
        <w:t xml:space="preserve"> buildings</w:t>
      </w:r>
      <w:r w:rsidR="0053564B">
        <w:rPr>
          <w:color w:val="000000" w:themeColor="text1"/>
        </w:rPr>
        <w:t xml:space="preserve"> sector</w:t>
      </w:r>
      <w:r>
        <w:rPr>
          <w:color w:val="000000" w:themeColor="text1"/>
        </w:rPr>
        <w:t xml:space="preserve"> (residential, commercial, and services)</w:t>
      </w:r>
      <w:r w:rsidR="0053564B">
        <w:rPr>
          <w:color w:val="000000" w:themeColor="text1"/>
        </w:rPr>
        <w:t>, w</w:t>
      </w:r>
      <w:r>
        <w:rPr>
          <w:color w:val="000000" w:themeColor="text1"/>
        </w:rPr>
        <w:t>hereas agricultur</w:t>
      </w:r>
      <w:r w:rsidR="0053564B">
        <w:rPr>
          <w:color w:val="000000" w:themeColor="text1"/>
        </w:rPr>
        <w:t>e</w:t>
      </w:r>
      <w:r>
        <w:rPr>
          <w:color w:val="000000" w:themeColor="text1"/>
        </w:rPr>
        <w:t xml:space="preserve">/forestry and transport </w:t>
      </w:r>
      <w:r w:rsidR="0053564B">
        <w:rPr>
          <w:color w:val="000000" w:themeColor="text1"/>
        </w:rPr>
        <w:t>only use small volumes</w:t>
      </w:r>
      <w:r>
        <w:rPr>
          <w:color w:val="000000" w:themeColor="text1"/>
        </w:rPr>
        <w:t xml:space="preserve"> (</w:t>
      </w:r>
      <w:r w:rsidR="006D2C54">
        <w:rPr>
          <w:color w:val="000000" w:themeColor="text1"/>
        </w:rPr>
        <w:t>267</w:t>
      </w:r>
      <w:r>
        <w:rPr>
          <w:color w:val="000000" w:themeColor="text1"/>
        </w:rPr>
        <w:t xml:space="preserve"> GWh and </w:t>
      </w:r>
      <w:r w:rsidR="004042A1">
        <w:rPr>
          <w:color w:val="000000" w:themeColor="text1"/>
        </w:rPr>
        <w:t>341</w:t>
      </w:r>
      <w:r>
        <w:rPr>
          <w:color w:val="000000" w:themeColor="text1"/>
        </w:rPr>
        <w:t xml:space="preserve"> GWh in 2019 respectively). </w:t>
      </w:r>
      <w:r w:rsidR="007D496D">
        <w:rPr>
          <w:color w:val="000000" w:themeColor="text1"/>
        </w:rPr>
        <w:t>Sectoral</w:t>
      </w:r>
      <w:r w:rsidR="0053564B">
        <w:rPr>
          <w:color w:val="000000" w:themeColor="text1"/>
        </w:rPr>
        <w:t xml:space="preserve"> n</w:t>
      </w:r>
      <w:r>
        <w:rPr>
          <w:color w:val="000000" w:themeColor="text1"/>
        </w:rPr>
        <w:t>atural gas consumption profile</w:t>
      </w:r>
      <w:r w:rsidR="00F86E49">
        <w:rPr>
          <w:color w:val="000000" w:themeColor="text1"/>
        </w:rPr>
        <w:t xml:space="preserve"> (2015-2019)</w:t>
      </w:r>
      <w:r>
        <w:rPr>
          <w:color w:val="000000" w:themeColor="text1"/>
        </w:rPr>
        <w:t xml:space="preserve"> is shown in the</w:t>
      </w:r>
      <w:r w:rsidR="00F46640">
        <w:rPr>
          <w:b/>
          <w:color w:val="000000" w:themeColor="text1"/>
        </w:rPr>
        <w:t xml:space="preserve"> </w:t>
      </w:r>
      <w:r w:rsidR="00F46640" w:rsidRPr="00F46640">
        <w:rPr>
          <w:b/>
          <w:bCs/>
          <w:color w:val="000000" w:themeColor="text1"/>
        </w:rPr>
        <w:fldChar w:fldCharType="begin"/>
      </w:r>
      <w:r w:rsidR="00F46640" w:rsidRPr="00F46640">
        <w:rPr>
          <w:b/>
          <w:bCs/>
          <w:color w:val="000000" w:themeColor="text1"/>
        </w:rPr>
        <w:instrText xml:space="preserve"> REF _Ref104732821 \h  \* MERGEFORMAT </w:instrText>
      </w:r>
      <w:r w:rsidR="00F46640" w:rsidRPr="00F46640">
        <w:rPr>
          <w:b/>
          <w:bCs/>
          <w:color w:val="000000" w:themeColor="text1"/>
        </w:rPr>
      </w:r>
      <w:r w:rsidR="00F46640" w:rsidRPr="00F46640">
        <w:rPr>
          <w:b/>
          <w:bCs/>
          <w:color w:val="000000" w:themeColor="text1"/>
        </w:rPr>
        <w:fldChar w:fldCharType="separate"/>
      </w:r>
      <w:r w:rsidR="00265258" w:rsidRPr="000B0BFC">
        <w:rPr>
          <w:b/>
          <w:bCs/>
        </w:rPr>
        <w:t xml:space="preserve">Figure </w:t>
      </w:r>
      <w:r w:rsidR="00265258" w:rsidRPr="000B0BFC">
        <w:rPr>
          <w:b/>
          <w:bCs/>
          <w:noProof/>
        </w:rPr>
        <w:t>3</w:t>
      </w:r>
      <w:r w:rsidR="00265258" w:rsidRPr="000B0BFC">
        <w:rPr>
          <w:b/>
          <w:bCs/>
          <w:noProof/>
        </w:rPr>
        <w:noBreakHyphen/>
        <w:t>5</w:t>
      </w:r>
      <w:r w:rsidR="00F46640" w:rsidRPr="00F46640">
        <w:rPr>
          <w:b/>
          <w:bCs/>
          <w:color w:val="000000" w:themeColor="text1"/>
        </w:rPr>
        <w:fldChar w:fldCharType="end"/>
      </w:r>
      <w:r w:rsidR="00672343">
        <w:rPr>
          <w:color w:val="000000" w:themeColor="text1"/>
        </w:rPr>
        <w:t>.</w:t>
      </w:r>
    </w:p>
    <w:p w14:paraId="09678A2A" w14:textId="194AE5F3" w:rsidR="00EA4177" w:rsidRDefault="00EA4177" w:rsidP="008D3089">
      <w:pPr>
        <w:pStyle w:val="Bijschrift"/>
        <w:rPr>
          <w:color w:val="005962" w:themeColor="accent1"/>
          <w:vertAlign w:val="superscript"/>
        </w:rPr>
      </w:pPr>
      <w:bookmarkStart w:id="28" w:name="_Ref103367448"/>
      <w:bookmarkStart w:id="29" w:name="_Ref104732821"/>
      <w:r>
        <w:t>Figure</w:t>
      </w:r>
      <w:r w:rsidR="00F15752">
        <w:t xml:space="preserve"> </w:t>
      </w:r>
      <w:bookmarkEnd w:id="28"/>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w:instrText>
      </w:r>
      <w:r w:rsidR="006D12F8">
        <w:instrText xml:space="preserve">* ARABIC \s 1 </w:instrText>
      </w:r>
      <w:r w:rsidR="006D12F8">
        <w:fldChar w:fldCharType="separate"/>
      </w:r>
      <w:r w:rsidR="00265258">
        <w:rPr>
          <w:noProof/>
        </w:rPr>
        <w:t>5</w:t>
      </w:r>
      <w:r w:rsidR="006D12F8">
        <w:rPr>
          <w:noProof/>
        </w:rPr>
        <w:fldChar w:fldCharType="end"/>
      </w:r>
      <w:bookmarkEnd w:id="29"/>
      <w:r w:rsidRPr="00C2088B">
        <w:rPr>
          <w:color w:val="005962" w:themeColor="accent1"/>
        </w:rPr>
        <w:t xml:space="preserve">. </w:t>
      </w:r>
      <w:r w:rsidR="00C2088B" w:rsidRPr="00C2088B">
        <w:rPr>
          <w:color w:val="005962" w:themeColor="accent1"/>
        </w:rPr>
        <w:t>Natural gas consumption profile for Lithuania</w:t>
      </w:r>
      <w:r w:rsidR="002518E2" w:rsidRPr="002518E2">
        <w:rPr>
          <w:color w:val="005962" w:themeColor="accent1"/>
          <w:vertAlign w:val="superscript"/>
        </w:rPr>
        <w:fldChar w:fldCharType="begin"/>
      </w:r>
      <w:r w:rsidR="002518E2" w:rsidRPr="000B0BFC">
        <w:rPr>
          <w:color w:val="005962" w:themeColor="accent1"/>
          <w:vertAlign w:val="superscript"/>
        </w:rPr>
        <w:instrText xml:space="preserve"> NOTEREF _Ref113612543 \h </w:instrText>
      </w:r>
      <w:r w:rsidR="002518E2">
        <w:rPr>
          <w:color w:val="005962" w:themeColor="accent1"/>
          <w:vertAlign w:val="superscript"/>
        </w:rPr>
        <w:instrText xml:space="preserve"> \* MERGEFORMAT </w:instrText>
      </w:r>
      <w:r w:rsidR="002518E2" w:rsidRPr="002518E2">
        <w:rPr>
          <w:color w:val="005962" w:themeColor="accent1"/>
          <w:vertAlign w:val="superscript"/>
        </w:rPr>
      </w:r>
      <w:r w:rsidR="002518E2" w:rsidRPr="002518E2">
        <w:rPr>
          <w:color w:val="005962" w:themeColor="accent1"/>
          <w:vertAlign w:val="superscript"/>
        </w:rPr>
        <w:fldChar w:fldCharType="separate"/>
      </w:r>
      <w:r w:rsidR="00265258">
        <w:rPr>
          <w:color w:val="005962" w:themeColor="accent1"/>
          <w:vertAlign w:val="superscript"/>
        </w:rPr>
        <w:t>5</w:t>
      </w:r>
      <w:r w:rsidR="002518E2" w:rsidRPr="002518E2">
        <w:rPr>
          <w:color w:val="005962" w:themeColor="accent1"/>
          <w:vertAlign w:val="superscript"/>
        </w:rPr>
        <w:fldChar w:fldCharType="end"/>
      </w:r>
    </w:p>
    <w:p w14:paraId="58F15659" w14:textId="05693221" w:rsidR="00AE5EA0" w:rsidRDefault="00AE5EA0" w:rsidP="00AE5EA0">
      <w:pPr>
        <w:jc w:val="center"/>
      </w:pPr>
      <w:r>
        <w:rPr>
          <w:noProof/>
        </w:rPr>
        <w:drawing>
          <wp:inline distT="0" distB="0" distL="0" distR="0" wp14:anchorId="2FB4D53C" wp14:editId="4555D6B5">
            <wp:extent cx="3763925" cy="2402958"/>
            <wp:effectExtent l="0" t="0" r="8255" b="0"/>
            <wp:docPr id="62" name="Chart 62">
              <a:extLst xmlns:a="http://schemas.openxmlformats.org/drawingml/2006/main">
                <a:ext uri="{FF2B5EF4-FFF2-40B4-BE49-F238E27FC236}">
                  <a16:creationId xmlns:a16="http://schemas.microsoft.com/office/drawing/2014/main" id="{910DC7CC-5BBA-5F1E-A58C-CEB07B434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C4D6C4" w14:textId="7F231824" w:rsidR="00AE5EA0" w:rsidRPr="005F6D49" w:rsidRDefault="00AE5EA0" w:rsidP="00AE5EA0">
      <w:pPr>
        <w:rPr>
          <w:b/>
          <w:color w:val="002C30"/>
        </w:rPr>
      </w:pPr>
      <w:r w:rsidRPr="005F6D49">
        <w:rPr>
          <w:b/>
          <w:color w:val="002C30"/>
        </w:rPr>
        <w:t>Biogas/</w:t>
      </w:r>
      <w:r w:rsidR="00CC06A4">
        <w:rPr>
          <w:b/>
          <w:color w:val="002C30"/>
        </w:rPr>
        <w:t>b</w:t>
      </w:r>
      <w:r w:rsidRPr="005F6D49">
        <w:rPr>
          <w:b/>
          <w:color w:val="002C30"/>
        </w:rPr>
        <w:t>iomethane</w:t>
      </w:r>
    </w:p>
    <w:p w14:paraId="30A66168" w14:textId="47B27959" w:rsidR="00AE5EA0" w:rsidRDefault="00A77EA8" w:rsidP="00A67B6E">
      <w:pPr>
        <w:jc w:val="both"/>
      </w:pPr>
      <w:r w:rsidRPr="00A67B6E">
        <w:lastRenderedPageBreak/>
        <w:t xml:space="preserve">The biogas production </w:t>
      </w:r>
      <w:r>
        <w:t>was</w:t>
      </w:r>
      <w:r w:rsidRPr="00A67B6E">
        <w:t xml:space="preserve"> 390 GWh</w:t>
      </w:r>
      <w:r>
        <w:t xml:space="preserve"> in 2019</w:t>
      </w:r>
      <w:r w:rsidRPr="00A67B6E">
        <w:t>.</w:t>
      </w:r>
      <w:r w:rsidRPr="00EC4EB9">
        <w:rPr>
          <w:vertAlign w:val="superscript"/>
        </w:rPr>
        <w:fldChar w:fldCharType="begin"/>
      </w:r>
      <w:r w:rsidRPr="00EC4EB9">
        <w:rPr>
          <w:vertAlign w:val="superscript"/>
        </w:rPr>
        <w:instrText xml:space="preserve"> NOTEREF _Ref103361921 \h </w:instrText>
      </w:r>
      <w:r>
        <w:rPr>
          <w:vertAlign w:val="superscript"/>
        </w:rPr>
        <w:instrText xml:space="preserve"> \* MERGEFORMAT </w:instrText>
      </w:r>
      <w:r w:rsidRPr="00EC4EB9">
        <w:rPr>
          <w:vertAlign w:val="superscript"/>
        </w:rPr>
      </w:r>
      <w:r w:rsidRPr="00EC4EB9">
        <w:rPr>
          <w:vertAlign w:val="superscript"/>
        </w:rPr>
        <w:fldChar w:fldCharType="separate"/>
      </w:r>
      <w:r w:rsidR="00265258">
        <w:rPr>
          <w:vertAlign w:val="superscript"/>
        </w:rPr>
        <w:t>4</w:t>
      </w:r>
      <w:r w:rsidRPr="00EC4EB9">
        <w:rPr>
          <w:vertAlign w:val="superscript"/>
        </w:rPr>
        <w:fldChar w:fldCharType="end"/>
      </w:r>
      <w:r w:rsidRPr="00A67B6E">
        <w:t xml:space="preserve"> </w:t>
      </w:r>
      <w:r>
        <w:t xml:space="preserve"> </w:t>
      </w:r>
      <w:r w:rsidR="00A67B6E" w:rsidRPr="00A67B6E">
        <w:t xml:space="preserve">Till 2020, </w:t>
      </w:r>
      <w:r w:rsidR="00D53839">
        <w:t xml:space="preserve">biomethane was </w:t>
      </w:r>
      <w:r w:rsidR="00D53839" w:rsidRPr="00A67B6E">
        <w:t xml:space="preserve">in Lithuania </w:t>
      </w:r>
      <w:r w:rsidR="00A67B6E" w:rsidRPr="00A67B6E">
        <w:t>no</w:t>
      </w:r>
      <w:r w:rsidR="00D53839">
        <w:t>t</w:t>
      </w:r>
      <w:r w:rsidR="00A67B6E" w:rsidRPr="00A67B6E">
        <w:t xml:space="preserve"> used as biofuel for transportation. </w:t>
      </w:r>
      <w:r w:rsidR="00F21FE6">
        <w:t xml:space="preserve">Currently there is no biomethane injection in the natural gas network. </w:t>
      </w:r>
      <w:r w:rsidR="00A67B6E" w:rsidRPr="00A67B6E">
        <w:t xml:space="preserve">There are </w:t>
      </w:r>
      <w:r w:rsidR="00CC06A4">
        <w:t xml:space="preserve">at present </w:t>
      </w:r>
      <w:r w:rsidR="00A67B6E" w:rsidRPr="00A67B6E">
        <w:t xml:space="preserve">no restrictions </w:t>
      </w:r>
      <w:r w:rsidR="00D53839">
        <w:t xml:space="preserve">or specific </w:t>
      </w:r>
      <w:r w:rsidR="00A67B6E" w:rsidRPr="00A67B6E">
        <w:t xml:space="preserve">standards for </w:t>
      </w:r>
      <w:r w:rsidR="00D53839">
        <w:t xml:space="preserve">injecting </w:t>
      </w:r>
      <w:r w:rsidR="00A67B6E" w:rsidRPr="00A67B6E">
        <w:t xml:space="preserve">biomethane </w:t>
      </w:r>
      <w:r w:rsidR="00D53839">
        <w:t xml:space="preserve">into the </w:t>
      </w:r>
      <w:r w:rsidR="00A67B6E" w:rsidRPr="00A67B6E">
        <w:t>natural gas</w:t>
      </w:r>
      <w:r w:rsidR="00D53839">
        <w:t xml:space="preserve"> network, but i</w:t>
      </w:r>
      <w:r w:rsidR="00A67B6E" w:rsidRPr="00A67B6E">
        <w:t xml:space="preserve">f biomethane </w:t>
      </w:r>
      <w:r w:rsidR="00797892">
        <w:t>would be</w:t>
      </w:r>
      <w:r w:rsidR="00A67B6E" w:rsidRPr="00A67B6E">
        <w:t xml:space="preserve"> injected into the grid, </w:t>
      </w:r>
      <w:r w:rsidR="00D53839">
        <w:t>it must be</w:t>
      </w:r>
      <w:r w:rsidR="00A67B6E" w:rsidRPr="00A67B6E">
        <w:t xml:space="preserve"> </w:t>
      </w:r>
      <w:r w:rsidR="00797892">
        <w:t xml:space="preserve">made </w:t>
      </w:r>
      <w:r w:rsidR="00A67B6E" w:rsidRPr="00A67B6E">
        <w:t xml:space="preserve">compatible with </w:t>
      </w:r>
      <w:r w:rsidR="00D53839">
        <w:t xml:space="preserve">the natural </w:t>
      </w:r>
      <w:r w:rsidR="00A67B6E" w:rsidRPr="00A67B6E">
        <w:t xml:space="preserve">gas quality </w:t>
      </w:r>
      <w:r w:rsidR="00CC06A4">
        <w:t>specifications</w:t>
      </w:r>
      <w:r w:rsidR="00A67B6E" w:rsidRPr="00A67B6E">
        <w:t>.</w:t>
      </w:r>
      <w:r w:rsidR="00DE546A">
        <w:t xml:space="preserve"> </w:t>
      </w:r>
    </w:p>
    <w:p w14:paraId="57ACA855" w14:textId="6BE6C448" w:rsidR="00B856C4" w:rsidRPr="00E865FB" w:rsidRDefault="00A566F5" w:rsidP="00E865FB">
      <w:pPr>
        <w:spacing w:before="120"/>
        <w:rPr>
          <w:b/>
          <w:color w:val="002C30"/>
        </w:rPr>
      </w:pPr>
      <w:r w:rsidRPr="00E865FB">
        <w:rPr>
          <w:b/>
          <w:color w:val="002C30"/>
        </w:rPr>
        <w:t>H</w:t>
      </w:r>
      <w:r w:rsidR="00CF708A" w:rsidRPr="00E865FB">
        <w:rPr>
          <w:b/>
          <w:color w:val="002C30"/>
        </w:rPr>
        <w:t>ydrogen</w:t>
      </w:r>
    </w:p>
    <w:p w14:paraId="7AE28BFD" w14:textId="29EB14A7" w:rsidR="00EF60C9" w:rsidRDefault="00A56BB7" w:rsidP="008A693E">
      <w:pPr>
        <w:spacing w:after="120"/>
        <w:jc w:val="both"/>
      </w:pPr>
      <w:r>
        <w:t xml:space="preserve">Currently, hydrogen is produced in Lithuania </w:t>
      </w:r>
      <w:r w:rsidR="00EB1874">
        <w:t xml:space="preserve">for use </w:t>
      </w:r>
      <w:r>
        <w:t xml:space="preserve">as feedstock to produce fertilizers and in </w:t>
      </w:r>
      <w:r w:rsidR="00EB1874">
        <w:t>an</w:t>
      </w:r>
      <w:r>
        <w:t xml:space="preserve"> oil refinery. Small quantities of hydrogen are produced for blending with natural gas to fuel natural gas-powered public buses. Hydrogen is </w:t>
      </w:r>
      <w:r w:rsidR="00EB1874">
        <w:t xml:space="preserve">in general </w:t>
      </w:r>
      <w:r>
        <w:t xml:space="preserve">produced from fossil fuel </w:t>
      </w:r>
      <w:r w:rsidR="00EB1874">
        <w:t xml:space="preserve">(Steam Methane Reform) </w:t>
      </w:r>
      <w:r>
        <w:t>without carbon capture</w:t>
      </w:r>
      <w:r>
        <w:rPr>
          <w:rStyle w:val="Voetnootmarkering"/>
        </w:rPr>
        <w:footnoteReference w:id="8"/>
      </w:r>
      <w:r>
        <w:t>. Achema is the largest hydrogen</w:t>
      </w:r>
      <w:r w:rsidR="00EB1874">
        <w:t xml:space="preserve"> </w:t>
      </w:r>
      <w:r>
        <w:t>produc</w:t>
      </w:r>
      <w:r w:rsidR="00EB1874">
        <w:t>er</w:t>
      </w:r>
      <w:r>
        <w:t xml:space="preserve"> in the Baltic States</w:t>
      </w:r>
      <w:r w:rsidR="00CC06A4">
        <w:t>; it</w:t>
      </w:r>
      <w:r>
        <w:t xml:space="preserve"> uses it as feedstock to produce fertilizers. Achema has two steam methane reforming (SMR) facilities and produced 5.9 TWh of hydrogen in 2020</w:t>
      </w:r>
      <w:r w:rsidR="00C0335A" w:rsidRPr="00C0335A">
        <w:rPr>
          <w:vertAlign w:val="superscript"/>
        </w:rPr>
        <w:fldChar w:fldCharType="begin"/>
      </w:r>
      <w:r w:rsidR="00C0335A" w:rsidRPr="00C0335A">
        <w:rPr>
          <w:vertAlign w:val="superscript"/>
        </w:rPr>
        <w:instrText xml:space="preserve"> NOTEREF _Ref103362918 \h </w:instrText>
      </w:r>
      <w:r w:rsidR="00C0335A">
        <w:rPr>
          <w:vertAlign w:val="superscript"/>
        </w:rPr>
        <w:instrText xml:space="preserve"> \* MERGEFORMAT </w:instrText>
      </w:r>
      <w:r w:rsidR="00C0335A" w:rsidRPr="00C0335A">
        <w:rPr>
          <w:vertAlign w:val="superscript"/>
        </w:rPr>
      </w:r>
      <w:r w:rsidR="00C0335A" w:rsidRPr="00C0335A">
        <w:rPr>
          <w:vertAlign w:val="superscript"/>
        </w:rPr>
        <w:fldChar w:fldCharType="separate"/>
      </w:r>
      <w:r w:rsidR="00265258">
        <w:rPr>
          <w:vertAlign w:val="superscript"/>
        </w:rPr>
        <w:t>6</w:t>
      </w:r>
      <w:r w:rsidR="00C0335A" w:rsidRPr="00C0335A">
        <w:rPr>
          <w:vertAlign w:val="superscript"/>
        </w:rPr>
        <w:fldChar w:fldCharType="end"/>
      </w:r>
      <w:r>
        <w:t xml:space="preserve">. The other major hydrogen producer is </w:t>
      </w:r>
      <w:proofErr w:type="spellStart"/>
      <w:r>
        <w:t>Orlen</w:t>
      </w:r>
      <w:proofErr w:type="spellEnd"/>
      <w:r>
        <w:t xml:space="preserve"> </w:t>
      </w:r>
      <w:proofErr w:type="spellStart"/>
      <w:r>
        <w:t>Lietuva</w:t>
      </w:r>
      <w:proofErr w:type="spellEnd"/>
      <w:r>
        <w:t xml:space="preserve">, which </w:t>
      </w:r>
      <w:r w:rsidR="00EF60C9">
        <w:t xml:space="preserve">operates </w:t>
      </w:r>
      <w:r>
        <w:t xml:space="preserve">an advanced and the only oil refinery in the Baltic States. It has two units for hydrogen production. </w:t>
      </w:r>
    </w:p>
    <w:p w14:paraId="70BEE890" w14:textId="72D1EF9F" w:rsidR="00B856C4" w:rsidRPr="00B856C4" w:rsidRDefault="00B856C4" w:rsidP="0010270A">
      <w:pPr>
        <w:pStyle w:val="Kop5"/>
      </w:pPr>
      <w:r w:rsidRPr="00BE1D7F">
        <w:t>Finland</w:t>
      </w:r>
    </w:p>
    <w:p w14:paraId="65C0A75E" w14:textId="5BCB4B8C" w:rsidR="00B856C4" w:rsidRPr="00BE1D7F" w:rsidRDefault="00B856C4" w:rsidP="00BE1D7F">
      <w:pPr>
        <w:rPr>
          <w:b/>
          <w:color w:val="002C30"/>
        </w:rPr>
      </w:pPr>
      <w:r w:rsidRPr="00BE1D7F">
        <w:rPr>
          <w:b/>
          <w:color w:val="002C30"/>
        </w:rPr>
        <w:t>Natural Gas</w:t>
      </w:r>
    </w:p>
    <w:p w14:paraId="582A5A21" w14:textId="33E7F669" w:rsidR="00825317" w:rsidRDefault="00064B52" w:rsidP="00064B52">
      <w:pPr>
        <w:spacing w:after="240"/>
        <w:jc w:val="both"/>
        <w:rPr>
          <w:b/>
          <w:bCs/>
          <w:color w:val="F04E30" w:themeColor="accent2"/>
        </w:rPr>
      </w:pPr>
      <w:r>
        <w:rPr>
          <w:color w:val="000000" w:themeColor="text1"/>
        </w:rPr>
        <w:t xml:space="preserve">Natural gas consumption in </w:t>
      </w:r>
      <w:r w:rsidR="00B33F13">
        <w:rPr>
          <w:color w:val="000000" w:themeColor="text1"/>
        </w:rPr>
        <w:t>Finland</w:t>
      </w:r>
      <w:r>
        <w:rPr>
          <w:color w:val="000000" w:themeColor="text1"/>
        </w:rPr>
        <w:t xml:space="preserve"> has decreased from 2</w:t>
      </w:r>
      <w:r w:rsidR="00C85701">
        <w:rPr>
          <w:color w:val="000000" w:themeColor="text1"/>
        </w:rPr>
        <w:t>8.9</w:t>
      </w:r>
      <w:r>
        <w:rPr>
          <w:color w:val="000000" w:themeColor="text1"/>
        </w:rPr>
        <w:t xml:space="preserve"> TWh in 2015 to 2</w:t>
      </w:r>
      <w:r w:rsidR="00945D95">
        <w:rPr>
          <w:color w:val="000000" w:themeColor="text1"/>
        </w:rPr>
        <w:t>5.076</w:t>
      </w:r>
      <w:r>
        <w:rPr>
          <w:color w:val="000000" w:themeColor="text1"/>
        </w:rPr>
        <w:t xml:space="preserve"> TWh in 20</w:t>
      </w:r>
      <w:r w:rsidR="00945D95">
        <w:rPr>
          <w:color w:val="000000" w:themeColor="text1"/>
        </w:rPr>
        <w:t>21</w:t>
      </w:r>
      <w:r>
        <w:rPr>
          <w:color w:val="000000" w:themeColor="text1"/>
        </w:rPr>
        <w:t xml:space="preserve">. The largest NG consumer in </w:t>
      </w:r>
      <w:r w:rsidR="00C56017">
        <w:rPr>
          <w:color w:val="000000" w:themeColor="text1"/>
        </w:rPr>
        <w:t>Finland</w:t>
      </w:r>
      <w:r>
        <w:rPr>
          <w:color w:val="000000" w:themeColor="text1"/>
        </w:rPr>
        <w:t xml:space="preserve"> is the </w:t>
      </w:r>
      <w:r w:rsidR="00855D22">
        <w:rPr>
          <w:color w:val="000000" w:themeColor="text1"/>
        </w:rPr>
        <w:t xml:space="preserve">electricity production sector </w:t>
      </w:r>
      <w:r>
        <w:rPr>
          <w:color w:val="000000" w:themeColor="text1"/>
        </w:rPr>
        <w:t>followed by industry</w:t>
      </w:r>
      <w:r w:rsidR="00EF60C9">
        <w:rPr>
          <w:color w:val="000000" w:themeColor="text1"/>
        </w:rPr>
        <w:t>, w</w:t>
      </w:r>
      <w:r>
        <w:rPr>
          <w:color w:val="000000" w:themeColor="text1"/>
        </w:rPr>
        <w:t xml:space="preserve">hereas </w:t>
      </w:r>
      <w:r w:rsidR="00EF60C9">
        <w:rPr>
          <w:color w:val="000000" w:themeColor="text1"/>
        </w:rPr>
        <w:t xml:space="preserve">the </w:t>
      </w:r>
      <w:r>
        <w:rPr>
          <w:color w:val="000000" w:themeColor="text1"/>
        </w:rPr>
        <w:t>non-energy sector (refinery</w:t>
      </w:r>
      <w:r w:rsidR="001279C1">
        <w:rPr>
          <w:color w:val="000000" w:themeColor="text1"/>
        </w:rPr>
        <w:t>),</w:t>
      </w:r>
      <w:r>
        <w:rPr>
          <w:color w:val="000000" w:themeColor="text1"/>
        </w:rPr>
        <w:t xml:space="preserve"> agricultur</w:t>
      </w:r>
      <w:r w:rsidR="00EF60C9">
        <w:rPr>
          <w:color w:val="000000" w:themeColor="text1"/>
        </w:rPr>
        <w:t>e</w:t>
      </w:r>
      <w:r>
        <w:rPr>
          <w:color w:val="000000" w:themeColor="text1"/>
        </w:rPr>
        <w:t>/forestry</w:t>
      </w:r>
      <w:r w:rsidR="00A1306F">
        <w:rPr>
          <w:color w:val="000000" w:themeColor="text1"/>
        </w:rPr>
        <w:t>, buildings,</w:t>
      </w:r>
      <w:r>
        <w:rPr>
          <w:color w:val="000000" w:themeColor="text1"/>
        </w:rPr>
        <w:t xml:space="preserve"> and transport </w:t>
      </w:r>
      <w:r w:rsidR="00EF60C9">
        <w:rPr>
          <w:color w:val="000000" w:themeColor="text1"/>
        </w:rPr>
        <w:t xml:space="preserve">only consume </w:t>
      </w:r>
      <w:r w:rsidR="008B75BE">
        <w:rPr>
          <w:color w:val="000000" w:themeColor="text1"/>
        </w:rPr>
        <w:t xml:space="preserve">very </w:t>
      </w:r>
      <w:r w:rsidR="002F42A5">
        <w:rPr>
          <w:color w:val="000000" w:themeColor="text1"/>
        </w:rPr>
        <w:t>small</w:t>
      </w:r>
      <w:r>
        <w:rPr>
          <w:color w:val="000000" w:themeColor="text1"/>
        </w:rPr>
        <w:t xml:space="preserve"> NG </w:t>
      </w:r>
      <w:r w:rsidR="00EF60C9">
        <w:rPr>
          <w:color w:val="000000" w:themeColor="text1"/>
        </w:rPr>
        <w:t>volumes</w:t>
      </w:r>
      <w:r>
        <w:rPr>
          <w:color w:val="000000" w:themeColor="text1"/>
        </w:rPr>
        <w:t xml:space="preserve"> (</w:t>
      </w:r>
      <w:r w:rsidR="007525F7">
        <w:rPr>
          <w:color w:val="000000" w:themeColor="text1"/>
        </w:rPr>
        <w:t>771</w:t>
      </w:r>
      <w:r>
        <w:rPr>
          <w:color w:val="000000" w:themeColor="text1"/>
        </w:rPr>
        <w:t xml:space="preserve"> GWh</w:t>
      </w:r>
      <w:r w:rsidR="00BB3A0C">
        <w:rPr>
          <w:color w:val="000000" w:themeColor="text1"/>
        </w:rPr>
        <w:t xml:space="preserve">, </w:t>
      </w:r>
      <w:r w:rsidR="00A36424">
        <w:rPr>
          <w:color w:val="000000" w:themeColor="text1"/>
        </w:rPr>
        <w:t>13</w:t>
      </w:r>
      <w:r>
        <w:rPr>
          <w:color w:val="000000" w:themeColor="text1"/>
        </w:rPr>
        <w:t xml:space="preserve"> GWh</w:t>
      </w:r>
      <w:r w:rsidR="00A36424">
        <w:rPr>
          <w:color w:val="000000" w:themeColor="text1"/>
        </w:rPr>
        <w:t xml:space="preserve">, </w:t>
      </w:r>
      <w:r w:rsidR="0097318C">
        <w:rPr>
          <w:color w:val="000000" w:themeColor="text1"/>
        </w:rPr>
        <w:t>6</w:t>
      </w:r>
      <w:r w:rsidR="00F8150A">
        <w:rPr>
          <w:color w:val="000000" w:themeColor="text1"/>
        </w:rPr>
        <w:t>95</w:t>
      </w:r>
      <w:r w:rsidR="0097318C">
        <w:rPr>
          <w:color w:val="000000" w:themeColor="text1"/>
        </w:rPr>
        <w:t xml:space="preserve"> GWh</w:t>
      </w:r>
      <w:r w:rsidR="002A36E4">
        <w:rPr>
          <w:color w:val="000000" w:themeColor="text1"/>
        </w:rPr>
        <w:t xml:space="preserve">, </w:t>
      </w:r>
      <w:r w:rsidR="000A5C72">
        <w:rPr>
          <w:color w:val="000000" w:themeColor="text1"/>
        </w:rPr>
        <w:t xml:space="preserve">and </w:t>
      </w:r>
      <w:r w:rsidR="00F44494">
        <w:rPr>
          <w:color w:val="000000" w:themeColor="text1"/>
        </w:rPr>
        <w:t>232 GWh</w:t>
      </w:r>
      <w:r>
        <w:rPr>
          <w:color w:val="000000" w:themeColor="text1"/>
        </w:rPr>
        <w:t xml:space="preserve"> in 2019 respectively).</w:t>
      </w:r>
      <w:r w:rsidR="00945D95">
        <w:rPr>
          <w:color w:val="000000" w:themeColor="text1"/>
        </w:rPr>
        <w:t xml:space="preserve"> Sectoral</w:t>
      </w:r>
      <w:r w:rsidR="00EF60C9">
        <w:rPr>
          <w:color w:val="000000" w:themeColor="text1"/>
        </w:rPr>
        <w:t xml:space="preserve"> n</w:t>
      </w:r>
      <w:r>
        <w:rPr>
          <w:color w:val="000000" w:themeColor="text1"/>
        </w:rPr>
        <w:t xml:space="preserve">atural gas consumption profile </w:t>
      </w:r>
      <w:r w:rsidR="00E07EC5">
        <w:rPr>
          <w:color w:val="000000" w:themeColor="text1"/>
        </w:rPr>
        <w:t xml:space="preserve">for Finland </w:t>
      </w:r>
      <w:r w:rsidR="00945D95">
        <w:rPr>
          <w:color w:val="000000" w:themeColor="text1"/>
        </w:rPr>
        <w:t xml:space="preserve">(2015-2019) </w:t>
      </w:r>
      <w:r>
        <w:rPr>
          <w:color w:val="000000" w:themeColor="text1"/>
        </w:rPr>
        <w:t>is shown in the</w:t>
      </w:r>
      <w:r w:rsidR="003C6717">
        <w:rPr>
          <w:b/>
          <w:color w:val="000000" w:themeColor="text1"/>
        </w:rPr>
        <w:t xml:space="preserve"> </w:t>
      </w:r>
      <w:r w:rsidR="003C6717" w:rsidRPr="003C6717">
        <w:rPr>
          <w:b/>
          <w:bCs/>
          <w:color w:val="000000" w:themeColor="text1"/>
        </w:rPr>
        <w:fldChar w:fldCharType="begin"/>
      </w:r>
      <w:r w:rsidR="003C6717" w:rsidRPr="003C6717">
        <w:rPr>
          <w:b/>
          <w:bCs/>
          <w:color w:val="000000" w:themeColor="text1"/>
        </w:rPr>
        <w:instrText xml:space="preserve"> REF _Ref104732857 \h  \* MERGEFORMAT </w:instrText>
      </w:r>
      <w:r w:rsidR="003C6717" w:rsidRPr="003C6717">
        <w:rPr>
          <w:b/>
          <w:bCs/>
          <w:color w:val="000000" w:themeColor="text1"/>
        </w:rPr>
      </w:r>
      <w:r w:rsidR="003C6717" w:rsidRPr="003C6717">
        <w:rPr>
          <w:b/>
          <w:bCs/>
          <w:color w:val="000000" w:themeColor="text1"/>
        </w:rPr>
        <w:fldChar w:fldCharType="separate"/>
      </w:r>
      <w:r w:rsidR="00265258" w:rsidRPr="000B0BFC">
        <w:rPr>
          <w:b/>
          <w:bCs/>
        </w:rPr>
        <w:t xml:space="preserve">Figure </w:t>
      </w:r>
      <w:r w:rsidR="00265258" w:rsidRPr="000B0BFC">
        <w:rPr>
          <w:b/>
          <w:bCs/>
          <w:noProof/>
        </w:rPr>
        <w:t>3</w:t>
      </w:r>
      <w:r w:rsidR="00265258" w:rsidRPr="000B0BFC">
        <w:rPr>
          <w:b/>
          <w:bCs/>
          <w:noProof/>
        </w:rPr>
        <w:noBreakHyphen/>
        <w:t>6</w:t>
      </w:r>
      <w:r w:rsidR="003C6717" w:rsidRPr="003C6717">
        <w:rPr>
          <w:b/>
          <w:bCs/>
          <w:color w:val="000000" w:themeColor="text1"/>
        </w:rPr>
        <w:fldChar w:fldCharType="end"/>
      </w:r>
      <w:r w:rsidR="00F44494">
        <w:rPr>
          <w:color w:val="000000" w:themeColor="text1"/>
        </w:rPr>
        <w:t>.</w:t>
      </w:r>
    </w:p>
    <w:p w14:paraId="7B4F7BD0" w14:textId="2F46F0D1" w:rsidR="00F5044B" w:rsidRPr="009B5DB9" w:rsidRDefault="00F5044B" w:rsidP="008D3089">
      <w:pPr>
        <w:pStyle w:val="Bijschrift"/>
        <w:rPr>
          <w:color w:val="005962" w:themeColor="accent1"/>
        </w:rPr>
      </w:pPr>
      <w:bookmarkStart w:id="30" w:name="_Ref103368409"/>
      <w:bookmarkStart w:id="31" w:name="_Ref104732857"/>
      <w:r>
        <w:t>Figure</w:t>
      </w:r>
      <w:r w:rsidR="00F44494">
        <w:t xml:space="preserve"> </w:t>
      </w:r>
      <w:bookmarkEnd w:id="30"/>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6</w:t>
      </w:r>
      <w:r w:rsidR="006D12F8">
        <w:rPr>
          <w:noProof/>
        </w:rPr>
        <w:fldChar w:fldCharType="end"/>
      </w:r>
      <w:bookmarkEnd w:id="31"/>
      <w:r w:rsidRPr="009B5DB9">
        <w:rPr>
          <w:color w:val="005962" w:themeColor="accent1"/>
        </w:rPr>
        <w:t xml:space="preserve">. </w:t>
      </w:r>
      <w:r w:rsidR="003E21FF" w:rsidRPr="009B5DB9">
        <w:rPr>
          <w:color w:val="005962" w:themeColor="accent1"/>
        </w:rPr>
        <w:t>Natural gas consumption profile for Finland</w:t>
      </w:r>
      <w:r w:rsidR="00337A93" w:rsidRPr="00337A93">
        <w:rPr>
          <w:color w:val="005962" w:themeColor="accent1"/>
          <w:vertAlign w:val="superscript"/>
        </w:rPr>
        <w:fldChar w:fldCharType="begin"/>
      </w:r>
      <w:r w:rsidR="00337A93" w:rsidRPr="00337A93">
        <w:rPr>
          <w:color w:val="005962" w:themeColor="accent1"/>
          <w:vertAlign w:val="superscript"/>
        </w:rPr>
        <w:instrText xml:space="preserve"> NOTEREF _Ref113612543 \h </w:instrText>
      </w:r>
      <w:r w:rsidR="00337A93">
        <w:rPr>
          <w:color w:val="005962" w:themeColor="accent1"/>
          <w:vertAlign w:val="superscript"/>
        </w:rPr>
        <w:instrText xml:space="preserve"> \* MERGEFORMAT </w:instrText>
      </w:r>
      <w:r w:rsidR="00337A93" w:rsidRPr="00337A93">
        <w:rPr>
          <w:color w:val="005962" w:themeColor="accent1"/>
          <w:vertAlign w:val="superscript"/>
        </w:rPr>
      </w:r>
      <w:r w:rsidR="00337A93" w:rsidRPr="00337A93">
        <w:rPr>
          <w:color w:val="005962" w:themeColor="accent1"/>
          <w:vertAlign w:val="superscript"/>
        </w:rPr>
        <w:fldChar w:fldCharType="separate"/>
      </w:r>
      <w:r w:rsidR="00337A93" w:rsidRPr="00337A93">
        <w:rPr>
          <w:color w:val="005962" w:themeColor="accent1"/>
          <w:vertAlign w:val="superscript"/>
        </w:rPr>
        <w:t>5</w:t>
      </w:r>
      <w:r w:rsidR="00337A93" w:rsidRPr="00337A93">
        <w:rPr>
          <w:color w:val="005962" w:themeColor="accent1"/>
          <w:vertAlign w:val="superscript"/>
        </w:rPr>
        <w:fldChar w:fldCharType="end"/>
      </w:r>
    </w:p>
    <w:p w14:paraId="1B259D59" w14:textId="49A390B8" w:rsidR="00B856C4" w:rsidRPr="0010270A" w:rsidRDefault="00F5044B" w:rsidP="0010270A">
      <w:pPr>
        <w:jc w:val="center"/>
        <w:rPr>
          <w:b/>
        </w:rPr>
      </w:pPr>
      <w:r>
        <w:rPr>
          <w:noProof/>
        </w:rPr>
        <w:drawing>
          <wp:inline distT="0" distB="0" distL="0" distR="0" wp14:anchorId="7F5931F6" wp14:editId="50AB896A">
            <wp:extent cx="3785190" cy="2371060"/>
            <wp:effectExtent l="0" t="0" r="6350" b="0"/>
            <wp:docPr id="63" name="Chart 63">
              <a:extLst xmlns:a="http://schemas.openxmlformats.org/drawingml/2006/main">
                <a:ext uri="{FF2B5EF4-FFF2-40B4-BE49-F238E27FC236}">
                  <a16:creationId xmlns:a16="http://schemas.microsoft.com/office/drawing/2014/main" id="{A3352980-EA9D-27B2-1E30-005249C49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11B209" w14:textId="1764D965" w:rsidR="00993571" w:rsidRPr="005F6D49" w:rsidRDefault="009B5DB9" w:rsidP="005F6D49">
      <w:pPr>
        <w:rPr>
          <w:b/>
          <w:color w:val="002C30"/>
        </w:rPr>
      </w:pPr>
      <w:r w:rsidRPr="005F6D49">
        <w:rPr>
          <w:b/>
          <w:color w:val="002C30"/>
        </w:rPr>
        <w:t>Biogas/</w:t>
      </w:r>
      <w:r w:rsidR="00E07EC5">
        <w:rPr>
          <w:b/>
          <w:color w:val="002C30"/>
        </w:rPr>
        <w:t>b</w:t>
      </w:r>
      <w:r w:rsidRPr="005F6D49">
        <w:rPr>
          <w:b/>
          <w:color w:val="002C30"/>
        </w:rPr>
        <w:t>iomethane</w:t>
      </w:r>
    </w:p>
    <w:p w14:paraId="0C6A5FA4" w14:textId="777D11D5" w:rsidR="009B5DB9" w:rsidRDefault="001B5D29" w:rsidP="00A67B6E">
      <w:pPr>
        <w:jc w:val="both"/>
      </w:pPr>
      <w:r>
        <w:t>B</w:t>
      </w:r>
      <w:r w:rsidR="00993571" w:rsidRPr="00993571">
        <w:t>iogas</w:t>
      </w:r>
      <w:r w:rsidR="00EF60C9">
        <w:t xml:space="preserve"> is</w:t>
      </w:r>
      <w:r w:rsidR="00993571" w:rsidRPr="00993571">
        <w:t xml:space="preserve"> </w:t>
      </w:r>
      <w:r>
        <w:t xml:space="preserve">in Finland </w:t>
      </w:r>
      <w:r w:rsidR="00993571" w:rsidRPr="00993571">
        <w:t>currently used in CHPs. In 2019, Finland produced 474 GWh of biogas, from which 180 GWh of electricity was generated. Finland’s total biogas production capacity was 97 MW in 2019, corresponding to 37 MW of installed electric</w:t>
      </w:r>
      <w:r w:rsidR="00EF60C9">
        <w:t>ity generation</w:t>
      </w:r>
      <w:r w:rsidR="00993571" w:rsidRPr="00993571">
        <w:t xml:space="preserve"> capacity. In 2019, 156 GWh biomethane was produced in Finland, and 10% of</w:t>
      </w:r>
      <w:r w:rsidR="00E07EC5">
        <w:t xml:space="preserve"> it</w:t>
      </w:r>
      <w:r w:rsidR="00993571" w:rsidRPr="00993571">
        <w:t xml:space="preserve"> was injected into the gas grid</w:t>
      </w:r>
      <w:r w:rsidR="00556349" w:rsidRPr="00556349">
        <w:rPr>
          <w:vertAlign w:val="superscript"/>
        </w:rPr>
        <w:fldChar w:fldCharType="begin"/>
      </w:r>
      <w:r w:rsidR="00556349" w:rsidRPr="00556349">
        <w:rPr>
          <w:vertAlign w:val="superscript"/>
        </w:rPr>
        <w:instrText xml:space="preserve"> NOTEREF _Ref103361921 \h </w:instrText>
      </w:r>
      <w:r w:rsidR="00556349">
        <w:rPr>
          <w:vertAlign w:val="superscript"/>
        </w:rPr>
        <w:instrText xml:space="preserve"> \* MERGEFORMAT </w:instrText>
      </w:r>
      <w:r w:rsidR="00556349" w:rsidRPr="00556349">
        <w:rPr>
          <w:vertAlign w:val="superscript"/>
        </w:rPr>
      </w:r>
      <w:r w:rsidR="00556349" w:rsidRPr="00556349">
        <w:rPr>
          <w:vertAlign w:val="superscript"/>
        </w:rPr>
        <w:fldChar w:fldCharType="separate"/>
      </w:r>
      <w:r w:rsidR="00265258">
        <w:rPr>
          <w:vertAlign w:val="superscript"/>
        </w:rPr>
        <w:t>4</w:t>
      </w:r>
      <w:r w:rsidR="00556349" w:rsidRPr="00556349">
        <w:rPr>
          <w:vertAlign w:val="superscript"/>
        </w:rPr>
        <w:fldChar w:fldCharType="end"/>
      </w:r>
      <w:r w:rsidR="00993571" w:rsidRPr="00993571">
        <w:t>.</w:t>
      </w:r>
      <w:r w:rsidR="001E65DA">
        <w:t xml:space="preserve"> The foll</w:t>
      </w:r>
      <w:r w:rsidR="0023571B">
        <w:t xml:space="preserve">owing </w:t>
      </w:r>
      <w:r w:rsidR="003C6717" w:rsidRPr="003C6717">
        <w:rPr>
          <w:b/>
          <w:bCs/>
        </w:rPr>
        <w:fldChar w:fldCharType="begin"/>
      </w:r>
      <w:r w:rsidR="003C6717" w:rsidRPr="003C6717">
        <w:rPr>
          <w:b/>
          <w:bCs/>
        </w:rPr>
        <w:instrText xml:space="preserve"> REF _Ref104732875 \h  \* MERGEFORMAT </w:instrText>
      </w:r>
      <w:r w:rsidR="003C6717" w:rsidRPr="003C6717">
        <w:rPr>
          <w:b/>
          <w:bCs/>
        </w:rPr>
      </w:r>
      <w:r w:rsidR="003C6717" w:rsidRPr="003C6717">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7</w:t>
      </w:r>
      <w:r w:rsidR="003C6717" w:rsidRPr="003C6717">
        <w:rPr>
          <w:b/>
          <w:bCs/>
        </w:rPr>
        <w:fldChar w:fldCharType="end"/>
      </w:r>
      <w:r w:rsidR="003C6717">
        <w:rPr>
          <w:b/>
          <w:bCs/>
        </w:rPr>
        <w:t xml:space="preserve"> </w:t>
      </w:r>
      <w:r w:rsidR="005034CF">
        <w:t>depicts the historical production of biogas</w:t>
      </w:r>
      <w:r w:rsidR="00E07EC5">
        <w:t xml:space="preserve"> per feedstock</w:t>
      </w:r>
      <w:r w:rsidR="000B644A">
        <w:t>.</w:t>
      </w:r>
    </w:p>
    <w:p w14:paraId="0A96AA1E" w14:textId="144A17D6" w:rsidR="00796EBA" w:rsidRDefault="00796EBA" w:rsidP="00A67B6E">
      <w:pPr>
        <w:jc w:val="both"/>
      </w:pPr>
    </w:p>
    <w:p w14:paraId="79813B0A" w14:textId="6DC2E7B7" w:rsidR="00796EBA" w:rsidRDefault="00796EBA" w:rsidP="00A67B6E">
      <w:pPr>
        <w:jc w:val="both"/>
      </w:pPr>
    </w:p>
    <w:p w14:paraId="694045B3" w14:textId="77777777" w:rsidR="00796EBA" w:rsidRDefault="00796EBA" w:rsidP="00A67B6E">
      <w:pPr>
        <w:jc w:val="both"/>
      </w:pPr>
    </w:p>
    <w:p w14:paraId="1757CD78" w14:textId="777EB760" w:rsidR="000B644A" w:rsidRDefault="000B644A" w:rsidP="00901314">
      <w:pPr>
        <w:ind w:left="0"/>
        <w:jc w:val="both"/>
      </w:pPr>
    </w:p>
    <w:p w14:paraId="5E97D824" w14:textId="6DE34B3F" w:rsidR="000B644A" w:rsidRDefault="000B644A" w:rsidP="006A614B">
      <w:pPr>
        <w:pStyle w:val="Bijschrift"/>
      </w:pPr>
      <w:bookmarkStart w:id="32" w:name="_Ref103368805"/>
      <w:bookmarkStart w:id="33" w:name="_Ref104732875"/>
      <w:r>
        <w:lastRenderedPageBreak/>
        <w:t>Figure</w:t>
      </w:r>
      <w:r w:rsidR="00070C7F">
        <w:t xml:space="preserve"> </w:t>
      </w:r>
      <w:bookmarkEnd w:id="32"/>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7</w:t>
      </w:r>
      <w:r w:rsidR="006D12F8">
        <w:rPr>
          <w:noProof/>
        </w:rPr>
        <w:fldChar w:fldCharType="end"/>
      </w:r>
      <w:bookmarkEnd w:id="33"/>
      <w:r>
        <w:t>. Biogas production in Finland</w:t>
      </w:r>
      <w:r w:rsidRPr="000B644A">
        <w:rPr>
          <w:vertAlign w:val="superscript"/>
        </w:rPr>
        <w:fldChar w:fldCharType="begin"/>
      </w:r>
      <w:r w:rsidRPr="000B644A">
        <w:rPr>
          <w:vertAlign w:val="superscript"/>
        </w:rPr>
        <w:instrText xml:space="preserve"> NOTEREF _Ref103361921 \h </w:instrText>
      </w:r>
      <w:r>
        <w:rPr>
          <w:vertAlign w:val="superscript"/>
        </w:rPr>
        <w:instrText xml:space="preserve"> \* MERGEFORMAT </w:instrText>
      </w:r>
      <w:r w:rsidRPr="000B644A">
        <w:rPr>
          <w:vertAlign w:val="superscript"/>
        </w:rPr>
      </w:r>
      <w:r w:rsidRPr="000B644A">
        <w:rPr>
          <w:vertAlign w:val="superscript"/>
        </w:rPr>
        <w:fldChar w:fldCharType="separate"/>
      </w:r>
      <w:r w:rsidR="00265258">
        <w:rPr>
          <w:vertAlign w:val="superscript"/>
        </w:rPr>
        <w:t>4</w:t>
      </w:r>
      <w:r w:rsidRPr="000B644A">
        <w:rPr>
          <w:vertAlign w:val="superscript"/>
        </w:rPr>
        <w:fldChar w:fldCharType="end"/>
      </w:r>
      <w:r w:rsidRPr="000B644A">
        <w:rPr>
          <w:vertAlign w:val="superscript"/>
        </w:rPr>
        <w:t>,</w:t>
      </w:r>
      <w:r w:rsidR="00940E7A">
        <w:rPr>
          <w:vertAlign w:val="superscript"/>
        </w:rPr>
        <w:fldChar w:fldCharType="begin"/>
      </w:r>
      <w:r w:rsidR="00940E7A">
        <w:rPr>
          <w:vertAlign w:val="superscript"/>
        </w:rPr>
        <w:instrText xml:space="preserve"> NOTEREF _Ref103368695 \h </w:instrText>
      </w:r>
      <w:r w:rsidR="00940E7A">
        <w:rPr>
          <w:vertAlign w:val="superscript"/>
        </w:rPr>
      </w:r>
      <w:r w:rsidR="00940E7A">
        <w:rPr>
          <w:vertAlign w:val="superscript"/>
        </w:rPr>
        <w:fldChar w:fldCharType="separate"/>
      </w:r>
      <w:r w:rsidR="00265258">
        <w:rPr>
          <w:vertAlign w:val="superscript"/>
        </w:rPr>
        <w:t>9</w:t>
      </w:r>
      <w:r w:rsidR="00940E7A">
        <w:rPr>
          <w:vertAlign w:val="superscript"/>
        </w:rPr>
        <w:fldChar w:fldCharType="end"/>
      </w:r>
    </w:p>
    <w:p w14:paraId="072B24DC" w14:textId="1D31B8F5" w:rsidR="000B644A" w:rsidRDefault="000B644A" w:rsidP="000B644A">
      <w:pPr>
        <w:jc w:val="center"/>
      </w:pPr>
      <w:r>
        <w:rPr>
          <w:noProof/>
        </w:rPr>
        <w:drawing>
          <wp:inline distT="0" distB="0" distL="0" distR="0" wp14:anchorId="17915FD8" wp14:editId="5FC3816C">
            <wp:extent cx="3880884" cy="2456121"/>
            <wp:effectExtent l="0" t="0" r="5715" b="1905"/>
            <wp:docPr id="64" name="Chart 64">
              <a:extLst xmlns:a="http://schemas.openxmlformats.org/drawingml/2006/main">
                <a:ext uri="{FF2B5EF4-FFF2-40B4-BE49-F238E27FC236}">
                  <a16:creationId xmlns:a16="http://schemas.microsoft.com/office/drawing/2014/main" id="{3F088DBF-56E1-9B9F-B088-BFF302362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D84135" w14:textId="2D3B12A6" w:rsidR="00556349" w:rsidRPr="005F6D49" w:rsidRDefault="000B644A" w:rsidP="005F6D49">
      <w:pPr>
        <w:rPr>
          <w:b/>
          <w:color w:val="002C30"/>
        </w:rPr>
      </w:pPr>
      <w:r w:rsidRPr="005F6D49">
        <w:rPr>
          <w:b/>
          <w:color w:val="002C30"/>
        </w:rPr>
        <w:t>Hy</w:t>
      </w:r>
      <w:r w:rsidR="001029C2" w:rsidRPr="005F6D49">
        <w:rPr>
          <w:b/>
          <w:color w:val="002C30"/>
        </w:rPr>
        <w:t>drogen</w:t>
      </w:r>
    </w:p>
    <w:p w14:paraId="260D1D3A" w14:textId="35BD3CA0" w:rsidR="001029C2" w:rsidRPr="007458F7" w:rsidRDefault="00B575B0" w:rsidP="00794463">
      <w:pPr>
        <w:jc w:val="both"/>
      </w:pPr>
      <w:r w:rsidRPr="007458F7">
        <w:t>T</w:t>
      </w:r>
      <w:r w:rsidR="00915309" w:rsidRPr="007458F7">
        <w:t>he t</w:t>
      </w:r>
      <w:r w:rsidRPr="007458F7">
        <w:t xml:space="preserve">otal </w:t>
      </w:r>
      <w:r w:rsidR="00915309" w:rsidRPr="007458F7">
        <w:t xml:space="preserve">dedicated </w:t>
      </w:r>
      <w:r w:rsidRPr="007458F7">
        <w:t xml:space="preserve">hydrogen production in Finland is estimated </w:t>
      </w:r>
      <w:r w:rsidR="00915309" w:rsidRPr="007458F7">
        <w:t>at</w:t>
      </w:r>
      <w:r w:rsidRPr="007458F7">
        <w:t xml:space="preserve"> 140000 - 150000 t/a (4.7–5.0 TWh), </w:t>
      </w:r>
      <w:r w:rsidR="00E07EC5" w:rsidRPr="007458F7">
        <w:t xml:space="preserve">of which </w:t>
      </w:r>
      <w:r w:rsidRPr="007458F7">
        <w:t xml:space="preserve">99 % is produced </w:t>
      </w:r>
      <w:r w:rsidR="007D7AA2" w:rsidRPr="007458F7">
        <w:t xml:space="preserve">from fossil fuels </w:t>
      </w:r>
      <w:r w:rsidR="00FE5C6F" w:rsidRPr="007458F7">
        <w:t>(</w:t>
      </w:r>
      <w:r w:rsidR="00D16EC0" w:rsidRPr="007458F7">
        <w:t>from NG</w:t>
      </w:r>
      <w:r w:rsidR="00672A1F" w:rsidRPr="007458F7">
        <w:t xml:space="preserve"> </w:t>
      </w:r>
      <w:r w:rsidRPr="007458F7">
        <w:t>via either steam reforming</w:t>
      </w:r>
      <w:r w:rsidR="00C1201E" w:rsidRPr="007458F7">
        <w:t xml:space="preserve"> (SMR)</w:t>
      </w:r>
      <w:r w:rsidRPr="007458F7">
        <w:t xml:space="preserve"> or partial oxidation of </w:t>
      </w:r>
      <w:r w:rsidR="00BE4F6F" w:rsidRPr="007458F7">
        <w:t xml:space="preserve">solid </w:t>
      </w:r>
      <w:r w:rsidRPr="007458F7">
        <w:t>fossil fuels</w:t>
      </w:r>
      <w:r w:rsidR="00406932" w:rsidRPr="007458F7">
        <w:t>)</w:t>
      </w:r>
      <w:r w:rsidRPr="007458F7">
        <w:t xml:space="preserve"> and</w:t>
      </w:r>
      <w:r w:rsidR="001F2075">
        <w:t xml:space="preserve"> only</w:t>
      </w:r>
      <w:r w:rsidRPr="007458F7">
        <w:t xml:space="preserve"> &lt;1 % is produced via water electrolysis</w:t>
      </w:r>
      <w:r w:rsidR="00915309" w:rsidRPr="007458F7">
        <w:t xml:space="preserve"> using electricity</w:t>
      </w:r>
      <w:r w:rsidRPr="007458F7">
        <w:t xml:space="preserve">. </w:t>
      </w:r>
      <w:r w:rsidR="002F4E16" w:rsidRPr="007458F7">
        <w:t>Annual NG sourced hydrogen production (via</w:t>
      </w:r>
      <w:r w:rsidR="00C1201E" w:rsidRPr="007458F7">
        <w:t xml:space="preserve"> SMR) is presented in</w:t>
      </w:r>
      <w:r w:rsidR="0084789E" w:rsidRPr="007458F7">
        <w:t xml:space="preserve"> </w:t>
      </w:r>
      <w:r w:rsidR="007458F7" w:rsidRPr="007458F7">
        <w:rPr>
          <w:b/>
          <w:bCs/>
        </w:rPr>
        <w:fldChar w:fldCharType="begin"/>
      </w:r>
      <w:r w:rsidR="007458F7" w:rsidRPr="007458F7">
        <w:rPr>
          <w:b/>
          <w:bCs/>
        </w:rPr>
        <w:instrText xml:space="preserve"> REF _Ref104722783 \h  \* MERGEFORMAT </w:instrText>
      </w:r>
      <w:r w:rsidR="007458F7" w:rsidRPr="007458F7">
        <w:rPr>
          <w:b/>
          <w:bCs/>
        </w:rPr>
      </w:r>
      <w:r w:rsidR="007458F7" w:rsidRPr="007458F7">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8</w:t>
      </w:r>
      <w:r w:rsidR="007458F7" w:rsidRPr="007458F7">
        <w:rPr>
          <w:b/>
          <w:bCs/>
        </w:rPr>
        <w:fldChar w:fldCharType="end"/>
      </w:r>
      <w:r w:rsidR="007458F7" w:rsidRPr="007458F7">
        <w:t>.</w:t>
      </w:r>
      <w:r w:rsidR="00C1201E" w:rsidRPr="007458F7">
        <w:t xml:space="preserve"> </w:t>
      </w:r>
      <w:r w:rsidRPr="007458F7">
        <w:t xml:space="preserve">In addition, 22000 - 24 000 t/a (730–800 GWh) of by-product hydrogen is generated </w:t>
      </w:r>
      <w:r w:rsidR="00E07EC5" w:rsidRPr="007458F7">
        <w:t xml:space="preserve">via </w:t>
      </w:r>
      <w:r w:rsidRPr="007458F7">
        <w:t>sodium chloride electrolysis</w:t>
      </w:r>
      <w:r w:rsidR="00794463" w:rsidRPr="007458F7">
        <w:t xml:space="preserve">. In Finland, approximately 88% of the </w:t>
      </w:r>
      <w:r w:rsidR="00E07EC5" w:rsidRPr="007458F7">
        <w:t>produced</w:t>
      </w:r>
      <w:r w:rsidR="00794463" w:rsidRPr="007458F7">
        <w:t xml:space="preserve"> hydrogen is used in refinery processes including biofuel production. The re</w:t>
      </w:r>
      <w:r w:rsidR="00797892" w:rsidRPr="007458F7">
        <w:t>mainder</w:t>
      </w:r>
      <w:r w:rsidR="00794463" w:rsidRPr="007458F7">
        <w:t xml:space="preserve"> </w:t>
      </w:r>
      <w:r w:rsidR="00F21FE6">
        <w:t xml:space="preserve">is </w:t>
      </w:r>
      <w:r w:rsidR="00794463" w:rsidRPr="007458F7">
        <w:t>used in the chemical industry and mining sector. By-product hydrogen from NaCl electrolysis is mostly used to generate process steam, district heat, and to a lesser extent also electricity (via Rankine cycle) at the chlorate and chlor-alkali plant</w:t>
      </w:r>
      <w:r w:rsidR="003E0AAC" w:rsidRPr="007458F7">
        <w:rPr>
          <w:rStyle w:val="Voetnootmarkering"/>
        </w:rPr>
        <w:footnoteReference w:id="9"/>
      </w:r>
      <w:r w:rsidRPr="007458F7">
        <w:t>.</w:t>
      </w:r>
    </w:p>
    <w:p w14:paraId="0F1C9E43" w14:textId="2FFE9B83" w:rsidR="00300FDB" w:rsidRDefault="0035291E" w:rsidP="0035291E">
      <w:pPr>
        <w:pStyle w:val="Bijschrift"/>
        <w:spacing w:before="120"/>
      </w:pPr>
      <w:bookmarkStart w:id="34" w:name="_Ref104722783"/>
      <w:r>
        <w:t xml:space="preserve">Figure </w:t>
      </w:r>
      <w:r w:rsidR="006D12F8">
        <w:fldChar w:fldCharType="begin"/>
      </w:r>
      <w:r w:rsidR="006D12F8">
        <w:instrText xml:space="preserve"> STY</w:instrText>
      </w:r>
      <w:r w:rsidR="006D12F8">
        <w:instrText xml:space="preserve">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8</w:t>
      </w:r>
      <w:r w:rsidR="006D12F8">
        <w:rPr>
          <w:noProof/>
        </w:rPr>
        <w:fldChar w:fldCharType="end"/>
      </w:r>
      <w:bookmarkEnd w:id="34"/>
      <w:r>
        <w:t>. NG sour</w:t>
      </w:r>
      <w:r w:rsidR="0072493E">
        <w:t>ced hydrogen production trend</w:t>
      </w:r>
      <w:r w:rsidR="00A54A93">
        <w:t xml:space="preserve"> in Finland</w:t>
      </w:r>
      <w:bookmarkStart w:id="35" w:name="_Ref103368695"/>
      <w:r w:rsidR="00A54A93">
        <w:rPr>
          <w:rStyle w:val="Voetnootmarkering"/>
        </w:rPr>
        <w:footnoteReference w:id="10"/>
      </w:r>
      <w:bookmarkEnd w:id="35"/>
    </w:p>
    <w:p w14:paraId="7098ECD2" w14:textId="1ACDEDF4" w:rsidR="00724CD7" w:rsidRDefault="00300FDB" w:rsidP="00B42B24">
      <w:pPr>
        <w:jc w:val="center"/>
      </w:pPr>
      <w:r>
        <w:rPr>
          <w:noProof/>
        </w:rPr>
        <w:drawing>
          <wp:inline distT="0" distB="0" distL="0" distR="0" wp14:anchorId="5EBFAFE4" wp14:editId="6A48E4DF">
            <wp:extent cx="3551274" cy="1967023"/>
            <wp:effectExtent l="0" t="0" r="0" b="0"/>
            <wp:docPr id="4" name="Chart 4">
              <a:extLst xmlns:a="http://schemas.openxmlformats.org/drawingml/2006/main">
                <a:ext uri="{FF2B5EF4-FFF2-40B4-BE49-F238E27FC236}">
                  <a16:creationId xmlns:a16="http://schemas.microsoft.com/office/drawing/2014/main" id="{88C59931-44FE-F907-283C-99F97240B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E0E012" w14:textId="239BE5AC" w:rsidR="00724CD7" w:rsidRPr="00FD4FEA" w:rsidRDefault="00FD4FEA" w:rsidP="0055317B">
      <w:pPr>
        <w:jc w:val="both"/>
        <w:rPr>
          <w:b/>
          <w:bCs/>
          <w:color w:val="005962" w:themeColor="accent1"/>
        </w:rPr>
      </w:pPr>
      <w:r w:rsidRPr="00FD4FEA">
        <w:rPr>
          <w:b/>
          <w:bCs/>
          <w:color w:val="005962" w:themeColor="accent1"/>
        </w:rPr>
        <w:t>C</w:t>
      </w:r>
      <w:r w:rsidR="008763FA" w:rsidRPr="00FD4FEA">
        <w:rPr>
          <w:b/>
          <w:bCs/>
          <w:color w:val="005962" w:themeColor="accent1"/>
        </w:rPr>
        <w:t xml:space="preserve">ountry </w:t>
      </w:r>
      <w:r w:rsidR="00F21FE6">
        <w:rPr>
          <w:b/>
          <w:bCs/>
          <w:color w:val="005962" w:themeColor="accent1"/>
        </w:rPr>
        <w:t>figures</w:t>
      </w:r>
      <w:r w:rsidRPr="00FD4FEA">
        <w:rPr>
          <w:b/>
          <w:bCs/>
          <w:color w:val="005962" w:themeColor="accent1"/>
        </w:rPr>
        <w:t xml:space="preserve"> for biogas </w:t>
      </w:r>
      <w:r w:rsidR="00120A3B">
        <w:rPr>
          <w:b/>
          <w:bCs/>
          <w:color w:val="005962" w:themeColor="accent1"/>
        </w:rPr>
        <w:t xml:space="preserve">and biomethane </w:t>
      </w:r>
      <w:r w:rsidRPr="00FD4FEA">
        <w:rPr>
          <w:b/>
          <w:bCs/>
          <w:color w:val="005962" w:themeColor="accent1"/>
        </w:rPr>
        <w:t>production</w:t>
      </w:r>
    </w:p>
    <w:p w14:paraId="1A526621" w14:textId="1BA2AE7B" w:rsidR="00931544" w:rsidRDefault="00757742" w:rsidP="00737F4B">
      <w:pPr>
        <w:spacing w:after="240"/>
        <w:jc w:val="both"/>
      </w:pPr>
      <w:r>
        <w:t>An overview</w:t>
      </w:r>
      <w:r w:rsidR="000A21A9" w:rsidRPr="00010C85">
        <w:t xml:space="preserve"> </w:t>
      </w:r>
      <w:r w:rsidR="00E9002E" w:rsidRPr="00010C85">
        <w:t xml:space="preserve">of </w:t>
      </w:r>
      <w:r>
        <w:t xml:space="preserve">the </w:t>
      </w:r>
      <w:r w:rsidR="00E9002E" w:rsidRPr="00010C85">
        <w:t xml:space="preserve">biogas and biomethane production </w:t>
      </w:r>
      <w:r w:rsidR="008F68A2" w:rsidRPr="00010C85">
        <w:t>of</w:t>
      </w:r>
      <w:r w:rsidR="00E9002E" w:rsidRPr="00010C85">
        <w:t xml:space="preserve"> </w:t>
      </w:r>
      <w:r w:rsidR="00607254" w:rsidRPr="00010C85">
        <w:t>the</w:t>
      </w:r>
      <w:r w:rsidR="00E9002E" w:rsidRPr="00010C85">
        <w:t xml:space="preserve"> four countries (Estonia, Latvia, Lithuania, Finland) </w:t>
      </w:r>
      <w:r w:rsidR="007A2F56" w:rsidRPr="00010C85">
        <w:t>is</w:t>
      </w:r>
      <w:r w:rsidR="00E9002E" w:rsidRPr="00010C85">
        <w:t xml:space="preserve"> shown </w:t>
      </w:r>
      <w:r w:rsidR="00607254" w:rsidRPr="00010C85">
        <w:t xml:space="preserve">in </w:t>
      </w:r>
      <w:r w:rsidR="00E9002E" w:rsidRPr="00010C85">
        <w:t xml:space="preserve">the following </w:t>
      </w:r>
      <w:r w:rsidR="00AD5F51" w:rsidRPr="00010C85">
        <w:rPr>
          <w:b/>
          <w:bCs/>
        </w:rPr>
        <w:fldChar w:fldCharType="begin"/>
      </w:r>
      <w:r w:rsidR="00AD5F51" w:rsidRPr="00010C85">
        <w:rPr>
          <w:b/>
          <w:bCs/>
        </w:rPr>
        <w:instrText xml:space="preserve"> REF _Ref104722906 \h </w:instrText>
      </w:r>
      <w:r w:rsidR="00144B17" w:rsidRPr="00010C85">
        <w:rPr>
          <w:b/>
          <w:bCs/>
        </w:rPr>
        <w:instrText xml:space="preserve"> \* MERGEFORMAT </w:instrText>
      </w:r>
      <w:r w:rsidR="00AD5F51" w:rsidRPr="00010C85">
        <w:rPr>
          <w:b/>
          <w:bCs/>
        </w:rPr>
      </w:r>
      <w:r w:rsidR="00AD5F51" w:rsidRPr="00010C85">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9</w:t>
      </w:r>
      <w:r w:rsidR="00AD5F51" w:rsidRPr="00010C85">
        <w:rPr>
          <w:b/>
          <w:bCs/>
        </w:rPr>
        <w:fldChar w:fldCharType="end"/>
      </w:r>
      <w:r w:rsidR="00010C85" w:rsidRPr="00010C85">
        <w:rPr>
          <w:b/>
          <w:bCs/>
        </w:rPr>
        <w:t xml:space="preserve">. </w:t>
      </w:r>
      <w:r w:rsidR="008B4DD6" w:rsidRPr="00010C85">
        <w:t>The biogas</w:t>
      </w:r>
      <w:r w:rsidR="0055317B" w:rsidRPr="00010C85">
        <w:t xml:space="preserve"> and biomethane</w:t>
      </w:r>
      <w:r w:rsidR="008B4DD6" w:rsidRPr="00010C85">
        <w:t xml:space="preserve"> production data </w:t>
      </w:r>
      <w:r w:rsidR="00607254" w:rsidRPr="00010C85">
        <w:t>for 2020-</w:t>
      </w:r>
      <w:r w:rsidR="008B4DD6" w:rsidRPr="00010C85">
        <w:t>202</w:t>
      </w:r>
      <w:r w:rsidR="0055317B" w:rsidRPr="00010C85">
        <w:t xml:space="preserve">1 is not </w:t>
      </w:r>
      <w:r w:rsidR="00607254" w:rsidRPr="00010C85">
        <w:t xml:space="preserve">yet </w:t>
      </w:r>
      <w:r w:rsidR="0055317B" w:rsidRPr="00010C85">
        <w:t>available</w:t>
      </w:r>
      <w:r w:rsidR="00E56F93">
        <w:t xml:space="preserve"> for Lithuania so it is assumed as constant from 2019 to 2021</w:t>
      </w:r>
      <w:r w:rsidR="00737F4B">
        <w:t>.</w:t>
      </w:r>
    </w:p>
    <w:p w14:paraId="2E8BA677" w14:textId="11AB19AD" w:rsidR="00FE1A42" w:rsidRDefault="00ED500B" w:rsidP="00D20677">
      <w:pPr>
        <w:pStyle w:val="Bijschrift"/>
      </w:pPr>
      <w:bookmarkStart w:id="36" w:name="_Ref103369234"/>
      <w:bookmarkStart w:id="37" w:name="_Ref104722906"/>
      <w:r>
        <w:t>Figure</w:t>
      </w:r>
      <w:r w:rsidR="00051D05">
        <w:t xml:space="preserve"> </w:t>
      </w:r>
      <w:bookmarkEnd w:id="36"/>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9</w:t>
      </w:r>
      <w:r w:rsidR="006D12F8">
        <w:rPr>
          <w:noProof/>
        </w:rPr>
        <w:fldChar w:fldCharType="end"/>
      </w:r>
      <w:bookmarkEnd w:id="37"/>
      <w:r>
        <w:t xml:space="preserve">. </w:t>
      </w:r>
      <w:r w:rsidR="00291A79" w:rsidRPr="00FC5FA1">
        <w:t xml:space="preserve"> </w:t>
      </w:r>
      <w:r w:rsidR="00291A79">
        <w:t xml:space="preserve">Biogas production in </w:t>
      </w:r>
      <w:r w:rsidR="00797892">
        <w:t xml:space="preserve">the </w:t>
      </w:r>
      <w:r w:rsidR="00291A79">
        <w:t xml:space="preserve">Baltic-Finnish </w:t>
      </w:r>
      <w:r w:rsidR="00291A79" w:rsidRPr="00DB34E7">
        <w:t>regio</w:t>
      </w:r>
      <w:r w:rsidR="00EE0A7F">
        <w:t>n</w:t>
      </w:r>
      <w:r w:rsidR="00EE0A7F">
        <w:rPr>
          <w:rStyle w:val="Voetnootmarkering"/>
        </w:rPr>
        <w:footnoteReference w:id="11"/>
      </w:r>
    </w:p>
    <w:p w14:paraId="0721FD2B" w14:textId="56BAADC3" w:rsidR="008F6292" w:rsidRPr="00993571" w:rsidRDefault="008F6292" w:rsidP="00931544">
      <w:pPr>
        <w:jc w:val="center"/>
      </w:pPr>
      <w:r>
        <w:rPr>
          <w:noProof/>
        </w:rPr>
        <w:lastRenderedPageBreak/>
        <w:drawing>
          <wp:inline distT="0" distB="0" distL="0" distR="0" wp14:anchorId="52A8E695" wp14:editId="09813AA6">
            <wp:extent cx="4575175" cy="2746375"/>
            <wp:effectExtent l="0" t="0" r="0" b="0"/>
            <wp:docPr id="17" name="Chart 17">
              <a:extLst xmlns:a="http://schemas.openxmlformats.org/drawingml/2006/main">
                <a:ext uri="{FF2B5EF4-FFF2-40B4-BE49-F238E27FC236}">
                  <a16:creationId xmlns:a16="http://schemas.microsoft.com/office/drawing/2014/main" id="{6338610D-38A9-6D18-CBA3-F8669B66B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E485D5" w14:textId="1042AAA9" w:rsidR="005A309E" w:rsidRPr="00F75E1E" w:rsidRDefault="00ED2B79" w:rsidP="00FB3E30">
      <w:pPr>
        <w:pStyle w:val="Bijschrift"/>
        <w:spacing w:line="312" w:lineRule="auto"/>
        <w:jc w:val="both"/>
        <w:rPr>
          <w:b w:val="0"/>
          <w:bCs w:val="0"/>
          <w:sz w:val="18"/>
        </w:rPr>
      </w:pPr>
      <w:bookmarkStart w:id="38" w:name="_Ref103373006"/>
      <w:bookmarkStart w:id="39" w:name="_Toc93338104"/>
      <w:r w:rsidRPr="00F75E1E">
        <w:rPr>
          <w:b w:val="0"/>
          <w:bCs w:val="0"/>
          <w:color w:val="000000" w:themeColor="text1"/>
          <w:sz w:val="18"/>
        </w:rPr>
        <w:t xml:space="preserve">Latvia and Lithuania </w:t>
      </w:r>
      <w:r w:rsidR="006F422E" w:rsidRPr="00423838">
        <w:rPr>
          <w:b w:val="0"/>
          <w:bCs w:val="0"/>
          <w:color w:val="auto"/>
          <w:sz w:val="18"/>
        </w:rPr>
        <w:t>don’t</w:t>
      </w:r>
      <w:r w:rsidRPr="00423838">
        <w:rPr>
          <w:b w:val="0"/>
          <w:bCs w:val="0"/>
          <w:color w:val="auto"/>
          <w:sz w:val="18"/>
        </w:rPr>
        <w:t xml:space="preserve"> have any biomethane </w:t>
      </w:r>
      <w:r w:rsidR="006F422E" w:rsidRPr="00423838">
        <w:rPr>
          <w:b w:val="0"/>
          <w:bCs w:val="0"/>
          <w:color w:val="auto"/>
          <w:sz w:val="18"/>
        </w:rPr>
        <w:t xml:space="preserve">production </w:t>
      </w:r>
      <w:r w:rsidR="00E56F93">
        <w:rPr>
          <w:b w:val="0"/>
          <w:bCs w:val="0"/>
          <w:color w:val="auto"/>
          <w:sz w:val="18"/>
        </w:rPr>
        <w:t>yet,</w:t>
      </w:r>
      <w:r w:rsidR="00757742">
        <w:rPr>
          <w:b w:val="0"/>
          <w:bCs w:val="0"/>
          <w:color w:val="auto"/>
          <w:sz w:val="18"/>
        </w:rPr>
        <w:t xml:space="preserve"> </w:t>
      </w:r>
      <w:r w:rsidR="006F422E" w:rsidRPr="00423838">
        <w:rPr>
          <w:b w:val="0"/>
          <w:bCs w:val="0"/>
          <w:color w:val="auto"/>
          <w:sz w:val="18"/>
        </w:rPr>
        <w:t xml:space="preserve">but </w:t>
      </w:r>
      <w:r w:rsidR="00757742">
        <w:rPr>
          <w:b w:val="0"/>
          <w:bCs w:val="0"/>
          <w:color w:val="auto"/>
          <w:sz w:val="18"/>
        </w:rPr>
        <w:t>they</w:t>
      </w:r>
      <w:r w:rsidR="003C5956" w:rsidRPr="00423838">
        <w:rPr>
          <w:b w:val="0"/>
          <w:bCs w:val="0"/>
          <w:color w:val="auto"/>
          <w:sz w:val="18"/>
        </w:rPr>
        <w:t xml:space="preserve"> have</w:t>
      </w:r>
      <w:r w:rsidR="00A91C68" w:rsidRPr="00423838">
        <w:rPr>
          <w:b w:val="0"/>
          <w:bCs w:val="0"/>
          <w:color w:val="auto"/>
          <w:sz w:val="18"/>
        </w:rPr>
        <w:t xml:space="preserve"> plans </w:t>
      </w:r>
      <w:r w:rsidR="00F75E1E" w:rsidRPr="00423838">
        <w:rPr>
          <w:b w:val="0"/>
          <w:bCs w:val="0"/>
          <w:color w:val="auto"/>
          <w:sz w:val="18"/>
        </w:rPr>
        <w:t>to produce biomethane and inject it in</w:t>
      </w:r>
      <w:r w:rsidR="00F75E1E" w:rsidRPr="00F75E1E">
        <w:rPr>
          <w:b w:val="0"/>
          <w:bCs w:val="0"/>
          <w:color w:val="000000" w:themeColor="text1"/>
          <w:sz w:val="18"/>
        </w:rPr>
        <w:t xml:space="preserve"> the transmission gri</w:t>
      </w:r>
      <w:r w:rsidR="009B15B8">
        <w:rPr>
          <w:b w:val="0"/>
          <w:bCs w:val="0"/>
          <w:color w:val="000000" w:themeColor="text1"/>
          <w:sz w:val="18"/>
        </w:rPr>
        <w:t>d</w:t>
      </w:r>
      <w:r w:rsidR="009B15B8">
        <w:rPr>
          <w:b w:val="0"/>
          <w:color w:val="000000" w:themeColor="text1"/>
          <w:sz w:val="18"/>
        </w:rPr>
        <w:t xml:space="preserve">. </w:t>
      </w:r>
      <w:r w:rsidR="00757742">
        <w:rPr>
          <w:b w:val="0"/>
          <w:color w:val="000000" w:themeColor="text1"/>
          <w:sz w:val="18"/>
        </w:rPr>
        <w:t>The a</w:t>
      </w:r>
      <w:r w:rsidR="00FB7D4A">
        <w:rPr>
          <w:b w:val="0"/>
          <w:bCs w:val="0"/>
          <w:color w:val="000000" w:themeColor="text1"/>
          <w:sz w:val="18"/>
        </w:rPr>
        <w:t>nnual b</w:t>
      </w:r>
      <w:r w:rsidR="009B15B8">
        <w:rPr>
          <w:b w:val="0"/>
          <w:bCs w:val="0"/>
          <w:color w:val="000000" w:themeColor="text1"/>
          <w:sz w:val="18"/>
        </w:rPr>
        <w:t xml:space="preserve">iomethane </w:t>
      </w:r>
      <w:r w:rsidR="00E30AED">
        <w:rPr>
          <w:b w:val="0"/>
          <w:bCs w:val="0"/>
          <w:color w:val="000000" w:themeColor="text1"/>
          <w:sz w:val="18"/>
        </w:rPr>
        <w:t>producti</w:t>
      </w:r>
      <w:r w:rsidR="00FB7D4A">
        <w:rPr>
          <w:b w:val="0"/>
          <w:bCs w:val="0"/>
          <w:color w:val="000000" w:themeColor="text1"/>
          <w:sz w:val="18"/>
        </w:rPr>
        <w:t xml:space="preserve">on data for Finland and Estonia is presented in the following figure. </w:t>
      </w:r>
      <w:r w:rsidR="00C41A06">
        <w:rPr>
          <w:b w:val="0"/>
          <w:bCs w:val="0"/>
          <w:color w:val="000000" w:themeColor="text1"/>
          <w:sz w:val="18"/>
        </w:rPr>
        <w:t xml:space="preserve">The biomethane production </w:t>
      </w:r>
      <w:r w:rsidR="00757742">
        <w:rPr>
          <w:b w:val="0"/>
          <w:bCs w:val="0"/>
          <w:color w:val="000000" w:themeColor="text1"/>
          <w:sz w:val="18"/>
        </w:rPr>
        <w:t>in</w:t>
      </w:r>
      <w:r w:rsidR="00C41A06">
        <w:rPr>
          <w:b w:val="0"/>
          <w:bCs w:val="0"/>
          <w:color w:val="000000" w:themeColor="text1"/>
          <w:sz w:val="18"/>
        </w:rPr>
        <w:t xml:space="preserve"> Estonia in the years </w:t>
      </w:r>
      <w:r w:rsidR="00EB68D5">
        <w:rPr>
          <w:b w:val="0"/>
          <w:bCs w:val="0"/>
          <w:color w:val="000000" w:themeColor="text1"/>
          <w:sz w:val="18"/>
        </w:rPr>
        <w:t xml:space="preserve">2020 and 2021 </w:t>
      </w:r>
      <w:r w:rsidR="005F70EC">
        <w:rPr>
          <w:b w:val="0"/>
          <w:bCs w:val="0"/>
          <w:color w:val="000000" w:themeColor="text1"/>
          <w:sz w:val="18"/>
        </w:rPr>
        <w:t>is</w:t>
      </w:r>
      <w:r w:rsidR="00EB68D5">
        <w:rPr>
          <w:b w:val="0"/>
          <w:bCs w:val="0"/>
          <w:color w:val="000000" w:themeColor="text1"/>
          <w:sz w:val="18"/>
        </w:rPr>
        <w:t xml:space="preserve"> 9</w:t>
      </w:r>
      <w:r w:rsidR="00D6063C">
        <w:rPr>
          <w:b w:val="0"/>
          <w:bCs w:val="0"/>
          <w:color w:val="000000" w:themeColor="text1"/>
          <w:sz w:val="18"/>
        </w:rPr>
        <w:t>8 GWh and 154 GW</w:t>
      </w:r>
      <w:r w:rsidR="00352967">
        <w:rPr>
          <w:b w:val="0"/>
          <w:bCs w:val="0"/>
          <w:color w:val="000000" w:themeColor="text1"/>
          <w:sz w:val="18"/>
        </w:rPr>
        <w:t>h</w:t>
      </w:r>
      <w:r w:rsidR="00757742">
        <w:rPr>
          <w:b w:val="0"/>
          <w:bCs w:val="0"/>
          <w:color w:val="000000" w:themeColor="text1"/>
          <w:sz w:val="18"/>
        </w:rPr>
        <w:t xml:space="preserve"> respectively</w:t>
      </w:r>
      <w:r w:rsidR="00352967">
        <w:rPr>
          <w:rStyle w:val="Voetnootmarkering"/>
          <w:b w:val="0"/>
          <w:bCs w:val="0"/>
          <w:color w:val="000000" w:themeColor="text1"/>
          <w:sz w:val="18"/>
        </w:rPr>
        <w:footnoteReference w:id="12"/>
      </w:r>
      <w:r w:rsidR="00352967">
        <w:rPr>
          <w:b w:val="0"/>
          <w:bCs w:val="0"/>
          <w:color w:val="000000" w:themeColor="text1"/>
          <w:sz w:val="18"/>
        </w:rPr>
        <w:t xml:space="preserve">. </w:t>
      </w:r>
    </w:p>
    <w:p w14:paraId="7C3A4524" w14:textId="2887B005" w:rsidR="003E4AE1" w:rsidRDefault="003E4AE1" w:rsidP="008D3089">
      <w:pPr>
        <w:pStyle w:val="Bijschrift"/>
        <w:rPr>
          <w:vertAlign w:val="superscript"/>
        </w:rPr>
      </w:pPr>
      <w:r>
        <w:t>Figure</w:t>
      </w:r>
      <w:r w:rsidR="003A37F0">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10</w:t>
      </w:r>
      <w:r w:rsidR="006D12F8">
        <w:rPr>
          <w:noProof/>
        </w:rPr>
        <w:fldChar w:fldCharType="end"/>
      </w:r>
      <w:bookmarkEnd w:id="38"/>
      <w:r>
        <w:t>. Biomethane production</w:t>
      </w:r>
      <w:r w:rsidR="00797892">
        <w:t xml:space="preserve"> in Estonia and Finland</w:t>
      </w:r>
      <w:r w:rsidR="00EA6BBE" w:rsidRPr="00EA6BBE">
        <w:rPr>
          <w:vertAlign w:val="superscript"/>
        </w:rPr>
        <w:fldChar w:fldCharType="begin"/>
      </w:r>
      <w:r w:rsidR="00EA6BBE" w:rsidRPr="00EA6BBE">
        <w:rPr>
          <w:vertAlign w:val="superscript"/>
        </w:rPr>
        <w:instrText xml:space="preserve"> NOTEREF _Ref104726485 \h </w:instrText>
      </w:r>
      <w:r w:rsidR="00EA6BBE">
        <w:rPr>
          <w:vertAlign w:val="superscript"/>
        </w:rPr>
        <w:instrText xml:space="preserve"> \* MERGEFORMAT </w:instrText>
      </w:r>
      <w:r w:rsidR="00EA6BBE" w:rsidRPr="00EA6BBE">
        <w:rPr>
          <w:vertAlign w:val="superscript"/>
        </w:rPr>
      </w:r>
      <w:r w:rsidR="00EA6BBE" w:rsidRPr="00EA6BBE">
        <w:rPr>
          <w:vertAlign w:val="superscript"/>
        </w:rPr>
        <w:fldChar w:fldCharType="separate"/>
      </w:r>
      <w:r w:rsidR="00265258">
        <w:rPr>
          <w:vertAlign w:val="superscript"/>
        </w:rPr>
        <w:t>4</w:t>
      </w:r>
      <w:r w:rsidR="00EA6BBE" w:rsidRPr="00EA6BBE">
        <w:rPr>
          <w:vertAlign w:val="superscript"/>
        </w:rPr>
        <w:fldChar w:fldCharType="end"/>
      </w:r>
    </w:p>
    <w:p w14:paraId="4E0357DD" w14:textId="7E0A28C9" w:rsidR="003E4AE1" w:rsidRDefault="009D730B" w:rsidP="00AF6373">
      <w:pPr>
        <w:jc w:val="center"/>
      </w:pPr>
      <w:r>
        <w:rPr>
          <w:noProof/>
        </w:rPr>
        <w:drawing>
          <wp:inline distT="0" distB="0" distL="0" distR="0" wp14:anchorId="096AD617" wp14:editId="3DB39A8B">
            <wp:extent cx="3743325" cy="2409825"/>
            <wp:effectExtent l="0" t="0" r="0" b="0"/>
            <wp:docPr id="22" name="Chart 22">
              <a:extLst xmlns:a="http://schemas.openxmlformats.org/drawingml/2006/main">
                <a:ext uri="{FF2B5EF4-FFF2-40B4-BE49-F238E27FC236}">
                  <a16:creationId xmlns:a16="http://schemas.microsoft.com/office/drawing/2014/main" id="{5A5D897D-93AC-0BC1-7676-E0F8B71EC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3066D5" w14:textId="7D671575" w:rsidR="0055317B" w:rsidRPr="00B40DF1" w:rsidRDefault="00AB2B05" w:rsidP="004524AF">
      <w:pPr>
        <w:pStyle w:val="Kop2"/>
        <w:tabs>
          <w:tab w:val="left" w:pos="720"/>
        </w:tabs>
        <w:ind w:left="1080" w:hanging="540"/>
      </w:pPr>
      <w:bookmarkStart w:id="40" w:name="_Toc104738344"/>
      <w:bookmarkStart w:id="41" w:name="_Toc114565048"/>
      <w:r>
        <w:t>Natural g</w:t>
      </w:r>
      <w:r w:rsidR="000D2B56" w:rsidRPr="00B40DF1">
        <w:t xml:space="preserve">as </w:t>
      </w:r>
      <w:r>
        <w:t>network</w:t>
      </w:r>
      <w:r w:rsidR="000D2B56" w:rsidRPr="00B40DF1">
        <w:t xml:space="preserve"> Infrastructure</w:t>
      </w:r>
      <w:r w:rsidR="00DC1E57">
        <w:t xml:space="preserve"> and flows</w:t>
      </w:r>
      <w:bookmarkEnd w:id="40"/>
      <w:bookmarkEnd w:id="41"/>
    </w:p>
    <w:p w14:paraId="5A3C4B94" w14:textId="2C7BB322" w:rsidR="009A76A2" w:rsidRDefault="007971EF" w:rsidP="000F51E9">
      <w:pPr>
        <w:spacing w:after="240"/>
        <w:jc w:val="both"/>
      </w:pPr>
      <w:r>
        <w:t xml:space="preserve">Russia was </w:t>
      </w:r>
      <w:r w:rsidR="00AB2B05">
        <w:t xml:space="preserve">historically </w:t>
      </w:r>
      <w:r w:rsidR="00822F09" w:rsidRPr="00822F09">
        <w:t xml:space="preserve">the main natural gas supplier to </w:t>
      </w:r>
      <w:r w:rsidR="00AB2B05">
        <w:t xml:space="preserve">the </w:t>
      </w:r>
      <w:r w:rsidR="00822F09" w:rsidRPr="00822F09">
        <w:t xml:space="preserve">Baltic and Finnish </w:t>
      </w:r>
      <w:r>
        <w:t>region</w:t>
      </w:r>
      <w:r w:rsidR="00822F09" w:rsidRPr="00822F09">
        <w:t xml:space="preserve">. </w:t>
      </w:r>
      <w:r w:rsidR="00B8245E">
        <w:t xml:space="preserve">This dependency </w:t>
      </w:r>
      <w:r w:rsidR="00AB2B05">
        <w:t xml:space="preserve">slightly decreased </w:t>
      </w:r>
      <w:r w:rsidR="00792730">
        <w:t>a</w:t>
      </w:r>
      <w:r w:rsidR="00AB2B05">
        <w:t>s of</w:t>
      </w:r>
      <w:r w:rsidR="00792730">
        <w:t xml:space="preserve"> 2017, </w:t>
      </w:r>
      <w:r w:rsidR="00AB2B05">
        <w:t>when the</w:t>
      </w:r>
      <w:r w:rsidR="00822F09" w:rsidRPr="00822F09">
        <w:t xml:space="preserve"> </w:t>
      </w:r>
      <w:proofErr w:type="spellStart"/>
      <w:r w:rsidR="004A336E" w:rsidRPr="004A336E">
        <w:t>Klaipėda</w:t>
      </w:r>
      <w:proofErr w:type="spellEnd"/>
      <w:r w:rsidR="00795475">
        <w:t xml:space="preserve"> LNG terminal </w:t>
      </w:r>
      <w:r w:rsidR="00AB2B05">
        <w:t>was commissioned</w:t>
      </w:r>
      <w:r w:rsidR="00795475">
        <w:t xml:space="preserve"> </w:t>
      </w:r>
      <w:r w:rsidR="00C23703">
        <w:t xml:space="preserve">and </w:t>
      </w:r>
      <w:r w:rsidR="001827AA">
        <w:t xml:space="preserve">started </w:t>
      </w:r>
      <w:r w:rsidR="00AB2B05">
        <w:t xml:space="preserve">importing </w:t>
      </w:r>
      <w:r w:rsidR="001827AA">
        <w:t xml:space="preserve">NG </w:t>
      </w:r>
      <w:r w:rsidR="00880B75">
        <w:t>for injection into the grid and the</w:t>
      </w:r>
      <w:r w:rsidR="00145237">
        <w:t xml:space="preserve"> </w:t>
      </w:r>
      <w:proofErr w:type="spellStart"/>
      <w:r w:rsidR="00A53954" w:rsidRPr="00A53954">
        <w:t>Inčukalns</w:t>
      </w:r>
      <w:proofErr w:type="spellEnd"/>
      <w:r w:rsidR="00A53954" w:rsidRPr="00A53954">
        <w:t xml:space="preserve"> underground gas storage</w:t>
      </w:r>
      <w:r w:rsidR="00A53954">
        <w:t xml:space="preserve"> (UGS) </w:t>
      </w:r>
      <w:r w:rsidR="00A8484B">
        <w:t>in Latvia.</w:t>
      </w:r>
      <w:r w:rsidR="00145237">
        <w:t xml:space="preserve"> </w:t>
      </w:r>
      <w:r w:rsidR="00822F09" w:rsidRPr="00822F09">
        <w:t xml:space="preserve">Till 2019, </w:t>
      </w:r>
      <w:r w:rsidR="005D7644">
        <w:t xml:space="preserve">the gas system of the </w:t>
      </w:r>
      <w:r w:rsidR="00822F09" w:rsidRPr="00822F09">
        <w:t xml:space="preserve">Baltic countries </w:t>
      </w:r>
      <w:r w:rsidR="004A03C2">
        <w:t>w</w:t>
      </w:r>
      <w:r w:rsidR="005D7644">
        <w:t>as</w:t>
      </w:r>
      <w:r w:rsidR="00822F09" w:rsidRPr="00822F09">
        <w:t xml:space="preserve"> not connected with Finland but </w:t>
      </w:r>
      <w:r w:rsidR="00880B75">
        <w:t>in</w:t>
      </w:r>
      <w:r w:rsidR="00822F09" w:rsidRPr="00822F09">
        <w:t xml:space="preserve"> Jan</w:t>
      </w:r>
      <w:r w:rsidR="00880B75">
        <w:t>uary</w:t>
      </w:r>
      <w:r w:rsidR="00822F09" w:rsidRPr="00822F09">
        <w:t xml:space="preserve"> 2020, the </w:t>
      </w:r>
      <w:proofErr w:type="spellStart"/>
      <w:r w:rsidR="00822F09" w:rsidRPr="00822F09">
        <w:t>Balticonnector</w:t>
      </w:r>
      <w:proofErr w:type="spellEnd"/>
      <w:r w:rsidR="00822F09" w:rsidRPr="00822F09">
        <w:t xml:space="preserve"> came into operation and </w:t>
      </w:r>
      <w:r w:rsidR="00880B75">
        <w:t xml:space="preserve">enabled </w:t>
      </w:r>
      <w:r w:rsidR="00822F09" w:rsidRPr="00822F09">
        <w:t xml:space="preserve">natural gas </w:t>
      </w:r>
      <w:r w:rsidR="00880B75">
        <w:t>trade</w:t>
      </w:r>
      <w:r w:rsidR="00822F09" w:rsidRPr="00822F09">
        <w:t xml:space="preserve"> </w:t>
      </w:r>
      <w:r w:rsidR="005D7644">
        <w:t>from/</w:t>
      </w:r>
      <w:r w:rsidR="00822F09" w:rsidRPr="00822F09">
        <w:t xml:space="preserve">to Finland through the Estonian joint gas network. </w:t>
      </w:r>
      <w:r w:rsidR="00880B75">
        <w:t xml:space="preserve">Since </w:t>
      </w:r>
      <w:r w:rsidR="00822F09" w:rsidRPr="00822F09">
        <w:t xml:space="preserve">May 2022, Lithuania is connected to Poland's gas network which </w:t>
      </w:r>
      <w:r w:rsidR="00880B75">
        <w:t xml:space="preserve">further </w:t>
      </w:r>
      <w:r w:rsidR="00822F09" w:rsidRPr="00822F09">
        <w:t xml:space="preserve">reduces </w:t>
      </w:r>
      <w:r w:rsidR="00880B75">
        <w:t xml:space="preserve">its </w:t>
      </w:r>
      <w:r w:rsidR="00822F09" w:rsidRPr="00822F09">
        <w:t xml:space="preserve">gas </w:t>
      </w:r>
      <w:r w:rsidR="004425CF">
        <w:t xml:space="preserve">import </w:t>
      </w:r>
      <w:r w:rsidR="00822F09" w:rsidRPr="00822F09">
        <w:t xml:space="preserve">dependency </w:t>
      </w:r>
      <w:r w:rsidR="004425CF">
        <w:t>from</w:t>
      </w:r>
      <w:r w:rsidR="00822F09" w:rsidRPr="00822F09">
        <w:t xml:space="preserve"> Russia. Before</w:t>
      </w:r>
      <w:r w:rsidR="00880B75">
        <w:t>hand</w:t>
      </w:r>
      <w:r w:rsidR="00822F09" w:rsidRPr="00822F09">
        <w:t xml:space="preserve">, the gas pipeline network of </w:t>
      </w:r>
      <w:r w:rsidR="003E6C0E">
        <w:t xml:space="preserve">the </w:t>
      </w:r>
      <w:r w:rsidR="00822F09" w:rsidRPr="00822F09">
        <w:t xml:space="preserve">Baltic countries and Finland </w:t>
      </w:r>
      <w:r w:rsidR="00072D30">
        <w:t>w</w:t>
      </w:r>
      <w:r w:rsidR="00880B75">
        <w:t>as</w:t>
      </w:r>
      <w:r w:rsidR="00072D30">
        <w:t xml:space="preserve"> not</w:t>
      </w:r>
      <w:r w:rsidR="00822F09" w:rsidRPr="00822F09">
        <w:t xml:space="preserve"> connected </w:t>
      </w:r>
      <w:r w:rsidR="00E0633C">
        <w:t>to the</w:t>
      </w:r>
      <w:r w:rsidR="00822F09" w:rsidRPr="00822F09">
        <w:t xml:space="preserve"> Europe</w:t>
      </w:r>
      <w:r w:rsidR="00E0633C">
        <w:t>an NG grid</w:t>
      </w:r>
      <w:r w:rsidR="00822F09" w:rsidRPr="00822F09">
        <w:t xml:space="preserve">. Due to the current geopolitical situation, the </w:t>
      </w:r>
      <w:r w:rsidR="004425CF">
        <w:t xml:space="preserve">countries in </w:t>
      </w:r>
      <w:r w:rsidR="00880B75">
        <w:t xml:space="preserve">the </w:t>
      </w:r>
      <w:r w:rsidR="00822F09" w:rsidRPr="00822F09">
        <w:t>Baltic</w:t>
      </w:r>
      <w:r w:rsidR="004425CF">
        <w:t>-</w:t>
      </w:r>
      <w:r w:rsidR="00822F09" w:rsidRPr="00822F09">
        <w:t xml:space="preserve">Finnish </w:t>
      </w:r>
      <w:r w:rsidR="004425CF">
        <w:t>region</w:t>
      </w:r>
      <w:r w:rsidR="00822F09" w:rsidRPr="00822F09">
        <w:t xml:space="preserve"> </w:t>
      </w:r>
      <w:r w:rsidR="00880B75">
        <w:t xml:space="preserve">intend to drastically reduce (and eventually stop) </w:t>
      </w:r>
      <w:r w:rsidR="00822F09" w:rsidRPr="00822F09">
        <w:t>the</w:t>
      </w:r>
      <w:r w:rsidR="00880B75">
        <w:t>ir</w:t>
      </w:r>
      <w:r w:rsidR="00822F09" w:rsidRPr="00822F09">
        <w:t xml:space="preserve"> gas import</w:t>
      </w:r>
      <w:r w:rsidR="00880B75">
        <w:t>s</w:t>
      </w:r>
      <w:r w:rsidR="00822F09" w:rsidRPr="00822F09">
        <w:t xml:space="preserve"> from Russia. As a first step, </w:t>
      </w:r>
      <w:r w:rsidR="00A95F57" w:rsidRPr="00822F09">
        <w:t>Lithuania</w:t>
      </w:r>
      <w:r w:rsidR="00DE1730">
        <w:t>, Estonia</w:t>
      </w:r>
      <w:r w:rsidR="00A02BFC">
        <w:t xml:space="preserve"> and Finland</w:t>
      </w:r>
      <w:r w:rsidR="00A95F57" w:rsidRPr="00822F09">
        <w:t xml:space="preserve"> </w:t>
      </w:r>
      <w:r w:rsidR="00822F09" w:rsidRPr="00822F09">
        <w:t>stop</w:t>
      </w:r>
      <w:r w:rsidR="00FE639A">
        <w:t>ped</w:t>
      </w:r>
      <w:r w:rsidR="00D261C4">
        <w:t xml:space="preserve"> its</w:t>
      </w:r>
      <w:r w:rsidR="00822F09" w:rsidRPr="00822F09">
        <w:t xml:space="preserve"> gas import from Russia from April</w:t>
      </w:r>
      <w:r w:rsidR="00A02BFC">
        <w:t>/May</w:t>
      </w:r>
      <w:r w:rsidR="00822F09" w:rsidRPr="00822F09">
        <w:t xml:space="preserve"> 2022</w:t>
      </w:r>
      <w:r w:rsidR="00A02BFC">
        <w:t xml:space="preserve">. </w:t>
      </w:r>
      <w:r w:rsidR="00A02BFC">
        <w:lastRenderedPageBreak/>
        <w:t>Latvia planning</w:t>
      </w:r>
      <w:r w:rsidR="009E7FAD">
        <w:t xml:space="preserve"> also</w:t>
      </w:r>
      <w:r w:rsidR="00A02BFC">
        <w:t xml:space="preserve"> planned to</w:t>
      </w:r>
      <w:r w:rsidR="009E7FAD">
        <w:t xml:space="preserve"> stop the gas import from Russia </w:t>
      </w:r>
      <w:r w:rsidR="00A02BFC">
        <w:t>by end of 2022</w:t>
      </w:r>
      <w:r w:rsidR="00822F09" w:rsidRPr="00822F09">
        <w:t xml:space="preserve">. The following map </w:t>
      </w:r>
      <w:r w:rsidR="009F0E0B">
        <w:t>shows</w:t>
      </w:r>
      <w:r w:rsidR="00822F09" w:rsidRPr="00822F09">
        <w:t xml:space="preserve"> the gas interconnection points </w:t>
      </w:r>
      <w:r w:rsidR="00D261C4">
        <w:t xml:space="preserve">in </w:t>
      </w:r>
      <w:r w:rsidR="009F0E0B">
        <w:t xml:space="preserve">the </w:t>
      </w:r>
      <w:r w:rsidR="00D261C4">
        <w:t xml:space="preserve">Baltic/Finnish </w:t>
      </w:r>
      <w:r w:rsidR="00822F09" w:rsidRPr="00822F09">
        <w:t>joint gas market.</w:t>
      </w:r>
    </w:p>
    <w:p w14:paraId="7D54BB2E" w14:textId="19EEBB95" w:rsidR="00B80F23" w:rsidRDefault="00B80F23" w:rsidP="008D3089">
      <w:pPr>
        <w:pStyle w:val="Bijschrift"/>
      </w:pPr>
      <w:r>
        <w:t>Fig</w:t>
      </w:r>
      <w:r w:rsidR="00E8088E">
        <w:t>ure</w:t>
      </w:r>
      <w:r w:rsidR="00E57676">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11</w:t>
      </w:r>
      <w:r w:rsidR="006D12F8">
        <w:rPr>
          <w:noProof/>
        </w:rPr>
        <w:fldChar w:fldCharType="end"/>
      </w:r>
      <w:r w:rsidR="00E8088E">
        <w:t xml:space="preserve">. </w:t>
      </w:r>
      <w:r w:rsidR="009A76A2" w:rsidRPr="00766450">
        <w:t>Baltic and Finnish Natural Gas Pipeline Connection Points</w:t>
      </w:r>
    </w:p>
    <w:p w14:paraId="32EF7DB7" w14:textId="64F9A80F" w:rsidR="00584B41" w:rsidRDefault="00EB0A90" w:rsidP="005F6D49">
      <w:pPr>
        <w:jc w:val="center"/>
      </w:pPr>
      <w:r>
        <w:rPr>
          <w:noProof/>
        </w:rPr>
        <w:drawing>
          <wp:inline distT="0" distB="0" distL="0" distR="0" wp14:anchorId="58B13BBD" wp14:editId="71D9B124">
            <wp:extent cx="5414010" cy="3848986"/>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rotWithShape="1">
                    <a:blip r:embed="rId34">
                      <a:extLst>
                        <a:ext uri="{28A0092B-C50C-407E-A947-70E740481C1C}">
                          <a14:useLocalDpi xmlns:a14="http://schemas.microsoft.com/office/drawing/2010/main" val="0"/>
                        </a:ext>
                      </a:extLst>
                    </a:blip>
                    <a:srcRect b="6214"/>
                    <a:stretch/>
                  </pic:blipFill>
                  <pic:spPr bwMode="auto">
                    <a:xfrm>
                      <a:off x="0" y="0"/>
                      <a:ext cx="5421596" cy="3854379"/>
                    </a:xfrm>
                    <a:prstGeom prst="rect">
                      <a:avLst/>
                    </a:prstGeom>
                    <a:ln>
                      <a:noFill/>
                    </a:ln>
                    <a:extLst>
                      <a:ext uri="{53640926-AAD7-44D8-BBD7-CCE9431645EC}">
                        <a14:shadowObscured xmlns:a14="http://schemas.microsoft.com/office/drawing/2010/main"/>
                      </a:ext>
                    </a:extLst>
                  </pic:spPr>
                </pic:pic>
              </a:graphicData>
            </a:graphic>
          </wp:inline>
        </w:drawing>
      </w:r>
    </w:p>
    <w:p w14:paraId="2C2AA813" w14:textId="617A34AA" w:rsidR="009A76A2" w:rsidRPr="005F6D49" w:rsidRDefault="005F7E20" w:rsidP="006D561A">
      <w:pPr>
        <w:spacing w:before="120"/>
        <w:rPr>
          <w:b/>
          <w:color w:val="002C30"/>
        </w:rPr>
      </w:pPr>
      <w:r w:rsidRPr="005F6D49">
        <w:rPr>
          <w:b/>
          <w:color w:val="002C30"/>
        </w:rPr>
        <w:t>Estonia</w:t>
      </w:r>
    </w:p>
    <w:p w14:paraId="1737D2A0" w14:textId="5E95104C" w:rsidR="003915F8" w:rsidRDefault="0012481B" w:rsidP="00822F09">
      <w:pPr>
        <w:jc w:val="both"/>
      </w:pPr>
      <w:proofErr w:type="spellStart"/>
      <w:r w:rsidRPr="00EF4AC7">
        <w:t>Elering</w:t>
      </w:r>
      <w:proofErr w:type="spellEnd"/>
      <w:r w:rsidRPr="00EF4AC7">
        <w:t xml:space="preserve"> AS is the </w:t>
      </w:r>
      <w:r w:rsidR="004C777A">
        <w:t xml:space="preserve">sole </w:t>
      </w:r>
      <w:r w:rsidR="009F0E0B">
        <w:t xml:space="preserve">gas </w:t>
      </w:r>
      <w:r w:rsidR="004C777A">
        <w:t>transmission sy</w:t>
      </w:r>
      <w:r w:rsidR="00E721E4">
        <w:t>stem operator (TSO)</w:t>
      </w:r>
      <w:r w:rsidRPr="00EF4AC7">
        <w:t>. It owns</w:t>
      </w:r>
      <w:r w:rsidR="0077330F">
        <w:t xml:space="preserve"> and operates </w:t>
      </w:r>
      <w:r w:rsidRPr="00EF4AC7">
        <w:t>a network of 10 gas pipelines (</w:t>
      </w:r>
      <w:r>
        <w:t>977.4</w:t>
      </w:r>
      <w:r w:rsidRPr="00EF4AC7">
        <w:t xml:space="preserve"> km, 43 of which are transit pipelines), 3 gas metering stations, and 36 gas distribution stations</w:t>
      </w:r>
      <w:r>
        <w:t>.</w:t>
      </w:r>
      <w:r w:rsidR="009F0E0B">
        <w:t xml:space="preserve"> </w:t>
      </w:r>
      <w:r w:rsidR="006718B1" w:rsidRPr="006718B1">
        <w:t xml:space="preserve">The Estonian gas transmission system is connected with Russia and Latvia through three interconnectors. </w:t>
      </w:r>
      <w:r w:rsidR="00D24ED5" w:rsidRPr="00D24ED5">
        <w:t xml:space="preserve">The </w:t>
      </w:r>
      <w:proofErr w:type="spellStart"/>
      <w:r w:rsidR="006718B1" w:rsidRPr="006718B1">
        <w:t>Izborsk</w:t>
      </w:r>
      <w:proofErr w:type="spellEnd"/>
      <w:r w:rsidR="00D24ED5" w:rsidRPr="00D24ED5">
        <w:t>–</w:t>
      </w:r>
      <w:proofErr w:type="spellStart"/>
      <w:r w:rsidR="006718B1" w:rsidRPr="006718B1">
        <w:t>Inčukalns</w:t>
      </w:r>
      <w:proofErr w:type="spellEnd"/>
      <w:r w:rsidR="006718B1" w:rsidRPr="006718B1">
        <w:t xml:space="preserve"> and Pskov</w:t>
      </w:r>
      <w:r w:rsidR="00D24ED5" w:rsidRPr="00D24ED5">
        <w:t>–</w:t>
      </w:r>
      <w:r w:rsidR="006718B1" w:rsidRPr="006718B1">
        <w:t>Riga</w:t>
      </w:r>
      <w:r w:rsidR="00D24ED5" w:rsidRPr="00D24ED5">
        <w:t xml:space="preserve"> pipelines are parallel pipelines in Southeast Estonia and used primarily for transporting</w:t>
      </w:r>
      <w:r w:rsidR="006718B1" w:rsidRPr="006718B1">
        <w:t xml:space="preserve"> gas </w:t>
      </w:r>
      <w:r w:rsidR="00D24ED5" w:rsidRPr="00D24ED5">
        <w:t>between</w:t>
      </w:r>
      <w:r w:rsidR="006718B1" w:rsidRPr="006718B1">
        <w:t xml:space="preserve"> Russia </w:t>
      </w:r>
      <w:r w:rsidR="00D24ED5" w:rsidRPr="00D24ED5">
        <w:t>and</w:t>
      </w:r>
      <w:r w:rsidR="006718B1" w:rsidRPr="006718B1">
        <w:t xml:space="preserve"> Latvia </w:t>
      </w:r>
      <w:r w:rsidR="00DF23A7" w:rsidRPr="00D24ED5">
        <w:t xml:space="preserve">but also to supply the </w:t>
      </w:r>
      <w:proofErr w:type="spellStart"/>
      <w:r w:rsidR="00DF23A7" w:rsidRPr="00D24ED5">
        <w:t>Misso</w:t>
      </w:r>
      <w:proofErr w:type="spellEnd"/>
      <w:r w:rsidR="00DF23A7" w:rsidRPr="00D24ED5">
        <w:t xml:space="preserve"> GDS located in Estonia</w:t>
      </w:r>
      <w:r w:rsidR="00D24ED5" w:rsidRPr="00D24ED5">
        <w:t>.</w:t>
      </w:r>
      <w:r w:rsidR="00DF23A7" w:rsidRPr="00D24ED5">
        <w:t xml:space="preserve"> These parallel pipeline sections are not connected to the rest of the Estonian transmission network</w:t>
      </w:r>
      <w:r w:rsidR="006718B1" w:rsidRPr="0096344D">
        <w:rPr>
          <w:color w:val="000000" w:themeColor="text1"/>
        </w:rPr>
        <w:t xml:space="preserve">.  </w:t>
      </w:r>
      <w:proofErr w:type="spellStart"/>
      <w:r w:rsidR="006718B1" w:rsidRPr="0096344D">
        <w:rPr>
          <w:color w:val="000000" w:themeColor="text1"/>
        </w:rPr>
        <w:t>Gaasivõrgud</w:t>
      </w:r>
      <w:proofErr w:type="spellEnd"/>
      <w:r w:rsidR="006718B1" w:rsidRPr="0096344D">
        <w:rPr>
          <w:color w:val="000000" w:themeColor="text1"/>
        </w:rPr>
        <w:t xml:space="preserve">, a subsidiary of </w:t>
      </w:r>
      <w:proofErr w:type="spellStart"/>
      <w:r w:rsidR="006718B1" w:rsidRPr="0096344D">
        <w:rPr>
          <w:color w:val="000000" w:themeColor="text1"/>
        </w:rPr>
        <w:t>Eesti</w:t>
      </w:r>
      <w:proofErr w:type="spellEnd"/>
      <w:r w:rsidR="006718B1" w:rsidRPr="0096344D">
        <w:rPr>
          <w:color w:val="000000" w:themeColor="text1"/>
        </w:rPr>
        <w:t xml:space="preserve"> </w:t>
      </w:r>
      <w:proofErr w:type="spellStart"/>
      <w:r w:rsidR="006718B1" w:rsidRPr="0096344D">
        <w:rPr>
          <w:color w:val="000000" w:themeColor="text1"/>
        </w:rPr>
        <w:t>Gaas</w:t>
      </w:r>
      <w:proofErr w:type="spellEnd"/>
      <w:r w:rsidR="006718B1" w:rsidRPr="0096344D">
        <w:rPr>
          <w:color w:val="000000" w:themeColor="text1"/>
        </w:rPr>
        <w:t xml:space="preserve">, is the major distribution </w:t>
      </w:r>
      <w:r w:rsidR="006718B1" w:rsidRPr="006718B1">
        <w:t xml:space="preserve">system operator </w:t>
      </w:r>
      <w:r w:rsidR="0077330F">
        <w:t xml:space="preserve">(DSO) </w:t>
      </w:r>
      <w:r w:rsidR="006718B1" w:rsidRPr="006718B1">
        <w:t xml:space="preserve">in Estonia. It operates the 1486 km long distribution network owned by </w:t>
      </w:r>
      <w:proofErr w:type="spellStart"/>
      <w:r w:rsidR="006718B1" w:rsidRPr="006718B1">
        <w:t>Eesti</w:t>
      </w:r>
      <w:proofErr w:type="spellEnd"/>
      <w:r w:rsidR="006718B1" w:rsidRPr="006718B1">
        <w:t xml:space="preserve"> </w:t>
      </w:r>
      <w:proofErr w:type="spellStart"/>
      <w:r w:rsidR="006718B1" w:rsidRPr="006718B1">
        <w:t>Gaas</w:t>
      </w:r>
      <w:proofErr w:type="spellEnd"/>
      <w:r w:rsidR="006718B1" w:rsidRPr="006718B1">
        <w:t xml:space="preserve"> under a commercial leas</w:t>
      </w:r>
      <w:r w:rsidR="0077330F">
        <w:t>ing</w:t>
      </w:r>
      <w:r w:rsidR="006718B1" w:rsidRPr="006718B1">
        <w:t xml:space="preserve"> contract. There are 23 other small companies </w:t>
      </w:r>
      <w:r w:rsidR="0077330F">
        <w:t xml:space="preserve">operating </w:t>
      </w:r>
      <w:r w:rsidR="006718B1" w:rsidRPr="006718B1">
        <w:t>648 km of natural gas distribution network</w:t>
      </w:r>
      <w:bookmarkStart w:id="42" w:name="_Ref103366949"/>
      <w:r w:rsidR="009F0E0B">
        <w:t>s</w:t>
      </w:r>
      <w:r w:rsidR="006718B1">
        <w:rPr>
          <w:rStyle w:val="Voetnootmarkering"/>
        </w:rPr>
        <w:footnoteReference w:id="13"/>
      </w:r>
      <w:bookmarkEnd w:id="42"/>
      <w:r w:rsidR="006718B1" w:rsidRPr="006718B1">
        <w:t>.</w:t>
      </w:r>
    </w:p>
    <w:p w14:paraId="18723A7D" w14:textId="4DED17D2" w:rsidR="0008702B" w:rsidRDefault="007F77E7" w:rsidP="00E041D7">
      <w:pPr>
        <w:spacing w:after="240"/>
        <w:jc w:val="both"/>
      </w:pPr>
      <w:r w:rsidRPr="007F77E7">
        <w:t xml:space="preserve">The </w:t>
      </w:r>
      <w:r w:rsidR="0077330F">
        <w:t>m</w:t>
      </w:r>
      <w:r w:rsidRPr="007F77E7">
        <w:t>aximum technical capacity of the Estonian interconnection points is shown in</w:t>
      </w:r>
      <w:r w:rsidR="004162CE">
        <w:rPr>
          <w:b/>
        </w:rPr>
        <w:t xml:space="preserve"> </w:t>
      </w:r>
      <w:r w:rsidR="004162CE" w:rsidRPr="004162CE">
        <w:rPr>
          <w:b/>
          <w:bCs/>
        </w:rPr>
        <w:fldChar w:fldCharType="begin"/>
      </w:r>
      <w:r w:rsidR="004162CE" w:rsidRPr="004162CE">
        <w:rPr>
          <w:b/>
          <w:bCs/>
        </w:rPr>
        <w:instrText xml:space="preserve"> REF _Ref104733050 \h  \* MERGEFORMAT </w:instrText>
      </w:r>
      <w:r w:rsidR="004162CE" w:rsidRPr="004162CE">
        <w:rPr>
          <w:b/>
          <w:bCs/>
        </w:rPr>
      </w:r>
      <w:r w:rsidR="004162CE" w:rsidRPr="004162CE">
        <w:rPr>
          <w:b/>
          <w:bCs/>
        </w:rPr>
        <w:fldChar w:fldCharType="separate"/>
      </w:r>
      <w:r w:rsidR="00265258" w:rsidRPr="000B0BFC">
        <w:rPr>
          <w:b/>
          <w:bCs/>
        </w:rPr>
        <w:t xml:space="preserve">Table </w:t>
      </w:r>
      <w:r w:rsidR="00265258" w:rsidRPr="000B0BFC">
        <w:rPr>
          <w:b/>
          <w:bCs/>
          <w:noProof/>
        </w:rPr>
        <w:t>3</w:t>
      </w:r>
      <w:r w:rsidR="00265258" w:rsidRPr="000B0BFC">
        <w:rPr>
          <w:b/>
          <w:bCs/>
          <w:noProof/>
        </w:rPr>
        <w:noBreakHyphen/>
        <w:t>1</w:t>
      </w:r>
      <w:r w:rsidR="004162CE" w:rsidRPr="004162CE">
        <w:rPr>
          <w:b/>
          <w:bCs/>
        </w:rPr>
        <w:fldChar w:fldCharType="end"/>
      </w:r>
      <w:r w:rsidR="000F2C15">
        <w:t>.</w:t>
      </w:r>
      <w:r w:rsidRPr="007F77E7">
        <w:t xml:space="preserve"> The </w:t>
      </w:r>
      <w:proofErr w:type="spellStart"/>
      <w:r w:rsidR="0077330F">
        <w:t>K</w:t>
      </w:r>
      <w:r w:rsidR="000B584E" w:rsidRPr="007F77E7">
        <w:t>arksi</w:t>
      </w:r>
      <w:proofErr w:type="spellEnd"/>
      <w:r w:rsidR="000B584E" w:rsidRPr="007F77E7">
        <w:t>,</w:t>
      </w:r>
      <w:r w:rsidRPr="007F77E7">
        <w:t xml:space="preserve"> and </w:t>
      </w:r>
      <w:proofErr w:type="spellStart"/>
      <w:r w:rsidRPr="007F77E7">
        <w:t>Balticonnector</w:t>
      </w:r>
      <w:proofErr w:type="spellEnd"/>
      <w:r w:rsidRPr="007F77E7">
        <w:t xml:space="preserve"> points </w:t>
      </w:r>
      <w:r w:rsidR="0077330F">
        <w:t xml:space="preserve">allow </w:t>
      </w:r>
      <w:r w:rsidRPr="007F77E7">
        <w:t>bidirectional</w:t>
      </w:r>
      <w:r w:rsidR="0008702B">
        <w:t xml:space="preserve"> </w:t>
      </w:r>
      <w:r w:rsidR="00C63726">
        <w:t>flow</w:t>
      </w:r>
      <w:r w:rsidR="0077330F">
        <w:t>s</w:t>
      </w:r>
      <w:r w:rsidR="00C93510">
        <w:t>;</w:t>
      </w:r>
      <w:r w:rsidR="0008702B" w:rsidRPr="0008702B">
        <w:t xml:space="preserve"> </w:t>
      </w:r>
      <w:r w:rsidR="0008702B" w:rsidRPr="007F77E7">
        <w:t xml:space="preserve">the gas </w:t>
      </w:r>
      <w:r w:rsidR="0008702B">
        <w:t>is being</w:t>
      </w:r>
      <w:r w:rsidR="0008702B" w:rsidRPr="007F77E7">
        <w:t xml:space="preserve"> imported and exported through the </w:t>
      </w:r>
      <w:r w:rsidR="0008702B">
        <w:t>following interconnection points</w:t>
      </w:r>
      <w:r w:rsidR="0008702B" w:rsidRPr="007F77E7">
        <w:t>.</w:t>
      </w:r>
    </w:p>
    <w:p w14:paraId="5B4F4262" w14:textId="71A1AF56" w:rsidR="003C4B17" w:rsidRDefault="003C4B17" w:rsidP="008D3089">
      <w:pPr>
        <w:pStyle w:val="Bijschrift"/>
      </w:pPr>
      <w:bookmarkStart w:id="43" w:name="_Ref103372798"/>
      <w:bookmarkStart w:id="44" w:name="_Ref104733050"/>
      <w:r>
        <w:t>Table</w:t>
      </w:r>
      <w:r w:rsidR="004A5112">
        <w:t xml:space="preserve"> </w:t>
      </w:r>
      <w:bookmarkEnd w:id="43"/>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Table \</w:instrText>
      </w:r>
      <w:r w:rsidR="006D12F8">
        <w:instrText xml:space="preserve">* ARABIC \s 1 </w:instrText>
      </w:r>
      <w:r w:rsidR="006D12F8">
        <w:fldChar w:fldCharType="separate"/>
      </w:r>
      <w:r w:rsidR="00265258">
        <w:rPr>
          <w:noProof/>
        </w:rPr>
        <w:t>1</w:t>
      </w:r>
      <w:r w:rsidR="006D12F8">
        <w:rPr>
          <w:noProof/>
        </w:rPr>
        <w:fldChar w:fldCharType="end"/>
      </w:r>
      <w:bookmarkEnd w:id="44"/>
      <w:r>
        <w:t xml:space="preserve">. Technical capacity of </w:t>
      </w:r>
      <w:r w:rsidR="003019B0">
        <w:t>gas connection points</w:t>
      </w:r>
      <w:r w:rsidR="00C93510">
        <w:t xml:space="preserve"> in Estonia</w:t>
      </w:r>
      <w:r w:rsidR="008562C9" w:rsidRPr="008562C9">
        <w:rPr>
          <w:vertAlign w:val="superscript"/>
        </w:rPr>
        <w:fldChar w:fldCharType="begin"/>
      </w:r>
      <w:r w:rsidR="008562C9" w:rsidRPr="008562C9">
        <w:rPr>
          <w:vertAlign w:val="superscript"/>
        </w:rPr>
        <w:instrText xml:space="preserve"> NOTEREF _Ref103366949 \h </w:instrText>
      </w:r>
      <w:r w:rsidR="008562C9">
        <w:rPr>
          <w:vertAlign w:val="superscript"/>
        </w:rPr>
        <w:instrText xml:space="preserve"> \* MERGEFORMAT </w:instrText>
      </w:r>
      <w:r w:rsidR="008562C9" w:rsidRPr="008562C9">
        <w:rPr>
          <w:vertAlign w:val="superscript"/>
        </w:rPr>
      </w:r>
      <w:r w:rsidR="008562C9" w:rsidRPr="008562C9">
        <w:rPr>
          <w:vertAlign w:val="superscript"/>
        </w:rPr>
        <w:fldChar w:fldCharType="separate"/>
      </w:r>
      <w:r w:rsidR="00265258">
        <w:rPr>
          <w:vertAlign w:val="superscript"/>
        </w:rPr>
        <w:t>12</w:t>
      </w:r>
      <w:r w:rsidR="008562C9" w:rsidRPr="008562C9">
        <w:rPr>
          <w:vertAlign w:val="superscript"/>
        </w:rPr>
        <w:fldChar w:fldCharType="end"/>
      </w:r>
    </w:p>
    <w:tbl>
      <w:tblPr>
        <w:tblStyle w:val="Tabelraster"/>
        <w:tblW w:w="8510" w:type="dxa"/>
        <w:jc w:val="right"/>
        <w:tblLook w:val="04A0" w:firstRow="1" w:lastRow="0" w:firstColumn="1" w:lastColumn="0" w:noHBand="0" w:noVBand="1"/>
      </w:tblPr>
      <w:tblGrid>
        <w:gridCol w:w="4390"/>
        <w:gridCol w:w="4120"/>
      </w:tblGrid>
      <w:tr w:rsidR="003019B0" w14:paraId="7ACF379C" w14:textId="77777777" w:rsidTr="007B6C99">
        <w:trPr>
          <w:tblHeader/>
          <w:jc w:val="right"/>
        </w:trPr>
        <w:tc>
          <w:tcPr>
            <w:tcW w:w="4390" w:type="dxa"/>
            <w:shd w:val="clear" w:color="auto" w:fill="005962" w:themeFill="accent1"/>
          </w:tcPr>
          <w:p w14:paraId="362035AA" w14:textId="77777777" w:rsidR="003019B0" w:rsidRPr="008562C9" w:rsidRDefault="003019B0" w:rsidP="008A036C">
            <w:pPr>
              <w:spacing w:before="40" w:after="40"/>
              <w:jc w:val="center"/>
              <w:rPr>
                <w:color w:val="FFFFFF" w:themeColor="background1"/>
              </w:rPr>
            </w:pPr>
            <w:r w:rsidRPr="008562C9">
              <w:rPr>
                <w:rFonts w:eastAsia="Times New Roman"/>
                <w:b/>
                <w:bCs/>
                <w:color w:val="FFFFFF" w:themeColor="background1"/>
                <w:szCs w:val="22"/>
                <w:lang w:val="en-IN" w:eastAsia="en-IN"/>
              </w:rPr>
              <w:t>Interconnector</w:t>
            </w:r>
          </w:p>
        </w:tc>
        <w:tc>
          <w:tcPr>
            <w:tcW w:w="4120" w:type="dxa"/>
            <w:shd w:val="clear" w:color="auto" w:fill="005962" w:themeFill="accent1"/>
          </w:tcPr>
          <w:p w14:paraId="0CB79B58" w14:textId="76D64A19" w:rsidR="003019B0" w:rsidRPr="008562C9" w:rsidRDefault="003019B0" w:rsidP="008A036C">
            <w:pPr>
              <w:spacing w:before="40" w:after="40"/>
              <w:jc w:val="center"/>
              <w:rPr>
                <w:color w:val="FFFFFF" w:themeColor="background1"/>
              </w:rPr>
            </w:pPr>
            <w:r w:rsidRPr="008562C9">
              <w:rPr>
                <w:rFonts w:eastAsia="Times New Roman"/>
                <w:b/>
                <w:bCs/>
                <w:color w:val="FFFFFF" w:themeColor="background1"/>
                <w:szCs w:val="22"/>
                <w:lang w:val="en-IN" w:eastAsia="en-IN"/>
              </w:rPr>
              <w:t xml:space="preserve">Maximum </w:t>
            </w:r>
            <w:r w:rsidR="0077330F">
              <w:rPr>
                <w:rFonts w:eastAsia="Times New Roman"/>
                <w:b/>
                <w:bCs/>
                <w:color w:val="FFFFFF" w:themeColor="background1"/>
                <w:szCs w:val="22"/>
                <w:lang w:val="en-IN" w:eastAsia="en-IN"/>
              </w:rPr>
              <w:t>t</w:t>
            </w:r>
            <w:r w:rsidRPr="008562C9">
              <w:rPr>
                <w:rFonts w:eastAsia="Times New Roman"/>
                <w:b/>
                <w:bCs/>
                <w:color w:val="FFFFFF" w:themeColor="background1"/>
                <w:szCs w:val="22"/>
                <w:lang w:val="en-IN" w:eastAsia="en-IN"/>
              </w:rPr>
              <w:t>echnical capacity</w:t>
            </w:r>
          </w:p>
        </w:tc>
      </w:tr>
      <w:tr w:rsidR="003019B0" w14:paraId="6B2CC5C3" w14:textId="77777777" w:rsidTr="005807E7">
        <w:trPr>
          <w:jc w:val="right"/>
        </w:trPr>
        <w:tc>
          <w:tcPr>
            <w:tcW w:w="4390" w:type="dxa"/>
            <w:vAlign w:val="center"/>
          </w:tcPr>
          <w:p w14:paraId="7A956829" w14:textId="5D778894" w:rsidR="003019B0" w:rsidRPr="005807E7" w:rsidRDefault="003019B0" w:rsidP="008A036C">
            <w:pPr>
              <w:spacing w:before="40" w:after="40"/>
              <w:jc w:val="center"/>
              <w:rPr>
                <w:color w:val="000000" w:themeColor="text1"/>
              </w:rPr>
            </w:pPr>
            <w:r w:rsidRPr="005807E7">
              <w:rPr>
                <w:rFonts w:cs="Calibri"/>
                <w:color w:val="000000" w:themeColor="text1"/>
              </w:rPr>
              <w:t>Latvia-Estonia</w:t>
            </w:r>
            <w:r w:rsidR="0023420C" w:rsidRPr="005807E7">
              <w:rPr>
                <w:rFonts w:cs="Calibri"/>
                <w:color w:val="000000" w:themeColor="text1"/>
              </w:rPr>
              <w:t xml:space="preserve"> (</w:t>
            </w:r>
            <w:proofErr w:type="spellStart"/>
            <w:r w:rsidR="0023420C" w:rsidRPr="005807E7">
              <w:rPr>
                <w:rFonts w:cs="Calibri"/>
                <w:color w:val="000000" w:themeColor="text1"/>
              </w:rPr>
              <w:t>Karksi</w:t>
            </w:r>
            <w:proofErr w:type="spellEnd"/>
            <w:r w:rsidR="0023420C" w:rsidRPr="005807E7">
              <w:rPr>
                <w:rFonts w:cs="Calibri"/>
                <w:color w:val="000000" w:themeColor="text1"/>
              </w:rPr>
              <w:t>,</w:t>
            </w:r>
            <w:r w:rsidRPr="005807E7">
              <w:rPr>
                <w:rFonts w:cs="Calibri"/>
                <w:color w:val="000000" w:themeColor="text1"/>
              </w:rPr>
              <w:t xml:space="preserve"> Bi-directional</w:t>
            </w:r>
            <w:r w:rsidR="0023420C" w:rsidRPr="005807E7">
              <w:rPr>
                <w:rFonts w:cs="Calibri"/>
                <w:color w:val="000000" w:themeColor="text1"/>
              </w:rPr>
              <w:t>)</w:t>
            </w:r>
          </w:p>
        </w:tc>
        <w:tc>
          <w:tcPr>
            <w:tcW w:w="4120" w:type="dxa"/>
          </w:tcPr>
          <w:p w14:paraId="50C9DCE9" w14:textId="77777777" w:rsidR="003019B0" w:rsidRDefault="003019B0" w:rsidP="008A036C">
            <w:pPr>
              <w:spacing w:before="40" w:after="40"/>
              <w:jc w:val="center"/>
            </w:pPr>
            <w:r w:rsidRPr="003638BB">
              <w:rPr>
                <w:rFonts w:eastAsia="Times New Roman"/>
                <w:color w:val="000000"/>
                <w:szCs w:val="22"/>
                <w:lang w:val="en-IN" w:eastAsia="en-IN"/>
              </w:rPr>
              <w:t>7 mcm/d (73.5 GWh/d)</w:t>
            </w:r>
          </w:p>
        </w:tc>
      </w:tr>
      <w:tr w:rsidR="003019B0" w14:paraId="46D04759" w14:textId="77777777" w:rsidTr="005807E7">
        <w:trPr>
          <w:jc w:val="right"/>
        </w:trPr>
        <w:tc>
          <w:tcPr>
            <w:tcW w:w="4390" w:type="dxa"/>
            <w:vAlign w:val="center"/>
          </w:tcPr>
          <w:p w14:paraId="2FABB1FE" w14:textId="6F582149" w:rsidR="003019B0" w:rsidRPr="005807E7" w:rsidRDefault="0023420C" w:rsidP="008A036C">
            <w:pPr>
              <w:spacing w:before="40" w:after="40"/>
              <w:jc w:val="center"/>
              <w:rPr>
                <w:color w:val="000000" w:themeColor="text1"/>
              </w:rPr>
            </w:pPr>
            <w:r w:rsidRPr="005807E7">
              <w:rPr>
                <w:rFonts w:cs="Calibri"/>
                <w:color w:val="000000" w:themeColor="text1"/>
              </w:rPr>
              <w:lastRenderedPageBreak/>
              <w:t>Russia-Estonia (</w:t>
            </w:r>
            <w:proofErr w:type="spellStart"/>
            <w:r w:rsidR="00576ED4" w:rsidRPr="005807E7">
              <w:rPr>
                <w:rFonts w:cs="Calibri"/>
                <w:color w:val="000000" w:themeColor="text1"/>
              </w:rPr>
              <w:t>Värska</w:t>
            </w:r>
            <w:proofErr w:type="spellEnd"/>
            <w:r w:rsidR="00576ED4" w:rsidRPr="005807E7">
              <w:rPr>
                <w:rFonts w:cs="Calibri"/>
                <w:color w:val="000000" w:themeColor="text1"/>
              </w:rPr>
              <w:t>)</w:t>
            </w:r>
          </w:p>
        </w:tc>
        <w:tc>
          <w:tcPr>
            <w:tcW w:w="4120" w:type="dxa"/>
          </w:tcPr>
          <w:p w14:paraId="68D82354" w14:textId="77777777" w:rsidR="003019B0" w:rsidRDefault="003019B0" w:rsidP="008A036C">
            <w:pPr>
              <w:spacing w:before="40" w:after="40"/>
              <w:jc w:val="center"/>
            </w:pPr>
            <w:r w:rsidRPr="003638BB">
              <w:rPr>
                <w:rFonts w:eastAsia="Times New Roman"/>
                <w:color w:val="000000"/>
                <w:szCs w:val="22"/>
                <w:lang w:val="en-IN" w:eastAsia="en-IN"/>
              </w:rPr>
              <w:t>4 mcm/d (42.0 GWh/d)</w:t>
            </w:r>
          </w:p>
        </w:tc>
      </w:tr>
      <w:tr w:rsidR="003019B0" w14:paraId="0B47DEF6" w14:textId="77777777" w:rsidTr="005807E7">
        <w:trPr>
          <w:jc w:val="right"/>
        </w:trPr>
        <w:tc>
          <w:tcPr>
            <w:tcW w:w="4390" w:type="dxa"/>
            <w:vAlign w:val="center"/>
          </w:tcPr>
          <w:p w14:paraId="3F4E0882" w14:textId="1A5EF09E" w:rsidR="003019B0" w:rsidRPr="005807E7" w:rsidRDefault="0023420C" w:rsidP="008A036C">
            <w:pPr>
              <w:spacing w:before="40" w:after="40"/>
              <w:jc w:val="center"/>
              <w:rPr>
                <w:color w:val="000000" w:themeColor="text1"/>
              </w:rPr>
            </w:pPr>
            <w:r w:rsidRPr="005807E7">
              <w:rPr>
                <w:rFonts w:cs="Calibri"/>
                <w:color w:val="000000" w:themeColor="text1"/>
              </w:rPr>
              <w:t>Russia-Estonia (</w:t>
            </w:r>
            <w:proofErr w:type="spellStart"/>
            <w:r w:rsidRPr="005807E7">
              <w:rPr>
                <w:rFonts w:cs="Calibri"/>
                <w:color w:val="000000" w:themeColor="text1"/>
              </w:rPr>
              <w:t>Narva</w:t>
            </w:r>
            <w:proofErr w:type="spellEnd"/>
            <w:r w:rsidRPr="005807E7">
              <w:rPr>
                <w:rFonts w:cs="Calibri"/>
                <w:color w:val="000000" w:themeColor="text1"/>
              </w:rPr>
              <w:t>)</w:t>
            </w:r>
          </w:p>
        </w:tc>
        <w:tc>
          <w:tcPr>
            <w:tcW w:w="4120" w:type="dxa"/>
          </w:tcPr>
          <w:p w14:paraId="2FA941A3" w14:textId="77777777" w:rsidR="003019B0" w:rsidRDefault="003019B0" w:rsidP="008A036C">
            <w:pPr>
              <w:spacing w:before="40" w:after="40"/>
              <w:jc w:val="center"/>
            </w:pPr>
            <w:r w:rsidRPr="003638BB">
              <w:rPr>
                <w:rFonts w:eastAsia="Times New Roman"/>
                <w:color w:val="000000"/>
                <w:szCs w:val="22"/>
                <w:lang w:val="en-IN" w:eastAsia="en-IN"/>
              </w:rPr>
              <w:t>3 mcm/d (31.5 GWh/d)</w:t>
            </w:r>
          </w:p>
        </w:tc>
      </w:tr>
      <w:tr w:rsidR="003019B0" w14:paraId="78045215" w14:textId="77777777" w:rsidTr="005807E7">
        <w:trPr>
          <w:jc w:val="right"/>
        </w:trPr>
        <w:tc>
          <w:tcPr>
            <w:tcW w:w="4390" w:type="dxa"/>
            <w:vAlign w:val="center"/>
          </w:tcPr>
          <w:p w14:paraId="5F41478D" w14:textId="39E6CCF8" w:rsidR="003019B0" w:rsidRPr="005807E7" w:rsidRDefault="0023420C" w:rsidP="008A036C">
            <w:pPr>
              <w:spacing w:before="40" w:after="40"/>
              <w:jc w:val="center"/>
              <w:rPr>
                <w:rFonts w:eastAsia="Times New Roman"/>
                <w:color w:val="000000" w:themeColor="text1"/>
                <w:lang w:val="en-IN" w:eastAsia="en-IN"/>
              </w:rPr>
            </w:pPr>
            <w:r w:rsidRPr="005807E7">
              <w:rPr>
                <w:rFonts w:cs="Calibri"/>
                <w:color w:val="000000" w:themeColor="text1"/>
              </w:rPr>
              <w:t>Finland-Estonia (</w:t>
            </w:r>
            <w:proofErr w:type="spellStart"/>
            <w:r w:rsidRPr="005807E7">
              <w:rPr>
                <w:rFonts w:cs="Calibri"/>
                <w:color w:val="000000" w:themeColor="text1"/>
              </w:rPr>
              <w:t>Balticconnector</w:t>
            </w:r>
            <w:proofErr w:type="spellEnd"/>
            <w:r w:rsidRPr="005807E7">
              <w:rPr>
                <w:rFonts w:cs="Calibri"/>
                <w:color w:val="000000" w:themeColor="text1"/>
              </w:rPr>
              <w:t>, Bi-directional)</w:t>
            </w:r>
          </w:p>
        </w:tc>
        <w:tc>
          <w:tcPr>
            <w:tcW w:w="4120" w:type="dxa"/>
          </w:tcPr>
          <w:p w14:paraId="6662D14D" w14:textId="77777777" w:rsidR="003019B0" w:rsidRPr="003638BB" w:rsidRDefault="003019B0" w:rsidP="008A036C">
            <w:pPr>
              <w:spacing w:before="40" w:after="40"/>
              <w:jc w:val="center"/>
              <w:rPr>
                <w:rFonts w:eastAsia="Times New Roman"/>
                <w:color w:val="000000"/>
                <w:szCs w:val="22"/>
                <w:lang w:val="en-IN" w:eastAsia="en-IN"/>
              </w:rPr>
            </w:pPr>
            <w:r w:rsidRPr="003638BB">
              <w:rPr>
                <w:rFonts w:eastAsia="Times New Roman"/>
                <w:color w:val="000000"/>
                <w:szCs w:val="22"/>
                <w:lang w:val="en-IN" w:eastAsia="en-IN"/>
              </w:rPr>
              <w:t>7.7 mcm/d (81.2 GWh/d)</w:t>
            </w:r>
          </w:p>
        </w:tc>
      </w:tr>
    </w:tbl>
    <w:p w14:paraId="7317536A" w14:textId="0933E937" w:rsidR="00C93E4C" w:rsidRDefault="00130E80" w:rsidP="00891B1B">
      <w:pPr>
        <w:spacing w:before="240" w:after="240"/>
        <w:jc w:val="both"/>
      </w:pPr>
      <w:r w:rsidRPr="00130E80">
        <w:t>The historical gas flow</w:t>
      </w:r>
      <w:r w:rsidR="00B15192">
        <w:t>s</w:t>
      </w:r>
      <w:r w:rsidRPr="00130E80">
        <w:t xml:space="preserve"> </w:t>
      </w:r>
      <w:r w:rsidR="00B15192">
        <w:t>at</w:t>
      </w:r>
      <w:r w:rsidRPr="00130E80">
        <w:t xml:space="preserve"> </w:t>
      </w:r>
      <w:r w:rsidR="00B15192">
        <w:t xml:space="preserve">the different </w:t>
      </w:r>
      <w:r w:rsidRPr="00130E80">
        <w:t>interconnection point</w:t>
      </w:r>
      <w:r w:rsidR="00B15192">
        <w:t>s</w:t>
      </w:r>
      <w:r w:rsidRPr="00130E80">
        <w:t xml:space="preserve"> </w:t>
      </w:r>
      <w:r w:rsidR="004162CE">
        <w:t>are</w:t>
      </w:r>
      <w:r w:rsidRPr="00130E80">
        <w:t xml:space="preserve"> shown in the following figure. The gas flow</w:t>
      </w:r>
      <w:r w:rsidR="009F0E0B">
        <w:t>s</w:t>
      </w:r>
      <w:r w:rsidRPr="00130E80">
        <w:t xml:space="preserve"> </w:t>
      </w:r>
      <w:r w:rsidR="009F0E0B">
        <w:t xml:space="preserve">highly </w:t>
      </w:r>
      <w:r w:rsidRPr="00130E80">
        <w:t>fluctuate</w:t>
      </w:r>
      <w:r w:rsidR="009F0E0B">
        <w:t xml:space="preserve"> throughout the year depending </w:t>
      </w:r>
      <w:r w:rsidRPr="00130E80">
        <w:t xml:space="preserve">on </w:t>
      </w:r>
      <w:r w:rsidR="00B15192">
        <w:t xml:space="preserve">fluctuating </w:t>
      </w:r>
      <w:r w:rsidRPr="00130E80">
        <w:t xml:space="preserve">market demand and </w:t>
      </w:r>
      <w:r w:rsidR="00B15192">
        <w:t>trade</w:t>
      </w:r>
      <w:r w:rsidRPr="00130E80">
        <w:t>.</w:t>
      </w:r>
    </w:p>
    <w:p w14:paraId="17D0D807" w14:textId="37C9F6FA" w:rsidR="00C93E4C" w:rsidRDefault="00E57676" w:rsidP="008D3089">
      <w:pPr>
        <w:pStyle w:val="Bijschrift"/>
        <w:rPr>
          <w:lang w:val="en-US"/>
        </w:rPr>
      </w:pPr>
      <w:r>
        <w:t>Figure</w:t>
      </w:r>
      <w:r w:rsidR="004D72FE">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12</w:t>
      </w:r>
      <w:r w:rsidR="006D12F8">
        <w:rPr>
          <w:noProof/>
        </w:rPr>
        <w:fldChar w:fldCharType="end"/>
      </w:r>
      <w:r w:rsidR="008C09FB">
        <w:t xml:space="preserve">. </w:t>
      </w:r>
      <w:r w:rsidR="00C93E4C" w:rsidRPr="00C93E4C">
        <w:rPr>
          <w:lang w:val="en-US"/>
        </w:rPr>
        <w:t>NG flow</w:t>
      </w:r>
      <w:r w:rsidR="009F0E0B">
        <w:rPr>
          <w:lang w:val="en-US"/>
        </w:rPr>
        <w:t>s</w:t>
      </w:r>
      <w:r w:rsidR="00C93E4C" w:rsidRPr="00C93E4C">
        <w:rPr>
          <w:lang w:val="en-US"/>
        </w:rPr>
        <w:t xml:space="preserve"> in interconnection points</w:t>
      </w:r>
      <w:r w:rsidR="00261657">
        <w:rPr>
          <w:lang w:val="en-US"/>
        </w:rPr>
        <w:t xml:space="preserve"> of Estonia</w:t>
      </w:r>
      <w:bookmarkStart w:id="45" w:name="_Ref103372416"/>
      <w:r w:rsidR="0035156A">
        <w:rPr>
          <w:rStyle w:val="Voetnootmarkering"/>
          <w:lang w:val="en-US"/>
        </w:rPr>
        <w:footnoteReference w:id="14"/>
      </w:r>
      <w:bookmarkEnd w:id="45"/>
    </w:p>
    <w:p w14:paraId="6E3EDAEC" w14:textId="0AAB6D91" w:rsidR="0035156A" w:rsidRPr="0035156A" w:rsidRDefault="004C6A8F" w:rsidP="0035156A">
      <w:pPr>
        <w:jc w:val="center"/>
        <w:rPr>
          <w:lang w:val="en-US"/>
        </w:rPr>
      </w:pPr>
      <w:r>
        <w:rPr>
          <w:noProof/>
        </w:rPr>
        <w:drawing>
          <wp:inline distT="0" distB="0" distL="0" distR="0" wp14:anchorId="6D971D07" wp14:editId="2E3C8EBA">
            <wp:extent cx="4572000" cy="2743200"/>
            <wp:effectExtent l="0" t="0" r="0" b="0"/>
            <wp:docPr id="47" name="Chart 47">
              <a:extLst xmlns:a="http://schemas.openxmlformats.org/drawingml/2006/main">
                <a:ext uri="{FF2B5EF4-FFF2-40B4-BE49-F238E27FC236}">
                  <a16:creationId xmlns:a16="http://schemas.microsoft.com/office/drawing/2014/main" id="{C68C8666-B1E4-9903-6917-ACB7788C1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7CA1AC" w14:textId="79660391" w:rsidR="008C09FB" w:rsidRPr="00532F4F" w:rsidRDefault="00130E80" w:rsidP="00532F4F">
      <w:pPr>
        <w:rPr>
          <w:b/>
          <w:color w:val="002C30"/>
        </w:rPr>
      </w:pPr>
      <w:r w:rsidRPr="00532F4F">
        <w:rPr>
          <w:b/>
          <w:color w:val="002C30"/>
        </w:rPr>
        <w:t>Latvia</w:t>
      </w:r>
    </w:p>
    <w:p w14:paraId="346439EC" w14:textId="6275697E" w:rsidR="008A5E87" w:rsidRPr="00B413EC" w:rsidRDefault="00883807" w:rsidP="00611E7C">
      <w:pPr>
        <w:spacing w:after="120"/>
        <w:jc w:val="both"/>
        <w:rPr>
          <w:vertAlign w:val="subscript"/>
        </w:rPr>
      </w:pPr>
      <w:r w:rsidRPr="00CA64DB">
        <w:t>Latvia has a total of 1200 km of transmission pipelines</w:t>
      </w:r>
      <w:r w:rsidR="002738B1">
        <w:t xml:space="preserve">, including </w:t>
      </w:r>
      <w:r w:rsidRPr="00CA64DB">
        <w:t xml:space="preserve">3 </w:t>
      </w:r>
      <w:r w:rsidR="00C30B24">
        <w:t xml:space="preserve">cross-border </w:t>
      </w:r>
      <w:r w:rsidRPr="00CA64DB">
        <w:t>connection points, two with Estonia (</w:t>
      </w:r>
      <w:proofErr w:type="spellStart"/>
      <w:r w:rsidRPr="00CA64DB">
        <w:t>Karksi-Murati</w:t>
      </w:r>
      <w:proofErr w:type="spellEnd"/>
      <w:r w:rsidRPr="00CA64DB">
        <w:t>) and one with Lithuania (</w:t>
      </w:r>
      <w:proofErr w:type="spellStart"/>
      <w:r w:rsidRPr="00CA64DB">
        <w:t>Kiemenia</w:t>
      </w:r>
      <w:proofErr w:type="spellEnd"/>
      <w:r w:rsidRPr="00CA64DB">
        <w:t xml:space="preserve">). JSC Conexus Baltic </w:t>
      </w:r>
      <w:r w:rsidRPr="00237268">
        <w:rPr>
          <w:color w:val="000000" w:themeColor="text1"/>
        </w:rPr>
        <w:t xml:space="preserve">Grid is </w:t>
      </w:r>
      <w:r w:rsidR="00134562">
        <w:rPr>
          <w:color w:val="000000" w:themeColor="text1"/>
        </w:rPr>
        <w:t xml:space="preserve">the </w:t>
      </w:r>
      <w:r w:rsidR="00B06772" w:rsidRPr="00237268">
        <w:rPr>
          <w:color w:val="000000" w:themeColor="text1"/>
        </w:rPr>
        <w:t xml:space="preserve">only </w:t>
      </w:r>
      <w:r w:rsidRPr="00237268">
        <w:rPr>
          <w:color w:val="000000" w:themeColor="text1"/>
        </w:rPr>
        <w:t xml:space="preserve">TSO </w:t>
      </w:r>
      <w:r w:rsidRPr="00CA64DB">
        <w:t xml:space="preserve">in Latvia. </w:t>
      </w:r>
      <w:r w:rsidR="00CA64DB" w:rsidRPr="00CA64DB">
        <w:rPr>
          <w:szCs w:val="22"/>
        </w:rPr>
        <w:t xml:space="preserve">The </w:t>
      </w:r>
      <w:r w:rsidR="00B15192">
        <w:rPr>
          <w:szCs w:val="22"/>
        </w:rPr>
        <w:t xml:space="preserve">recent </w:t>
      </w:r>
      <w:r w:rsidR="00CA64DB" w:rsidRPr="00CA64DB">
        <w:rPr>
          <w:szCs w:val="22"/>
        </w:rPr>
        <w:t>improvement</w:t>
      </w:r>
      <w:r w:rsidR="00B15192">
        <w:rPr>
          <w:szCs w:val="22"/>
        </w:rPr>
        <w:t>s</w:t>
      </w:r>
      <w:r w:rsidR="00CA64DB" w:rsidRPr="00CA64DB">
        <w:rPr>
          <w:szCs w:val="22"/>
        </w:rPr>
        <w:t xml:space="preserve"> of th</w:t>
      </w:r>
      <w:r w:rsidR="00B15192">
        <w:rPr>
          <w:szCs w:val="22"/>
        </w:rPr>
        <w:t>e</w:t>
      </w:r>
      <w:r w:rsidR="00CA64DB" w:rsidRPr="00CA64DB">
        <w:rPr>
          <w:szCs w:val="22"/>
        </w:rPr>
        <w:t xml:space="preserve"> interconnection </w:t>
      </w:r>
      <w:r w:rsidR="00B15192">
        <w:rPr>
          <w:szCs w:val="22"/>
        </w:rPr>
        <w:t>infrastructure enabled</w:t>
      </w:r>
      <w:r w:rsidR="00CA64DB" w:rsidRPr="00CA64DB">
        <w:rPr>
          <w:szCs w:val="22"/>
        </w:rPr>
        <w:t xml:space="preserve"> the increase of natural gas flows to the volumes required in the single Baltic natural gas market and </w:t>
      </w:r>
      <w:r w:rsidR="002738B1">
        <w:rPr>
          <w:szCs w:val="22"/>
        </w:rPr>
        <w:t xml:space="preserve">enable traders/suppliers active in </w:t>
      </w:r>
      <w:r w:rsidR="00CA64DB" w:rsidRPr="00CA64DB">
        <w:rPr>
          <w:szCs w:val="22"/>
        </w:rPr>
        <w:t xml:space="preserve">Estonian </w:t>
      </w:r>
      <w:r w:rsidR="002738B1">
        <w:rPr>
          <w:szCs w:val="22"/>
        </w:rPr>
        <w:t>or</w:t>
      </w:r>
      <w:r w:rsidR="00CA64DB" w:rsidRPr="00CA64DB">
        <w:rPr>
          <w:szCs w:val="22"/>
        </w:rPr>
        <w:t xml:space="preserve"> Fin</w:t>
      </w:r>
      <w:r w:rsidR="002738B1">
        <w:rPr>
          <w:szCs w:val="22"/>
        </w:rPr>
        <w:t>land to also use the</w:t>
      </w:r>
      <w:r w:rsidR="00CA64DB" w:rsidRPr="00CA64DB">
        <w:rPr>
          <w:szCs w:val="22"/>
        </w:rPr>
        <w:t xml:space="preserve"> </w:t>
      </w:r>
      <w:proofErr w:type="spellStart"/>
      <w:r w:rsidR="00CA64DB" w:rsidRPr="00CA64DB">
        <w:rPr>
          <w:szCs w:val="22"/>
        </w:rPr>
        <w:t>Incukalns</w:t>
      </w:r>
      <w:proofErr w:type="spellEnd"/>
      <w:r w:rsidR="00CA64DB" w:rsidRPr="00CA64DB">
        <w:rPr>
          <w:szCs w:val="22"/>
        </w:rPr>
        <w:t xml:space="preserve"> underground gas storage (IUGS)</w:t>
      </w:r>
      <w:r w:rsidR="002738B1">
        <w:rPr>
          <w:szCs w:val="22"/>
        </w:rPr>
        <w:t xml:space="preserve"> in Latvia</w:t>
      </w:r>
      <w:r w:rsidR="00B413EC" w:rsidRPr="00B413EC">
        <w:rPr>
          <w:szCs w:val="22"/>
          <w:vertAlign w:val="superscript"/>
        </w:rPr>
        <w:fldChar w:fldCharType="begin"/>
      </w:r>
      <w:r w:rsidR="00B413EC" w:rsidRPr="00B413EC">
        <w:rPr>
          <w:szCs w:val="22"/>
          <w:vertAlign w:val="superscript"/>
        </w:rPr>
        <w:instrText xml:space="preserve"> NOTEREF _Ref103366949 \h </w:instrText>
      </w:r>
      <w:r w:rsidR="00B413EC">
        <w:rPr>
          <w:szCs w:val="22"/>
          <w:vertAlign w:val="superscript"/>
        </w:rPr>
        <w:instrText xml:space="preserve"> \* MERGEFORMAT </w:instrText>
      </w:r>
      <w:r w:rsidR="00B413EC" w:rsidRPr="00B413EC">
        <w:rPr>
          <w:szCs w:val="22"/>
          <w:vertAlign w:val="superscript"/>
        </w:rPr>
      </w:r>
      <w:r w:rsidR="00B413EC" w:rsidRPr="00B413EC">
        <w:rPr>
          <w:szCs w:val="22"/>
          <w:vertAlign w:val="superscript"/>
        </w:rPr>
        <w:fldChar w:fldCharType="separate"/>
      </w:r>
      <w:r w:rsidR="00265258">
        <w:rPr>
          <w:szCs w:val="22"/>
          <w:vertAlign w:val="superscript"/>
        </w:rPr>
        <w:t>12</w:t>
      </w:r>
      <w:r w:rsidR="00B413EC" w:rsidRPr="00B413EC">
        <w:rPr>
          <w:szCs w:val="22"/>
          <w:vertAlign w:val="superscript"/>
        </w:rPr>
        <w:fldChar w:fldCharType="end"/>
      </w:r>
      <w:r w:rsidR="00B413EC">
        <w:rPr>
          <w:szCs w:val="22"/>
          <w:vertAlign w:val="subscript"/>
        </w:rPr>
        <w:t>.</w:t>
      </w:r>
    </w:p>
    <w:p w14:paraId="7EC353B4" w14:textId="516679D2" w:rsidR="0062163B" w:rsidRDefault="00B413EC" w:rsidP="00E041D7">
      <w:pPr>
        <w:spacing w:after="240"/>
        <w:jc w:val="both"/>
      </w:pPr>
      <w:r w:rsidRPr="007F77E7">
        <w:t xml:space="preserve">The </w:t>
      </w:r>
      <w:r w:rsidR="0057381D">
        <w:t>m</w:t>
      </w:r>
      <w:r w:rsidRPr="007F77E7">
        <w:t xml:space="preserve">aximum technical capacity of the </w:t>
      </w:r>
      <w:r w:rsidR="00174F0C">
        <w:t>Latvian</w:t>
      </w:r>
      <w:r w:rsidRPr="007F77E7">
        <w:t xml:space="preserve"> interconnection points is shown in the following</w:t>
      </w:r>
      <w:r w:rsidR="00134562">
        <w:t xml:space="preserve"> table</w:t>
      </w:r>
      <w:r w:rsidRPr="007F77E7">
        <w:t xml:space="preserve">. The </w:t>
      </w:r>
      <w:proofErr w:type="spellStart"/>
      <w:r w:rsidR="0057381D">
        <w:t>K</w:t>
      </w:r>
      <w:r w:rsidRPr="007F77E7">
        <w:t>arksi</w:t>
      </w:r>
      <w:proofErr w:type="spellEnd"/>
      <w:r w:rsidRPr="007F77E7">
        <w:t xml:space="preserve">, and </w:t>
      </w:r>
      <w:r w:rsidR="0062163B">
        <w:t>Lithuanian connection points</w:t>
      </w:r>
      <w:r w:rsidRPr="007F77E7">
        <w:t xml:space="preserve"> </w:t>
      </w:r>
      <w:r w:rsidR="0057381D">
        <w:t>allow</w:t>
      </w:r>
      <w:r w:rsidRPr="007F77E7">
        <w:t xml:space="preserve"> bidirectional</w:t>
      </w:r>
      <w:r w:rsidR="0008702B">
        <w:t xml:space="preserve"> flow</w:t>
      </w:r>
      <w:r w:rsidR="0057381D">
        <w:t>s;</w:t>
      </w:r>
      <w:r w:rsidRPr="007F77E7">
        <w:t xml:space="preserve"> </w:t>
      </w:r>
      <w:r w:rsidR="0057381D">
        <w:t xml:space="preserve">natural </w:t>
      </w:r>
      <w:r w:rsidR="0008702B" w:rsidRPr="007F77E7">
        <w:t xml:space="preserve">gas </w:t>
      </w:r>
      <w:r w:rsidR="0008702B">
        <w:t>is being</w:t>
      </w:r>
      <w:r w:rsidR="0008702B" w:rsidRPr="007F77E7">
        <w:t xml:space="preserve"> imported and exported through the </w:t>
      </w:r>
      <w:r w:rsidR="0008702B">
        <w:t>following interconnection points</w:t>
      </w:r>
      <w:r w:rsidR="0008702B" w:rsidRPr="007F77E7">
        <w:t>.</w:t>
      </w:r>
    </w:p>
    <w:p w14:paraId="056067FF" w14:textId="3E3764C6" w:rsidR="008562C9" w:rsidRDefault="0062163B" w:rsidP="008D3089">
      <w:pPr>
        <w:pStyle w:val="Bijschrift"/>
      </w:pPr>
      <w:bookmarkStart w:id="46" w:name="_Ref103372838"/>
      <w:r>
        <w:t>Table</w:t>
      </w:r>
      <w:r w:rsidR="00C42617">
        <w:t xml:space="preserve"> </w:t>
      </w:r>
      <w:bookmarkEnd w:id="46"/>
      <w:r w:rsidR="004F3F0A">
        <w:fldChar w:fldCharType="begin"/>
      </w:r>
      <w:r w:rsidR="004F3F0A">
        <w:instrText xml:space="preserve"> STYLEREF 1 \s </w:instrText>
      </w:r>
      <w:r w:rsidR="004F3F0A">
        <w:fldChar w:fldCharType="separate"/>
      </w:r>
      <w:r w:rsidR="00265258">
        <w:rPr>
          <w:noProof/>
        </w:rPr>
        <w:t>3</w:t>
      </w:r>
      <w:r w:rsidR="004F3F0A">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2</w:t>
      </w:r>
      <w:r w:rsidR="006D12F8">
        <w:rPr>
          <w:noProof/>
        </w:rPr>
        <w:fldChar w:fldCharType="end"/>
      </w:r>
      <w:r>
        <w:t>. Technical capacity of Latvian gas connection points</w:t>
      </w:r>
      <w:r w:rsidR="009531B9" w:rsidRPr="009531B9">
        <w:rPr>
          <w:vertAlign w:val="superscript"/>
        </w:rPr>
        <w:fldChar w:fldCharType="begin"/>
      </w:r>
      <w:r w:rsidR="009531B9" w:rsidRPr="009531B9">
        <w:rPr>
          <w:vertAlign w:val="superscript"/>
        </w:rPr>
        <w:instrText xml:space="preserve"> NOTEREF _Ref103366949 \h </w:instrText>
      </w:r>
      <w:r w:rsidR="009531B9">
        <w:rPr>
          <w:vertAlign w:val="superscript"/>
        </w:rPr>
        <w:instrText xml:space="preserve"> \* MERGEFORMAT </w:instrText>
      </w:r>
      <w:r w:rsidR="009531B9" w:rsidRPr="009531B9">
        <w:rPr>
          <w:vertAlign w:val="superscript"/>
        </w:rPr>
      </w:r>
      <w:r w:rsidR="009531B9" w:rsidRPr="009531B9">
        <w:rPr>
          <w:vertAlign w:val="superscript"/>
        </w:rPr>
        <w:fldChar w:fldCharType="separate"/>
      </w:r>
      <w:r w:rsidR="00265258">
        <w:rPr>
          <w:vertAlign w:val="superscript"/>
        </w:rPr>
        <w:t>12</w:t>
      </w:r>
      <w:r w:rsidR="009531B9" w:rsidRPr="009531B9">
        <w:rPr>
          <w:vertAlign w:val="superscript"/>
        </w:rPr>
        <w:fldChar w:fldCharType="end"/>
      </w:r>
    </w:p>
    <w:tbl>
      <w:tblPr>
        <w:tblStyle w:val="Tabelraster"/>
        <w:tblW w:w="0" w:type="auto"/>
        <w:jc w:val="right"/>
        <w:tblLook w:val="04A0" w:firstRow="1" w:lastRow="0" w:firstColumn="1" w:lastColumn="0" w:noHBand="0" w:noVBand="1"/>
      </w:tblPr>
      <w:tblGrid>
        <w:gridCol w:w="4531"/>
        <w:gridCol w:w="3921"/>
      </w:tblGrid>
      <w:tr w:rsidR="00A8406A" w14:paraId="0E319213" w14:textId="77777777" w:rsidTr="007B6C99">
        <w:trPr>
          <w:tblHeader/>
          <w:jc w:val="right"/>
        </w:trPr>
        <w:tc>
          <w:tcPr>
            <w:tcW w:w="4531" w:type="dxa"/>
            <w:shd w:val="clear" w:color="auto" w:fill="005962" w:themeFill="accent1"/>
          </w:tcPr>
          <w:p w14:paraId="1C6287B1" w14:textId="77777777" w:rsidR="00A8406A" w:rsidRPr="00A8406A" w:rsidRDefault="00A8406A" w:rsidP="0093174D">
            <w:pPr>
              <w:spacing w:before="40" w:after="40"/>
              <w:jc w:val="center"/>
              <w:rPr>
                <w:color w:val="FFFFFF" w:themeColor="background1"/>
              </w:rPr>
            </w:pPr>
            <w:r w:rsidRPr="00A8406A">
              <w:rPr>
                <w:rFonts w:eastAsia="Times New Roman"/>
                <w:b/>
                <w:bCs/>
                <w:color w:val="FFFFFF" w:themeColor="background1"/>
                <w:szCs w:val="22"/>
                <w:lang w:val="en-IN" w:eastAsia="en-IN"/>
              </w:rPr>
              <w:t>Interconnector</w:t>
            </w:r>
          </w:p>
        </w:tc>
        <w:tc>
          <w:tcPr>
            <w:tcW w:w="3921" w:type="dxa"/>
            <w:shd w:val="clear" w:color="auto" w:fill="005962" w:themeFill="accent1"/>
          </w:tcPr>
          <w:p w14:paraId="0AFC5ABC" w14:textId="77777777" w:rsidR="00A8406A" w:rsidRPr="00A8406A" w:rsidRDefault="00A8406A" w:rsidP="0093174D">
            <w:pPr>
              <w:spacing w:before="40" w:after="40"/>
              <w:jc w:val="center"/>
              <w:rPr>
                <w:color w:val="FFFFFF" w:themeColor="background1"/>
              </w:rPr>
            </w:pPr>
            <w:r w:rsidRPr="00A8406A">
              <w:rPr>
                <w:rFonts w:eastAsia="Times New Roman"/>
                <w:b/>
                <w:bCs/>
                <w:color w:val="FFFFFF" w:themeColor="background1"/>
                <w:szCs w:val="22"/>
                <w:lang w:val="en-IN" w:eastAsia="en-IN"/>
              </w:rPr>
              <w:t>Maximum Technical capacity</w:t>
            </w:r>
          </w:p>
        </w:tc>
      </w:tr>
      <w:tr w:rsidR="00A8406A" w14:paraId="526B0547" w14:textId="77777777" w:rsidTr="002A41FE">
        <w:trPr>
          <w:jc w:val="right"/>
        </w:trPr>
        <w:tc>
          <w:tcPr>
            <w:tcW w:w="4531" w:type="dxa"/>
            <w:vAlign w:val="center"/>
          </w:tcPr>
          <w:p w14:paraId="1EBDAA16" w14:textId="056990B9" w:rsidR="00A8406A" w:rsidRPr="002A41FE" w:rsidRDefault="00A8406A" w:rsidP="0093174D">
            <w:pPr>
              <w:spacing w:before="40" w:after="40"/>
              <w:jc w:val="center"/>
              <w:rPr>
                <w:color w:val="000000" w:themeColor="text1"/>
              </w:rPr>
            </w:pPr>
            <w:r w:rsidRPr="002A41FE">
              <w:rPr>
                <w:rFonts w:cs="Calibri"/>
                <w:color w:val="000000" w:themeColor="text1"/>
              </w:rPr>
              <w:t>Latvia-Estonia</w:t>
            </w:r>
            <w:r w:rsidR="002A41FE" w:rsidRPr="002A41FE">
              <w:rPr>
                <w:rFonts w:cs="Calibri"/>
                <w:color w:val="000000" w:themeColor="text1"/>
              </w:rPr>
              <w:t xml:space="preserve"> (</w:t>
            </w:r>
            <w:proofErr w:type="spellStart"/>
            <w:r w:rsidR="002A41FE" w:rsidRPr="002A41FE">
              <w:rPr>
                <w:rFonts w:cs="Calibri"/>
                <w:color w:val="000000" w:themeColor="text1"/>
              </w:rPr>
              <w:t>Karksi</w:t>
            </w:r>
            <w:proofErr w:type="spellEnd"/>
            <w:r w:rsidR="002A41FE" w:rsidRPr="002A41FE">
              <w:rPr>
                <w:rFonts w:cs="Calibri"/>
                <w:color w:val="000000" w:themeColor="text1"/>
              </w:rPr>
              <w:t>,</w:t>
            </w:r>
            <w:r w:rsidRPr="002A41FE">
              <w:rPr>
                <w:rFonts w:cs="Calibri"/>
                <w:color w:val="000000" w:themeColor="text1"/>
              </w:rPr>
              <w:t xml:space="preserve"> Bi-</w:t>
            </w:r>
            <w:r w:rsidR="002A41FE" w:rsidRPr="002A41FE">
              <w:rPr>
                <w:rFonts w:cs="Calibri"/>
                <w:color w:val="000000" w:themeColor="text1"/>
              </w:rPr>
              <w:t xml:space="preserve"> </w:t>
            </w:r>
            <w:r w:rsidRPr="002A41FE">
              <w:rPr>
                <w:rFonts w:cs="Calibri"/>
                <w:color w:val="000000" w:themeColor="text1"/>
              </w:rPr>
              <w:t>directional</w:t>
            </w:r>
            <w:r w:rsidR="002A41FE" w:rsidRPr="002A41FE">
              <w:rPr>
                <w:rFonts w:cs="Calibri"/>
                <w:color w:val="000000" w:themeColor="text1"/>
              </w:rPr>
              <w:t>)</w:t>
            </w:r>
          </w:p>
        </w:tc>
        <w:tc>
          <w:tcPr>
            <w:tcW w:w="3921" w:type="dxa"/>
          </w:tcPr>
          <w:p w14:paraId="6D32D6E5" w14:textId="77777777" w:rsidR="00A8406A" w:rsidRDefault="00A8406A" w:rsidP="0093174D">
            <w:pPr>
              <w:spacing w:before="40" w:after="40"/>
              <w:jc w:val="center"/>
            </w:pPr>
            <w:r w:rsidRPr="00DD0962">
              <w:t>73.5 GWh/d</w:t>
            </w:r>
          </w:p>
        </w:tc>
      </w:tr>
      <w:tr w:rsidR="00A8406A" w14:paraId="454C2559" w14:textId="77777777" w:rsidTr="002A41FE">
        <w:trPr>
          <w:jc w:val="right"/>
        </w:trPr>
        <w:tc>
          <w:tcPr>
            <w:tcW w:w="4531" w:type="dxa"/>
            <w:vAlign w:val="center"/>
          </w:tcPr>
          <w:p w14:paraId="6EB658D2" w14:textId="46FEF1D7" w:rsidR="00A8406A" w:rsidRPr="002576D8" w:rsidRDefault="00A8406A" w:rsidP="0093174D">
            <w:pPr>
              <w:spacing w:before="40" w:after="40"/>
              <w:jc w:val="center"/>
              <w:rPr>
                <w:color w:val="000000" w:themeColor="text1"/>
                <w:lang w:val="fr-CA"/>
              </w:rPr>
            </w:pPr>
            <w:proofErr w:type="spellStart"/>
            <w:r w:rsidRPr="002576D8">
              <w:rPr>
                <w:rFonts w:cs="Calibri"/>
                <w:color w:val="000000" w:themeColor="text1"/>
                <w:lang w:val="fr-CA"/>
              </w:rPr>
              <w:t>Lithuania</w:t>
            </w:r>
            <w:proofErr w:type="spellEnd"/>
            <w:r w:rsidRPr="002576D8">
              <w:rPr>
                <w:rFonts w:cs="Calibri"/>
                <w:color w:val="000000" w:themeColor="text1"/>
                <w:lang w:val="fr-CA"/>
              </w:rPr>
              <w:t xml:space="preserve"> - </w:t>
            </w:r>
            <w:proofErr w:type="spellStart"/>
            <w:r w:rsidRPr="002576D8">
              <w:rPr>
                <w:rFonts w:cs="Calibri"/>
                <w:color w:val="000000" w:themeColor="text1"/>
                <w:lang w:val="fr-CA"/>
              </w:rPr>
              <w:t>Latvia</w:t>
            </w:r>
            <w:proofErr w:type="spellEnd"/>
            <w:r w:rsidR="002A41FE" w:rsidRPr="002576D8">
              <w:rPr>
                <w:rFonts w:cs="Calibri"/>
                <w:color w:val="000000" w:themeColor="text1"/>
                <w:lang w:val="fr-CA"/>
              </w:rPr>
              <w:t xml:space="preserve"> (</w:t>
            </w:r>
            <w:proofErr w:type="spellStart"/>
            <w:r w:rsidR="002A41FE" w:rsidRPr="002576D8">
              <w:rPr>
                <w:rFonts w:cs="Calibri"/>
                <w:color w:val="000000" w:themeColor="text1"/>
                <w:lang w:val="fr-CA"/>
              </w:rPr>
              <w:t>Kiemenai</w:t>
            </w:r>
            <w:proofErr w:type="spellEnd"/>
            <w:r w:rsidR="002A41FE" w:rsidRPr="002576D8">
              <w:rPr>
                <w:rFonts w:cs="Calibri"/>
                <w:color w:val="000000" w:themeColor="text1"/>
                <w:lang w:val="fr-CA"/>
              </w:rPr>
              <w:t>)</w:t>
            </w:r>
          </w:p>
        </w:tc>
        <w:tc>
          <w:tcPr>
            <w:tcW w:w="3921" w:type="dxa"/>
          </w:tcPr>
          <w:p w14:paraId="647A5CEF" w14:textId="77777777" w:rsidR="00A8406A" w:rsidRDefault="00A8406A" w:rsidP="0093174D">
            <w:pPr>
              <w:spacing w:before="40" w:after="40"/>
              <w:jc w:val="center"/>
            </w:pPr>
            <w:r w:rsidRPr="00DD0962">
              <w:t>67.6 GWh/d</w:t>
            </w:r>
          </w:p>
        </w:tc>
      </w:tr>
      <w:tr w:rsidR="00A8406A" w14:paraId="4EE9E4A9" w14:textId="77777777" w:rsidTr="002A41FE">
        <w:trPr>
          <w:jc w:val="right"/>
        </w:trPr>
        <w:tc>
          <w:tcPr>
            <w:tcW w:w="4531" w:type="dxa"/>
            <w:vAlign w:val="center"/>
          </w:tcPr>
          <w:p w14:paraId="1541B016" w14:textId="43453C45" w:rsidR="00A8406A" w:rsidRPr="002576D8" w:rsidRDefault="00A8406A" w:rsidP="0093174D">
            <w:pPr>
              <w:spacing w:before="40" w:after="40"/>
              <w:jc w:val="center"/>
              <w:rPr>
                <w:color w:val="000000" w:themeColor="text1"/>
                <w:lang w:val="fr-CA"/>
              </w:rPr>
            </w:pPr>
            <w:proofErr w:type="spellStart"/>
            <w:r w:rsidRPr="002576D8">
              <w:rPr>
                <w:rFonts w:cs="Calibri"/>
                <w:color w:val="000000" w:themeColor="text1"/>
                <w:lang w:val="fr-CA"/>
              </w:rPr>
              <w:t>Latvia</w:t>
            </w:r>
            <w:proofErr w:type="spellEnd"/>
            <w:r w:rsidRPr="002576D8">
              <w:rPr>
                <w:rFonts w:cs="Calibri"/>
                <w:color w:val="000000" w:themeColor="text1"/>
                <w:lang w:val="fr-CA"/>
              </w:rPr>
              <w:t xml:space="preserve"> - </w:t>
            </w:r>
            <w:proofErr w:type="spellStart"/>
            <w:r w:rsidRPr="002576D8">
              <w:rPr>
                <w:rFonts w:cs="Calibri"/>
                <w:color w:val="000000" w:themeColor="text1"/>
                <w:lang w:val="fr-CA"/>
              </w:rPr>
              <w:t>Lithuania</w:t>
            </w:r>
            <w:proofErr w:type="spellEnd"/>
            <w:r w:rsidR="002A41FE" w:rsidRPr="002576D8">
              <w:rPr>
                <w:rFonts w:cs="Calibri"/>
                <w:color w:val="000000" w:themeColor="text1"/>
                <w:lang w:val="fr-CA"/>
              </w:rPr>
              <w:t xml:space="preserve"> (</w:t>
            </w:r>
            <w:proofErr w:type="spellStart"/>
            <w:r w:rsidR="002A41FE" w:rsidRPr="002576D8">
              <w:rPr>
                <w:rFonts w:cs="Calibri"/>
                <w:color w:val="000000" w:themeColor="text1"/>
                <w:lang w:val="fr-CA"/>
              </w:rPr>
              <w:t>Kiemenai</w:t>
            </w:r>
            <w:proofErr w:type="spellEnd"/>
            <w:r w:rsidR="002A41FE" w:rsidRPr="002576D8">
              <w:rPr>
                <w:rFonts w:cs="Calibri"/>
                <w:color w:val="000000" w:themeColor="text1"/>
                <w:lang w:val="fr-CA"/>
              </w:rPr>
              <w:t>)</w:t>
            </w:r>
          </w:p>
        </w:tc>
        <w:tc>
          <w:tcPr>
            <w:tcW w:w="3921" w:type="dxa"/>
          </w:tcPr>
          <w:p w14:paraId="140CECEC" w14:textId="77777777" w:rsidR="00A8406A" w:rsidRDefault="00A8406A" w:rsidP="0093174D">
            <w:pPr>
              <w:spacing w:before="40" w:after="40"/>
              <w:jc w:val="center"/>
            </w:pPr>
            <w:r w:rsidRPr="00DD0962">
              <w:t>65.1 GWh/d</w:t>
            </w:r>
          </w:p>
        </w:tc>
      </w:tr>
    </w:tbl>
    <w:p w14:paraId="1CA90CF3" w14:textId="77777777" w:rsidR="00A8406A" w:rsidRPr="00A8406A" w:rsidRDefault="00A8406A" w:rsidP="00A8406A">
      <w:pPr>
        <w:jc w:val="center"/>
      </w:pPr>
    </w:p>
    <w:p w14:paraId="1395457E" w14:textId="1F8EC039" w:rsidR="00385D8F" w:rsidRDefault="00385D8F" w:rsidP="00385D8F">
      <w:pPr>
        <w:jc w:val="both"/>
      </w:pPr>
      <w:r w:rsidRPr="00130E80">
        <w:t>The historical gas flow</w:t>
      </w:r>
      <w:r w:rsidR="0057381D">
        <w:t>s</w:t>
      </w:r>
      <w:r w:rsidRPr="00130E80">
        <w:t xml:space="preserve"> </w:t>
      </w:r>
      <w:r w:rsidR="0057381D">
        <w:t>at the different</w:t>
      </w:r>
      <w:r w:rsidRPr="00130E80">
        <w:t xml:space="preserve"> interconnection point</w:t>
      </w:r>
      <w:r w:rsidR="0057381D">
        <w:t>s</w:t>
      </w:r>
      <w:r w:rsidRPr="00130E80">
        <w:t xml:space="preserve"> </w:t>
      </w:r>
      <w:r w:rsidR="0057381D">
        <w:t>are</w:t>
      </w:r>
      <w:r w:rsidRPr="00130E80">
        <w:t xml:space="preserve"> shown in </w:t>
      </w:r>
      <w:r w:rsidR="0063700F" w:rsidRPr="0063700F">
        <w:rPr>
          <w:b/>
          <w:bCs/>
        </w:rPr>
        <w:fldChar w:fldCharType="begin"/>
      </w:r>
      <w:r w:rsidR="0063700F" w:rsidRPr="0063700F">
        <w:rPr>
          <w:b/>
          <w:bCs/>
        </w:rPr>
        <w:instrText xml:space="preserve"> REF _Ref103374066 \h </w:instrText>
      </w:r>
      <w:r w:rsidR="0063700F">
        <w:rPr>
          <w:b/>
          <w:bCs/>
        </w:rPr>
        <w:instrText xml:space="preserve"> \* MERGEFORMAT </w:instrText>
      </w:r>
      <w:r w:rsidR="0063700F" w:rsidRPr="0063700F">
        <w:rPr>
          <w:b/>
          <w:bCs/>
        </w:rPr>
      </w:r>
      <w:r w:rsidR="0063700F" w:rsidRPr="0063700F">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13</w:t>
      </w:r>
      <w:r w:rsidR="0063700F" w:rsidRPr="0063700F">
        <w:rPr>
          <w:b/>
          <w:bCs/>
        </w:rPr>
        <w:fldChar w:fldCharType="end"/>
      </w:r>
      <w:r w:rsidRPr="00130E80">
        <w:t xml:space="preserve">. The gas flow fluctuates based on the market demand </w:t>
      </w:r>
      <w:r w:rsidR="0057381D">
        <w:t xml:space="preserve">fluctuations </w:t>
      </w:r>
      <w:r w:rsidRPr="00130E80">
        <w:t xml:space="preserve">and </w:t>
      </w:r>
      <w:r w:rsidR="0057381D">
        <w:t>trade opportunities</w:t>
      </w:r>
      <w:r w:rsidRPr="00130E80">
        <w:t xml:space="preserve">. </w:t>
      </w:r>
      <w:r w:rsidR="0057381D">
        <w:t xml:space="preserve">The </w:t>
      </w:r>
      <w:r w:rsidRPr="00130E80">
        <w:t xml:space="preserve">different gas import </w:t>
      </w:r>
      <w:r w:rsidRPr="00130E80">
        <w:lastRenderedPageBreak/>
        <w:t xml:space="preserve">and export flows </w:t>
      </w:r>
      <w:r w:rsidR="0057381D">
        <w:t xml:space="preserve">are presented </w:t>
      </w:r>
      <w:r w:rsidRPr="00130E80">
        <w:t>in the following figure</w:t>
      </w:r>
      <w:r w:rsidR="005B7907">
        <w:t xml:space="preserve"> which includes the inject</w:t>
      </w:r>
      <w:r w:rsidR="0057381D">
        <w:t>ed</w:t>
      </w:r>
      <w:r w:rsidR="005B7907">
        <w:t xml:space="preserve"> and withdrawn </w:t>
      </w:r>
      <w:r w:rsidR="0057381D">
        <w:t xml:space="preserve">gas </w:t>
      </w:r>
      <w:r w:rsidR="005B7907">
        <w:t>volume in IUGS</w:t>
      </w:r>
      <w:r w:rsidRPr="00130E80">
        <w:t>.</w:t>
      </w:r>
      <w:r w:rsidR="00195FAA">
        <w:t xml:space="preserve"> The complete data is available only from 2018.</w:t>
      </w:r>
    </w:p>
    <w:p w14:paraId="02EE4900" w14:textId="77777777" w:rsidR="00261657" w:rsidRDefault="00261657" w:rsidP="00385D8F">
      <w:pPr>
        <w:jc w:val="both"/>
      </w:pPr>
    </w:p>
    <w:p w14:paraId="4AB17811" w14:textId="2A00FCCB" w:rsidR="008562C9" w:rsidRDefault="00261657" w:rsidP="008D3089">
      <w:pPr>
        <w:pStyle w:val="Bijschrift"/>
      </w:pPr>
      <w:bookmarkStart w:id="47" w:name="_Ref103374066"/>
      <w:r>
        <w:t>Figure</w:t>
      </w:r>
      <w:r w:rsidR="00871BFC">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13</w:t>
      </w:r>
      <w:r w:rsidR="006D12F8">
        <w:rPr>
          <w:noProof/>
        </w:rPr>
        <w:fldChar w:fldCharType="end"/>
      </w:r>
      <w:bookmarkEnd w:id="47"/>
      <w:r>
        <w:t xml:space="preserve">. </w:t>
      </w:r>
      <w:r w:rsidRPr="00C93E4C">
        <w:rPr>
          <w:lang w:val="en-US"/>
        </w:rPr>
        <w:t>NG volume flow</w:t>
      </w:r>
      <w:r w:rsidR="0057381D">
        <w:rPr>
          <w:lang w:val="en-US"/>
        </w:rPr>
        <w:t>s</w:t>
      </w:r>
      <w:r w:rsidRPr="00C93E4C">
        <w:rPr>
          <w:lang w:val="en-US"/>
        </w:rPr>
        <w:t xml:space="preserve"> in interconnection points</w:t>
      </w:r>
      <w:r>
        <w:rPr>
          <w:lang w:val="en-US"/>
        </w:rPr>
        <w:t xml:space="preserve"> of Latvia</w:t>
      </w:r>
      <w:bookmarkStart w:id="48" w:name="_Ref103373466"/>
      <w:r w:rsidR="00E7260F">
        <w:rPr>
          <w:rStyle w:val="Voetnootmarkering"/>
          <w:lang w:val="en-US"/>
        </w:rPr>
        <w:footnoteReference w:id="15"/>
      </w:r>
      <w:bookmarkEnd w:id="48"/>
    </w:p>
    <w:p w14:paraId="173BCC23" w14:textId="6F6DDFC0" w:rsidR="00075D96" w:rsidRDefault="00C5431F" w:rsidP="00261657">
      <w:pPr>
        <w:jc w:val="center"/>
      </w:pPr>
      <w:r>
        <w:rPr>
          <w:noProof/>
        </w:rPr>
        <w:drawing>
          <wp:inline distT="0" distB="0" distL="0" distR="0" wp14:anchorId="587A93C0" wp14:editId="643C534E">
            <wp:extent cx="4572000" cy="2743200"/>
            <wp:effectExtent l="0" t="0" r="0" b="0"/>
            <wp:docPr id="50" name="Chart 50">
              <a:extLst xmlns:a="http://schemas.openxmlformats.org/drawingml/2006/main">
                <a:ext uri="{FF2B5EF4-FFF2-40B4-BE49-F238E27FC236}">
                  <a16:creationId xmlns:a16="http://schemas.microsoft.com/office/drawing/2014/main" id="{DC70871C-BC87-68E2-B3F3-7FF880A3E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3CEB2C" w14:textId="5EAA8675" w:rsidR="009032F9" w:rsidRPr="00B6276C" w:rsidRDefault="008A5E87" w:rsidP="009032F9">
      <w:pPr>
        <w:rPr>
          <w:b/>
          <w:color w:val="002C30"/>
        </w:rPr>
      </w:pPr>
      <w:r w:rsidRPr="00B6276C">
        <w:rPr>
          <w:b/>
          <w:color w:val="002C30"/>
        </w:rPr>
        <w:t>Lithuania</w:t>
      </w:r>
    </w:p>
    <w:p w14:paraId="7798D5B7" w14:textId="16DFD4D8" w:rsidR="009032F9" w:rsidRPr="0098382C" w:rsidRDefault="009032F9" w:rsidP="0098382C">
      <w:pPr>
        <w:spacing w:after="120"/>
        <w:jc w:val="both"/>
      </w:pPr>
      <w:r w:rsidRPr="009032F9">
        <w:t>Lithuania has 2100 km of transmission pipelines</w:t>
      </w:r>
      <w:r w:rsidR="0057381D">
        <w:t xml:space="preserve">, including </w:t>
      </w:r>
      <w:r w:rsidRPr="009032F9">
        <w:t xml:space="preserve">3 </w:t>
      </w:r>
      <w:r w:rsidR="00AE586D">
        <w:t>inter</w:t>
      </w:r>
      <w:r w:rsidRPr="009032F9">
        <w:t xml:space="preserve">connection points, </w:t>
      </w:r>
      <w:r w:rsidR="00AE586D">
        <w:t xml:space="preserve">one </w:t>
      </w:r>
      <w:r w:rsidRPr="009032F9">
        <w:t>with Belarus (</w:t>
      </w:r>
      <w:proofErr w:type="spellStart"/>
      <w:r w:rsidRPr="009032F9">
        <w:t>Kotlovka</w:t>
      </w:r>
      <w:proofErr w:type="spellEnd"/>
      <w:r w:rsidRPr="009032F9">
        <w:t>), a bidirectional connect</w:t>
      </w:r>
      <w:r w:rsidR="00AE586D">
        <w:t>or</w:t>
      </w:r>
      <w:r w:rsidRPr="009032F9">
        <w:t xml:space="preserve"> with Latvia (</w:t>
      </w:r>
      <w:proofErr w:type="spellStart"/>
      <w:r w:rsidRPr="009032F9">
        <w:t>Kiemenia</w:t>
      </w:r>
      <w:proofErr w:type="spellEnd"/>
      <w:r w:rsidRPr="009032F9">
        <w:t>), and a</w:t>
      </w:r>
      <w:r w:rsidR="00AE586D">
        <w:t>n</w:t>
      </w:r>
      <w:r w:rsidRPr="009032F9">
        <w:t xml:space="preserve"> </w:t>
      </w:r>
      <w:r w:rsidR="00AE586D">
        <w:t>inter</w:t>
      </w:r>
      <w:r w:rsidRPr="009032F9">
        <w:t>connecti</w:t>
      </w:r>
      <w:r w:rsidR="00AE586D">
        <w:t>on</w:t>
      </w:r>
      <w:r w:rsidRPr="009032F9">
        <w:t xml:space="preserve"> point with Kaliningrad (</w:t>
      </w:r>
      <w:proofErr w:type="spellStart"/>
      <w:r w:rsidRPr="009032F9">
        <w:t>Šakiai</w:t>
      </w:r>
      <w:proofErr w:type="spellEnd"/>
      <w:r w:rsidRPr="009032F9">
        <w:t xml:space="preserve">). </w:t>
      </w:r>
      <w:r w:rsidR="00AE586D">
        <w:t>Since</w:t>
      </w:r>
      <w:r w:rsidR="003010AB">
        <w:t xml:space="preserve"> </w:t>
      </w:r>
      <w:r w:rsidR="003010AB" w:rsidRPr="00531FB5">
        <w:rPr>
          <w:szCs w:val="22"/>
        </w:rPr>
        <w:t>5</w:t>
      </w:r>
      <w:r w:rsidR="00AE586D">
        <w:rPr>
          <w:szCs w:val="22"/>
        </w:rPr>
        <w:t xml:space="preserve"> </w:t>
      </w:r>
      <w:r w:rsidR="003010AB">
        <w:t>May 2022,</w:t>
      </w:r>
      <w:r w:rsidR="003010AB" w:rsidRPr="009032F9">
        <w:t xml:space="preserve"> </w:t>
      </w:r>
      <w:r w:rsidR="003010AB">
        <w:t xml:space="preserve">Lithuania and Poland </w:t>
      </w:r>
      <w:r w:rsidR="003010AB" w:rsidRPr="00531FB5">
        <w:rPr>
          <w:szCs w:val="22"/>
        </w:rPr>
        <w:t xml:space="preserve">gas </w:t>
      </w:r>
      <w:r w:rsidR="0044673C">
        <w:rPr>
          <w:szCs w:val="22"/>
        </w:rPr>
        <w:t>pipe</w:t>
      </w:r>
      <w:r w:rsidR="003010AB" w:rsidRPr="00531FB5">
        <w:rPr>
          <w:szCs w:val="22"/>
        </w:rPr>
        <w:t xml:space="preserve">lines </w:t>
      </w:r>
      <w:r w:rsidR="00602426">
        <w:rPr>
          <w:szCs w:val="22"/>
        </w:rPr>
        <w:t>are</w:t>
      </w:r>
      <w:r w:rsidR="003010AB" w:rsidRPr="00531FB5">
        <w:rPr>
          <w:szCs w:val="22"/>
        </w:rPr>
        <w:t xml:space="preserve"> connected via the </w:t>
      </w:r>
      <w:r w:rsidR="00EC6A23">
        <w:rPr>
          <w:szCs w:val="22"/>
        </w:rPr>
        <w:t xml:space="preserve">508 km long </w:t>
      </w:r>
      <w:r w:rsidR="003010AB" w:rsidRPr="00531FB5">
        <w:rPr>
          <w:szCs w:val="22"/>
        </w:rPr>
        <w:t>Gas Interconnection Lithuania–Poland (GIPL)</w:t>
      </w:r>
      <w:r w:rsidR="00602426">
        <w:rPr>
          <w:szCs w:val="22"/>
        </w:rPr>
        <w:t xml:space="preserve"> </w:t>
      </w:r>
      <w:r w:rsidR="00AD6C33">
        <w:rPr>
          <w:szCs w:val="22"/>
        </w:rPr>
        <w:t>pipeline</w:t>
      </w:r>
      <w:r w:rsidR="00E31D16">
        <w:rPr>
          <w:rStyle w:val="Voetnootmarkering"/>
          <w:szCs w:val="22"/>
        </w:rPr>
        <w:footnoteReference w:id="16"/>
      </w:r>
      <w:r w:rsidR="009E0864">
        <w:rPr>
          <w:szCs w:val="22"/>
        </w:rPr>
        <w:t xml:space="preserve">. </w:t>
      </w:r>
      <w:r w:rsidR="00134562">
        <w:rPr>
          <w:szCs w:val="22"/>
        </w:rPr>
        <w:t xml:space="preserve">Since then, </w:t>
      </w:r>
      <w:r w:rsidR="00801A99">
        <w:t xml:space="preserve">gas is </w:t>
      </w:r>
      <w:r w:rsidR="00602426" w:rsidRPr="009032F9">
        <w:t xml:space="preserve">flowing between Poland and the </w:t>
      </w:r>
      <w:r w:rsidR="00EC6A23">
        <w:t xml:space="preserve">Baltic </w:t>
      </w:r>
      <w:r w:rsidR="00602426" w:rsidRPr="009032F9">
        <w:t>gas network</w:t>
      </w:r>
      <w:r w:rsidR="00AD6C33">
        <w:t>.</w:t>
      </w:r>
      <w:r w:rsidRPr="009032F9">
        <w:t xml:space="preserve"> Ab Amber Grid is the</w:t>
      </w:r>
      <w:r w:rsidR="00FB1574">
        <w:t xml:space="preserve"> only</w:t>
      </w:r>
      <w:r w:rsidRPr="009032F9">
        <w:t xml:space="preserve"> TSO in Lithuania.</w:t>
      </w:r>
      <w:r w:rsidR="00126077">
        <w:t xml:space="preserve"> </w:t>
      </w:r>
      <w:r w:rsidR="00AE586D">
        <w:t xml:space="preserve">The planned increase </w:t>
      </w:r>
      <w:r w:rsidR="00126077" w:rsidRPr="00531FB5">
        <w:rPr>
          <w:szCs w:val="22"/>
        </w:rPr>
        <w:t xml:space="preserve">of the Latvia-Lithuania interconnection capacity will enable the exchange of greater volumes of natural gas between Latvia and Lithuania, which </w:t>
      </w:r>
      <w:r w:rsidR="00AE586D">
        <w:rPr>
          <w:szCs w:val="22"/>
        </w:rPr>
        <w:t>is</w:t>
      </w:r>
      <w:r w:rsidR="00126077" w:rsidRPr="00531FB5">
        <w:rPr>
          <w:szCs w:val="22"/>
        </w:rPr>
        <w:t xml:space="preserve"> especially important </w:t>
      </w:r>
      <w:r w:rsidR="00AE586D">
        <w:rPr>
          <w:szCs w:val="22"/>
        </w:rPr>
        <w:t>to</w:t>
      </w:r>
      <w:r w:rsidR="00126077" w:rsidRPr="00531FB5">
        <w:rPr>
          <w:szCs w:val="22"/>
        </w:rPr>
        <w:t xml:space="preserve"> establish</w:t>
      </w:r>
      <w:r w:rsidR="00AE586D">
        <w:rPr>
          <w:szCs w:val="22"/>
        </w:rPr>
        <w:t xml:space="preserve"> a fully integrated </w:t>
      </w:r>
      <w:r w:rsidR="00126077" w:rsidRPr="00531FB5">
        <w:rPr>
          <w:szCs w:val="22"/>
        </w:rPr>
        <w:t xml:space="preserve">single Baltic natural gas market. </w:t>
      </w:r>
      <w:r w:rsidR="00AE586D">
        <w:rPr>
          <w:szCs w:val="22"/>
        </w:rPr>
        <w:t>T</w:t>
      </w:r>
      <w:r w:rsidR="00126077" w:rsidRPr="00531FB5">
        <w:rPr>
          <w:szCs w:val="22"/>
        </w:rPr>
        <w:t xml:space="preserve">he interconnection capacity </w:t>
      </w:r>
      <w:r w:rsidR="00AE586D">
        <w:rPr>
          <w:szCs w:val="22"/>
        </w:rPr>
        <w:t xml:space="preserve">is expected to increase </w:t>
      </w:r>
      <w:r w:rsidR="00126077" w:rsidRPr="00531FB5">
        <w:rPr>
          <w:szCs w:val="22"/>
        </w:rPr>
        <w:t>to 125 GWh/d when the project is completed</w:t>
      </w:r>
      <w:r w:rsidR="00605D90">
        <w:rPr>
          <w:szCs w:val="22"/>
        </w:rPr>
        <w:t xml:space="preserve">, which </w:t>
      </w:r>
      <w:r w:rsidR="00126077" w:rsidRPr="00531FB5">
        <w:rPr>
          <w:szCs w:val="22"/>
        </w:rPr>
        <w:t>is scheduled in 2023</w:t>
      </w:r>
      <w:bookmarkStart w:id="49" w:name="_Ref103370021"/>
      <w:r w:rsidR="00733726">
        <w:rPr>
          <w:rStyle w:val="Voetnootmarkering"/>
          <w:szCs w:val="22"/>
        </w:rPr>
        <w:footnoteReference w:id="17"/>
      </w:r>
      <w:bookmarkEnd w:id="49"/>
      <w:r w:rsidR="00E31D16">
        <w:rPr>
          <w:szCs w:val="22"/>
          <w:vertAlign w:val="subscript"/>
        </w:rPr>
        <w:t>.</w:t>
      </w:r>
    </w:p>
    <w:p w14:paraId="0FDD25A3" w14:textId="1A5E9CB8" w:rsidR="009032F9" w:rsidRDefault="009032F9" w:rsidP="009032F9">
      <w:pPr>
        <w:jc w:val="both"/>
      </w:pPr>
      <w:r w:rsidRPr="007F77E7">
        <w:t xml:space="preserve">The </w:t>
      </w:r>
      <w:r w:rsidR="00605D90">
        <w:t>m</w:t>
      </w:r>
      <w:r w:rsidRPr="007F77E7">
        <w:t xml:space="preserve">aximum technical capacity of the </w:t>
      </w:r>
      <w:r>
        <w:t>Lithuanian</w:t>
      </w:r>
      <w:r w:rsidRPr="007F77E7">
        <w:t xml:space="preserve"> interconnection points is shown in the following table. The </w:t>
      </w:r>
      <w:r>
        <w:t>Latvian and Pol</w:t>
      </w:r>
      <w:r w:rsidR="00605D90">
        <w:t>ish interc</w:t>
      </w:r>
      <w:r>
        <w:t>onnect</w:t>
      </w:r>
      <w:r w:rsidR="00605D90">
        <w:t>ors allow</w:t>
      </w:r>
      <w:r w:rsidRPr="007F77E7">
        <w:t xml:space="preserve"> bidirectional</w:t>
      </w:r>
      <w:r>
        <w:t xml:space="preserve"> flow</w:t>
      </w:r>
      <w:r w:rsidR="00605D90">
        <w:t>s;</w:t>
      </w:r>
      <w:r w:rsidRPr="007F77E7">
        <w:t xml:space="preserve"> the gas </w:t>
      </w:r>
      <w:r>
        <w:t xml:space="preserve">is </w:t>
      </w:r>
      <w:r w:rsidRPr="007F77E7">
        <w:t xml:space="preserve">imported and exported through the </w:t>
      </w:r>
      <w:r>
        <w:t xml:space="preserve">following </w:t>
      </w:r>
      <w:r w:rsidR="0008702B">
        <w:t>interconnection points</w:t>
      </w:r>
      <w:r w:rsidRPr="007F77E7">
        <w:t>.</w:t>
      </w:r>
    </w:p>
    <w:p w14:paraId="50396184" w14:textId="77777777" w:rsidR="0045375C" w:rsidRDefault="0045375C" w:rsidP="009032F9">
      <w:pPr>
        <w:jc w:val="both"/>
      </w:pPr>
    </w:p>
    <w:p w14:paraId="1B7DD646" w14:textId="0CE850F9" w:rsidR="00C63726" w:rsidRPr="00C63726" w:rsidRDefault="0045375C" w:rsidP="008D3089">
      <w:pPr>
        <w:pStyle w:val="Bijschrift"/>
      </w:pPr>
      <w:r>
        <w:t>Table</w:t>
      </w:r>
      <w:r w:rsidR="00BD6468">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3</w:t>
      </w:r>
      <w:r w:rsidR="006D12F8">
        <w:rPr>
          <w:noProof/>
        </w:rPr>
        <w:fldChar w:fldCharType="end"/>
      </w:r>
      <w:r>
        <w:t xml:space="preserve">. </w:t>
      </w:r>
      <w:r w:rsidR="00C63726">
        <w:t xml:space="preserve">Technical capacity of </w:t>
      </w:r>
      <w:r w:rsidR="006549F3">
        <w:t>Lithuanian gas</w:t>
      </w:r>
      <w:r w:rsidR="00C63726">
        <w:t xml:space="preserve"> </w:t>
      </w:r>
      <w:r w:rsidR="00605D90">
        <w:t>inter</w:t>
      </w:r>
      <w:r w:rsidR="00C63726">
        <w:t>connection points</w:t>
      </w:r>
      <w:r w:rsidR="002573CF" w:rsidRPr="002573CF">
        <w:rPr>
          <w:vertAlign w:val="superscript"/>
        </w:rPr>
        <w:fldChar w:fldCharType="begin"/>
      </w:r>
      <w:r w:rsidR="002573CF" w:rsidRPr="002573CF">
        <w:rPr>
          <w:vertAlign w:val="superscript"/>
        </w:rPr>
        <w:instrText xml:space="preserve"> NOTEREF _Ref103366949 \h </w:instrText>
      </w:r>
      <w:r w:rsidR="002573CF">
        <w:rPr>
          <w:vertAlign w:val="superscript"/>
        </w:rPr>
        <w:instrText xml:space="preserve"> \* MERGEFORMAT </w:instrText>
      </w:r>
      <w:r w:rsidR="002573CF" w:rsidRPr="002573CF">
        <w:rPr>
          <w:vertAlign w:val="superscript"/>
        </w:rPr>
      </w:r>
      <w:r w:rsidR="002573CF" w:rsidRPr="002573CF">
        <w:rPr>
          <w:vertAlign w:val="superscript"/>
        </w:rPr>
        <w:fldChar w:fldCharType="separate"/>
      </w:r>
      <w:r w:rsidR="00265258">
        <w:rPr>
          <w:vertAlign w:val="superscript"/>
        </w:rPr>
        <w:t>12</w:t>
      </w:r>
      <w:r w:rsidR="002573CF" w:rsidRPr="002573CF">
        <w:rPr>
          <w:vertAlign w:val="superscript"/>
        </w:rPr>
        <w:fldChar w:fldCharType="end"/>
      </w:r>
      <w:r w:rsidR="005B4977" w:rsidRPr="002573CF">
        <w:rPr>
          <w:vertAlign w:val="superscript"/>
        </w:rPr>
        <w:t xml:space="preserve"> </w:t>
      </w:r>
    </w:p>
    <w:tbl>
      <w:tblPr>
        <w:tblStyle w:val="Tabelraster"/>
        <w:tblW w:w="0" w:type="auto"/>
        <w:jc w:val="right"/>
        <w:tblLook w:val="04A0" w:firstRow="1" w:lastRow="0" w:firstColumn="1" w:lastColumn="0" w:noHBand="0" w:noVBand="1"/>
      </w:tblPr>
      <w:tblGrid>
        <w:gridCol w:w="4390"/>
        <w:gridCol w:w="4115"/>
      </w:tblGrid>
      <w:tr w:rsidR="0045375C" w14:paraId="6C124C75" w14:textId="77777777" w:rsidTr="007B6C99">
        <w:trPr>
          <w:tblHeader/>
          <w:jc w:val="right"/>
        </w:trPr>
        <w:tc>
          <w:tcPr>
            <w:tcW w:w="4390" w:type="dxa"/>
            <w:shd w:val="clear" w:color="auto" w:fill="005962" w:themeFill="accent1"/>
          </w:tcPr>
          <w:p w14:paraId="7AA6E483" w14:textId="77777777" w:rsidR="0045375C" w:rsidRPr="0045375C" w:rsidRDefault="0045375C" w:rsidP="005B4977">
            <w:pPr>
              <w:spacing w:before="40" w:after="40"/>
              <w:jc w:val="center"/>
              <w:rPr>
                <w:color w:val="FFFFFF" w:themeColor="background1"/>
              </w:rPr>
            </w:pPr>
            <w:r w:rsidRPr="0045375C">
              <w:rPr>
                <w:rFonts w:eastAsia="Times New Roman"/>
                <w:b/>
                <w:bCs/>
                <w:color w:val="FFFFFF" w:themeColor="background1"/>
                <w:szCs w:val="22"/>
                <w:lang w:val="en-IN" w:eastAsia="en-IN"/>
              </w:rPr>
              <w:t>Interconnector</w:t>
            </w:r>
          </w:p>
        </w:tc>
        <w:tc>
          <w:tcPr>
            <w:tcW w:w="4115" w:type="dxa"/>
            <w:shd w:val="clear" w:color="auto" w:fill="005962" w:themeFill="accent1"/>
          </w:tcPr>
          <w:p w14:paraId="6F996DB3" w14:textId="77777777" w:rsidR="0045375C" w:rsidRPr="0045375C" w:rsidRDefault="0045375C" w:rsidP="005B4977">
            <w:pPr>
              <w:spacing w:before="40" w:after="40"/>
              <w:jc w:val="center"/>
              <w:rPr>
                <w:color w:val="FFFFFF" w:themeColor="background1"/>
              </w:rPr>
            </w:pPr>
            <w:r w:rsidRPr="0045375C">
              <w:rPr>
                <w:rFonts w:eastAsia="Times New Roman"/>
                <w:b/>
                <w:bCs/>
                <w:color w:val="FFFFFF" w:themeColor="background1"/>
                <w:szCs w:val="22"/>
                <w:lang w:val="en-IN" w:eastAsia="en-IN"/>
              </w:rPr>
              <w:t>Maximum Technical capacity</w:t>
            </w:r>
          </w:p>
        </w:tc>
      </w:tr>
      <w:tr w:rsidR="0045375C" w14:paraId="479CE48A" w14:textId="77777777" w:rsidTr="00E51BE0">
        <w:trPr>
          <w:jc w:val="right"/>
        </w:trPr>
        <w:tc>
          <w:tcPr>
            <w:tcW w:w="4390" w:type="dxa"/>
            <w:vAlign w:val="center"/>
          </w:tcPr>
          <w:p w14:paraId="150C1C04" w14:textId="4F213931" w:rsidR="0045375C" w:rsidRPr="002576D8" w:rsidRDefault="0045375C" w:rsidP="005B4977">
            <w:pPr>
              <w:spacing w:before="40" w:after="40"/>
              <w:jc w:val="center"/>
              <w:rPr>
                <w:color w:val="000000" w:themeColor="text1"/>
                <w:lang w:val="fr-CA"/>
              </w:rPr>
            </w:pPr>
            <w:proofErr w:type="spellStart"/>
            <w:r w:rsidRPr="002576D8">
              <w:rPr>
                <w:rFonts w:cs="Calibri"/>
                <w:color w:val="000000" w:themeColor="text1"/>
                <w:lang w:val="fr-CA"/>
              </w:rPr>
              <w:t>Lithuania</w:t>
            </w:r>
            <w:proofErr w:type="spellEnd"/>
            <w:r w:rsidRPr="002576D8">
              <w:rPr>
                <w:rFonts w:cs="Calibri"/>
                <w:color w:val="000000" w:themeColor="text1"/>
                <w:lang w:val="fr-CA"/>
              </w:rPr>
              <w:t xml:space="preserve"> - </w:t>
            </w:r>
            <w:proofErr w:type="spellStart"/>
            <w:r w:rsidRPr="002576D8">
              <w:rPr>
                <w:rFonts w:cs="Calibri"/>
                <w:color w:val="000000" w:themeColor="text1"/>
                <w:lang w:val="fr-CA"/>
              </w:rPr>
              <w:t>Latvia</w:t>
            </w:r>
            <w:proofErr w:type="spellEnd"/>
            <w:r w:rsidR="00E51BE0" w:rsidRPr="002576D8">
              <w:rPr>
                <w:rFonts w:cs="Calibri"/>
                <w:color w:val="000000" w:themeColor="text1"/>
                <w:lang w:val="fr-CA"/>
              </w:rPr>
              <w:t xml:space="preserve"> (</w:t>
            </w:r>
            <w:proofErr w:type="spellStart"/>
            <w:r w:rsidR="00E51BE0" w:rsidRPr="002576D8">
              <w:rPr>
                <w:rFonts w:cs="Calibri"/>
                <w:color w:val="000000" w:themeColor="text1"/>
                <w:lang w:val="fr-CA"/>
              </w:rPr>
              <w:t>Kiemenai</w:t>
            </w:r>
            <w:proofErr w:type="spellEnd"/>
            <w:r w:rsidR="00E51BE0" w:rsidRPr="002576D8">
              <w:rPr>
                <w:rFonts w:cs="Calibri"/>
                <w:color w:val="000000" w:themeColor="text1"/>
                <w:lang w:val="fr-CA"/>
              </w:rPr>
              <w:t>)</w:t>
            </w:r>
          </w:p>
        </w:tc>
        <w:tc>
          <w:tcPr>
            <w:tcW w:w="4115" w:type="dxa"/>
          </w:tcPr>
          <w:p w14:paraId="0C9B9482" w14:textId="77777777" w:rsidR="0045375C" w:rsidRDefault="0045375C" w:rsidP="005B4977">
            <w:pPr>
              <w:spacing w:before="40" w:after="40"/>
              <w:jc w:val="center"/>
            </w:pPr>
            <w:r w:rsidRPr="00DD0962">
              <w:t>67.6 GWh/d</w:t>
            </w:r>
          </w:p>
        </w:tc>
      </w:tr>
      <w:tr w:rsidR="0045375C" w14:paraId="64DF62CA" w14:textId="77777777" w:rsidTr="00E51BE0">
        <w:trPr>
          <w:jc w:val="right"/>
        </w:trPr>
        <w:tc>
          <w:tcPr>
            <w:tcW w:w="4390" w:type="dxa"/>
            <w:vAlign w:val="center"/>
          </w:tcPr>
          <w:p w14:paraId="68F86D81" w14:textId="5179634D" w:rsidR="0045375C" w:rsidRPr="002576D8" w:rsidRDefault="0045375C" w:rsidP="005B4977">
            <w:pPr>
              <w:spacing w:before="40" w:after="40"/>
              <w:jc w:val="center"/>
              <w:rPr>
                <w:color w:val="000000" w:themeColor="text1"/>
                <w:lang w:val="fr-CA"/>
              </w:rPr>
            </w:pPr>
            <w:proofErr w:type="spellStart"/>
            <w:r w:rsidRPr="002576D8">
              <w:rPr>
                <w:rFonts w:cs="Calibri"/>
                <w:color w:val="000000" w:themeColor="text1"/>
                <w:lang w:val="fr-CA"/>
              </w:rPr>
              <w:t>Latvia</w:t>
            </w:r>
            <w:proofErr w:type="spellEnd"/>
            <w:r w:rsidRPr="002576D8">
              <w:rPr>
                <w:rFonts w:cs="Calibri"/>
                <w:color w:val="000000" w:themeColor="text1"/>
                <w:lang w:val="fr-CA"/>
              </w:rPr>
              <w:t xml:space="preserve"> - </w:t>
            </w:r>
            <w:proofErr w:type="spellStart"/>
            <w:r w:rsidRPr="002576D8">
              <w:rPr>
                <w:rFonts w:cs="Calibri"/>
                <w:color w:val="000000" w:themeColor="text1"/>
                <w:lang w:val="fr-CA"/>
              </w:rPr>
              <w:t>Lithuania</w:t>
            </w:r>
            <w:proofErr w:type="spellEnd"/>
            <w:r w:rsidR="00E51BE0" w:rsidRPr="002576D8">
              <w:rPr>
                <w:rFonts w:cs="Calibri"/>
                <w:color w:val="000000" w:themeColor="text1"/>
                <w:lang w:val="fr-CA"/>
              </w:rPr>
              <w:t xml:space="preserve"> (</w:t>
            </w:r>
            <w:proofErr w:type="spellStart"/>
            <w:r w:rsidR="00E51BE0" w:rsidRPr="002576D8">
              <w:rPr>
                <w:rFonts w:cs="Calibri"/>
                <w:color w:val="000000" w:themeColor="text1"/>
                <w:lang w:val="fr-CA"/>
              </w:rPr>
              <w:t>Kiemenai</w:t>
            </w:r>
            <w:proofErr w:type="spellEnd"/>
            <w:r w:rsidR="00E51BE0" w:rsidRPr="002576D8">
              <w:rPr>
                <w:rFonts w:cs="Calibri"/>
                <w:color w:val="000000" w:themeColor="text1"/>
                <w:lang w:val="fr-CA"/>
              </w:rPr>
              <w:t>)</w:t>
            </w:r>
          </w:p>
        </w:tc>
        <w:tc>
          <w:tcPr>
            <w:tcW w:w="4115" w:type="dxa"/>
          </w:tcPr>
          <w:p w14:paraId="1D8DD2DE" w14:textId="77777777" w:rsidR="0045375C" w:rsidRDefault="0045375C" w:rsidP="005B4977">
            <w:pPr>
              <w:spacing w:before="40" w:after="40"/>
              <w:jc w:val="center"/>
            </w:pPr>
            <w:r w:rsidRPr="00DD0962">
              <w:t>65.1 GWh/d</w:t>
            </w:r>
          </w:p>
        </w:tc>
      </w:tr>
      <w:tr w:rsidR="0045375C" w14:paraId="588B1EA1" w14:textId="77777777" w:rsidTr="00E51BE0">
        <w:trPr>
          <w:jc w:val="right"/>
        </w:trPr>
        <w:tc>
          <w:tcPr>
            <w:tcW w:w="4390" w:type="dxa"/>
            <w:vAlign w:val="center"/>
          </w:tcPr>
          <w:p w14:paraId="68DDDEE9" w14:textId="1609CBBE" w:rsidR="0045375C" w:rsidRPr="00E51BE0" w:rsidRDefault="0045375C" w:rsidP="005B4977">
            <w:pPr>
              <w:spacing w:before="40" w:after="40"/>
              <w:jc w:val="center"/>
              <w:rPr>
                <w:color w:val="000000" w:themeColor="text1"/>
              </w:rPr>
            </w:pPr>
            <w:r w:rsidRPr="00E51BE0">
              <w:rPr>
                <w:rFonts w:cs="Calibri"/>
                <w:color w:val="000000" w:themeColor="text1"/>
              </w:rPr>
              <w:t>Poland - Lithuania</w:t>
            </w:r>
            <w:r w:rsidR="00E51BE0" w:rsidRPr="00E51BE0">
              <w:rPr>
                <w:rFonts w:cs="Calibri"/>
                <w:color w:val="000000" w:themeColor="text1"/>
              </w:rPr>
              <w:t xml:space="preserve"> (GIPL</w:t>
            </w:r>
            <w:r w:rsidRPr="00E51BE0">
              <w:rPr>
                <w:rFonts w:cs="Calibri"/>
                <w:color w:val="000000" w:themeColor="text1"/>
              </w:rPr>
              <w:t>)</w:t>
            </w:r>
          </w:p>
        </w:tc>
        <w:tc>
          <w:tcPr>
            <w:tcW w:w="4115" w:type="dxa"/>
          </w:tcPr>
          <w:p w14:paraId="22BD7054" w14:textId="32651C37" w:rsidR="0045375C" w:rsidRDefault="0045375C" w:rsidP="005B4977">
            <w:pPr>
              <w:spacing w:before="40" w:after="40"/>
              <w:jc w:val="center"/>
            </w:pPr>
            <w:r w:rsidRPr="000F112A">
              <w:t>2.6 G</w:t>
            </w:r>
            <w:r>
              <w:t>W</w:t>
            </w:r>
            <w:r w:rsidRPr="000F112A">
              <w:t>h/h, 22.5 TWh/a</w:t>
            </w:r>
          </w:p>
        </w:tc>
      </w:tr>
      <w:tr w:rsidR="0045375C" w:rsidRPr="00DD0962" w14:paraId="6551C0DD" w14:textId="77777777" w:rsidTr="00E51BE0">
        <w:trPr>
          <w:jc w:val="right"/>
        </w:trPr>
        <w:tc>
          <w:tcPr>
            <w:tcW w:w="4390" w:type="dxa"/>
            <w:vAlign w:val="center"/>
          </w:tcPr>
          <w:p w14:paraId="6C22F7B4" w14:textId="3A631711" w:rsidR="0045375C" w:rsidRPr="00E51BE0" w:rsidRDefault="0045375C" w:rsidP="005B4977">
            <w:pPr>
              <w:spacing w:before="40" w:after="40"/>
              <w:jc w:val="center"/>
              <w:rPr>
                <w:color w:val="000000" w:themeColor="text1"/>
              </w:rPr>
            </w:pPr>
            <w:r w:rsidRPr="00E51BE0">
              <w:rPr>
                <w:rFonts w:cs="Calibri"/>
                <w:color w:val="000000" w:themeColor="text1"/>
              </w:rPr>
              <w:t xml:space="preserve">Lithuania </w:t>
            </w:r>
            <w:r w:rsidR="00905D7F" w:rsidRPr="00E51BE0">
              <w:rPr>
                <w:rFonts w:cs="Calibri"/>
                <w:color w:val="000000" w:themeColor="text1"/>
              </w:rPr>
              <w:t>- Poland</w:t>
            </w:r>
            <w:r w:rsidR="00E51BE0" w:rsidRPr="00E51BE0">
              <w:rPr>
                <w:rFonts w:cs="Calibri"/>
                <w:color w:val="000000" w:themeColor="text1"/>
              </w:rPr>
              <w:t xml:space="preserve"> (GIPL</w:t>
            </w:r>
            <w:r w:rsidRPr="00E51BE0">
              <w:rPr>
                <w:rFonts w:cs="Calibri"/>
                <w:color w:val="000000" w:themeColor="text1"/>
              </w:rPr>
              <w:t>)</w:t>
            </w:r>
          </w:p>
        </w:tc>
        <w:tc>
          <w:tcPr>
            <w:tcW w:w="4115" w:type="dxa"/>
          </w:tcPr>
          <w:p w14:paraId="14859FD7" w14:textId="77777777" w:rsidR="0045375C" w:rsidRPr="00DD0962" w:rsidRDefault="0045375C" w:rsidP="005B4977">
            <w:pPr>
              <w:spacing w:before="40" w:after="40"/>
              <w:jc w:val="center"/>
            </w:pPr>
            <w:r w:rsidRPr="000F112A">
              <w:t>2.4 GWh/h, 21 TWh/a</w:t>
            </w:r>
          </w:p>
        </w:tc>
      </w:tr>
    </w:tbl>
    <w:p w14:paraId="6E0E8B92" w14:textId="77777777" w:rsidR="009032F9" w:rsidRDefault="009032F9" w:rsidP="003B3609">
      <w:pPr>
        <w:ind w:left="0"/>
        <w:jc w:val="both"/>
      </w:pPr>
    </w:p>
    <w:p w14:paraId="40C31BCE" w14:textId="5897E8F4" w:rsidR="003B3609" w:rsidRDefault="003B3609" w:rsidP="003B3609">
      <w:pPr>
        <w:jc w:val="both"/>
      </w:pPr>
      <w:r w:rsidRPr="00130E80">
        <w:t>The historical gas flow</w:t>
      </w:r>
      <w:r w:rsidR="00605D90">
        <w:t xml:space="preserve">s at </w:t>
      </w:r>
      <w:r w:rsidRPr="00130E80">
        <w:t xml:space="preserve">each interconnection point </w:t>
      </w:r>
      <w:r w:rsidR="00605D90">
        <w:t>are</w:t>
      </w:r>
      <w:r w:rsidRPr="00130E80">
        <w:t xml:space="preserve"> shown in the following </w:t>
      </w:r>
      <w:r w:rsidR="00FF559D" w:rsidRPr="00FF559D">
        <w:rPr>
          <w:b/>
          <w:bCs/>
        </w:rPr>
        <w:fldChar w:fldCharType="begin"/>
      </w:r>
      <w:r w:rsidR="00FF559D" w:rsidRPr="00FF559D">
        <w:rPr>
          <w:b/>
          <w:bCs/>
        </w:rPr>
        <w:instrText xml:space="preserve"> REF _Ref103374235 \h </w:instrText>
      </w:r>
      <w:r w:rsidR="00FF559D">
        <w:rPr>
          <w:b/>
          <w:bCs/>
        </w:rPr>
        <w:instrText xml:space="preserve"> \* MERGEFORMAT </w:instrText>
      </w:r>
      <w:r w:rsidR="00FF559D" w:rsidRPr="00FF559D">
        <w:rPr>
          <w:b/>
          <w:bCs/>
        </w:rPr>
      </w:r>
      <w:r w:rsidR="00FF559D" w:rsidRPr="00FF559D">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14</w:t>
      </w:r>
      <w:r w:rsidR="00FF559D" w:rsidRPr="00FF559D">
        <w:rPr>
          <w:b/>
          <w:bCs/>
        </w:rPr>
        <w:fldChar w:fldCharType="end"/>
      </w:r>
      <w:r w:rsidRPr="00130E80">
        <w:t xml:space="preserve">. The gas flow fluctuates based on the market demand and </w:t>
      </w:r>
      <w:r w:rsidR="00605D90">
        <w:t>trade opportunities</w:t>
      </w:r>
      <w:r w:rsidRPr="00130E80">
        <w:t xml:space="preserve">. </w:t>
      </w:r>
      <w:r w:rsidR="00605D90">
        <w:t xml:space="preserve">The </w:t>
      </w:r>
      <w:r w:rsidRPr="00130E80">
        <w:t xml:space="preserve">different gas import and export flows </w:t>
      </w:r>
      <w:r w:rsidR="00605D90">
        <w:t xml:space="preserve">are presented </w:t>
      </w:r>
      <w:r w:rsidRPr="00130E80">
        <w:t>in the following figure</w:t>
      </w:r>
      <w:r>
        <w:t xml:space="preserve"> which includes the gas </w:t>
      </w:r>
      <w:r w:rsidR="00605D90">
        <w:t xml:space="preserve">infeed </w:t>
      </w:r>
      <w:r w:rsidR="002E5973">
        <w:t xml:space="preserve">from </w:t>
      </w:r>
      <w:r w:rsidR="00605D90">
        <w:t xml:space="preserve">the </w:t>
      </w:r>
      <w:r w:rsidR="002E5973">
        <w:t>Klaip</w:t>
      </w:r>
      <w:r w:rsidR="006549F3">
        <w:t>eda LNG terminal</w:t>
      </w:r>
      <w:r w:rsidRPr="00130E80">
        <w:t>.</w:t>
      </w:r>
      <w:r>
        <w:t xml:space="preserve"> </w:t>
      </w:r>
    </w:p>
    <w:p w14:paraId="1D986D2D" w14:textId="77777777" w:rsidR="00AE3884" w:rsidRDefault="00AE3884" w:rsidP="003B3609">
      <w:pPr>
        <w:jc w:val="both"/>
      </w:pPr>
    </w:p>
    <w:p w14:paraId="0CFD555A" w14:textId="16EDAC83" w:rsidR="00EA6B25" w:rsidRDefault="00AE3884" w:rsidP="008D3089">
      <w:pPr>
        <w:pStyle w:val="Bijschrift"/>
      </w:pPr>
      <w:bookmarkStart w:id="50" w:name="_Ref103374235"/>
      <w:r>
        <w:t>Figure</w:t>
      </w:r>
      <w:r w:rsidR="00C85971">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14</w:t>
      </w:r>
      <w:r w:rsidR="006D12F8">
        <w:rPr>
          <w:noProof/>
        </w:rPr>
        <w:fldChar w:fldCharType="end"/>
      </w:r>
      <w:bookmarkEnd w:id="50"/>
      <w:r>
        <w:t xml:space="preserve">. </w:t>
      </w:r>
      <w:r w:rsidRPr="00C93E4C">
        <w:rPr>
          <w:lang w:val="en-US"/>
        </w:rPr>
        <w:t>NG volume flow</w:t>
      </w:r>
      <w:r w:rsidR="00605D90">
        <w:rPr>
          <w:lang w:val="en-US"/>
        </w:rPr>
        <w:t>s</w:t>
      </w:r>
      <w:r w:rsidRPr="00C93E4C">
        <w:rPr>
          <w:lang w:val="en-US"/>
        </w:rPr>
        <w:t xml:space="preserve"> in </w:t>
      </w:r>
      <w:r w:rsidR="00EC6A23">
        <w:rPr>
          <w:lang w:val="en-US"/>
        </w:rPr>
        <w:t xml:space="preserve">the </w:t>
      </w:r>
      <w:r w:rsidRPr="00C93E4C">
        <w:rPr>
          <w:lang w:val="en-US"/>
        </w:rPr>
        <w:t>interconnection points</w:t>
      </w:r>
      <w:r>
        <w:rPr>
          <w:lang w:val="en-US"/>
        </w:rPr>
        <w:t xml:space="preserve"> </w:t>
      </w:r>
      <w:r w:rsidR="00EC6A23">
        <w:rPr>
          <w:lang w:val="en-US"/>
        </w:rPr>
        <w:t>in</w:t>
      </w:r>
      <w:r>
        <w:rPr>
          <w:lang w:val="en-US"/>
        </w:rPr>
        <w:t xml:space="preserve"> Lithuania</w:t>
      </w:r>
      <w:r w:rsidR="00044F5A">
        <w:rPr>
          <w:rStyle w:val="Voetnootmarkering"/>
          <w:lang w:val="en-US"/>
        </w:rPr>
        <w:footnoteReference w:id="18"/>
      </w:r>
    </w:p>
    <w:p w14:paraId="3875FD88" w14:textId="41BD858E" w:rsidR="00EA6B25" w:rsidRDefault="00826D3D" w:rsidP="0098382C">
      <w:pPr>
        <w:jc w:val="center"/>
      </w:pPr>
      <w:r>
        <w:rPr>
          <w:noProof/>
        </w:rPr>
        <w:drawing>
          <wp:inline distT="0" distB="0" distL="0" distR="0" wp14:anchorId="1B36847F" wp14:editId="7954BA17">
            <wp:extent cx="4572000" cy="2743200"/>
            <wp:effectExtent l="0" t="0" r="0" b="0"/>
            <wp:docPr id="49" name="Chart 49">
              <a:extLst xmlns:a="http://schemas.openxmlformats.org/drawingml/2006/main">
                <a:ext uri="{FF2B5EF4-FFF2-40B4-BE49-F238E27FC236}">
                  <a16:creationId xmlns:a16="http://schemas.microsoft.com/office/drawing/2014/main" id="{A9EE85BE-734B-8EEE-C15D-4E302D7B2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3F88F7" w14:textId="77777777" w:rsidR="00163425" w:rsidRPr="00B6276C" w:rsidRDefault="00163425" w:rsidP="00163425">
      <w:pPr>
        <w:rPr>
          <w:b/>
          <w:color w:val="002C30"/>
        </w:rPr>
      </w:pPr>
      <w:r w:rsidRPr="00B6276C">
        <w:rPr>
          <w:b/>
          <w:color w:val="002C30"/>
        </w:rPr>
        <w:t>Finland</w:t>
      </w:r>
    </w:p>
    <w:p w14:paraId="197639E2" w14:textId="23E5361C" w:rsidR="00163425" w:rsidRDefault="00163425" w:rsidP="00163425">
      <w:pPr>
        <w:jc w:val="both"/>
        <w:rPr>
          <w:vertAlign w:val="subscript"/>
        </w:rPr>
      </w:pPr>
      <w:r w:rsidRPr="00BA7E48">
        <w:t xml:space="preserve">Finland has a total of 1300 km of </w:t>
      </w:r>
      <w:r w:rsidR="00EC6A23">
        <w:t xml:space="preserve">gas </w:t>
      </w:r>
      <w:r w:rsidRPr="00BA7E48">
        <w:t xml:space="preserve">transmission pipelines. </w:t>
      </w:r>
      <w:proofErr w:type="spellStart"/>
      <w:r w:rsidRPr="00BA7E48">
        <w:t>Gasgrid</w:t>
      </w:r>
      <w:proofErr w:type="spellEnd"/>
      <w:r w:rsidRPr="00BA7E48">
        <w:t xml:space="preserve"> Finland Oy is the </w:t>
      </w:r>
      <w:r w:rsidR="00FB1574">
        <w:t xml:space="preserve">only </w:t>
      </w:r>
      <w:r w:rsidR="00EC6A23">
        <w:t xml:space="preserve">gas </w:t>
      </w:r>
      <w:r w:rsidRPr="00BA7E48">
        <w:t xml:space="preserve">TSO in Finland. Finland has one </w:t>
      </w:r>
      <w:r w:rsidR="00605D90">
        <w:t>inter</w:t>
      </w:r>
      <w:r w:rsidRPr="00BA7E48">
        <w:t>connecti</w:t>
      </w:r>
      <w:r w:rsidR="00605D90">
        <w:t>o</w:t>
      </w:r>
      <w:r w:rsidRPr="00BA7E48">
        <w:t>n point with Russia (</w:t>
      </w:r>
      <w:proofErr w:type="spellStart"/>
      <w:r w:rsidRPr="00BA7E48">
        <w:t>Imatra</w:t>
      </w:r>
      <w:proofErr w:type="spellEnd"/>
      <w:r w:rsidRPr="00BA7E48">
        <w:t xml:space="preserve">), through which gas is </w:t>
      </w:r>
      <w:r w:rsidR="00605D90">
        <w:t>imported</w:t>
      </w:r>
      <w:r w:rsidRPr="00BA7E48">
        <w:t xml:space="preserve">. </w:t>
      </w:r>
      <w:r w:rsidR="00605D90">
        <w:t xml:space="preserve">The </w:t>
      </w:r>
      <w:r w:rsidRPr="00BA7E48">
        <w:t xml:space="preserve">Finnish </w:t>
      </w:r>
      <w:r w:rsidR="00605D90">
        <w:t xml:space="preserve">gas </w:t>
      </w:r>
      <w:r w:rsidRPr="00BA7E48">
        <w:t xml:space="preserve">transmission network is also connected to Estonia via </w:t>
      </w:r>
      <w:r w:rsidR="000A6701">
        <w:t xml:space="preserve">the </w:t>
      </w:r>
      <w:proofErr w:type="spellStart"/>
      <w:r w:rsidRPr="00BA7E48">
        <w:t>Balticonnector</w:t>
      </w:r>
      <w:proofErr w:type="spellEnd"/>
      <w:r w:rsidRPr="00BA7E48">
        <w:t xml:space="preserve">, which is 152 km </w:t>
      </w:r>
      <w:r w:rsidR="000A6701">
        <w:t>long</w:t>
      </w:r>
      <w:r w:rsidRPr="00BA7E48">
        <w:t xml:space="preserve"> and </w:t>
      </w:r>
      <w:r w:rsidR="000A6701">
        <w:t xml:space="preserve">allows </w:t>
      </w:r>
      <w:r w:rsidRPr="00BA7E48">
        <w:t>bidirectional</w:t>
      </w:r>
      <w:r w:rsidR="000A6701">
        <w:t xml:space="preserve"> flows</w:t>
      </w:r>
      <w:r w:rsidRPr="00BA7E48">
        <w:t>. In Finland, there are three compressor stations (</w:t>
      </w:r>
      <w:proofErr w:type="spellStart"/>
      <w:r w:rsidRPr="00BA7E48">
        <w:t>Imatra</w:t>
      </w:r>
      <w:proofErr w:type="spellEnd"/>
      <w:r w:rsidRPr="00BA7E48">
        <w:t xml:space="preserve">, </w:t>
      </w:r>
      <w:proofErr w:type="spellStart"/>
      <w:r w:rsidRPr="00BA7E48">
        <w:t>Kouvola</w:t>
      </w:r>
      <w:proofErr w:type="spellEnd"/>
      <w:r w:rsidRPr="00BA7E48">
        <w:t xml:space="preserve">, and </w:t>
      </w:r>
      <w:proofErr w:type="spellStart"/>
      <w:r w:rsidRPr="00BA7E48">
        <w:t>Mäntsäla</w:t>
      </w:r>
      <w:proofErr w:type="spellEnd"/>
      <w:r w:rsidRPr="00BA7E48">
        <w:t xml:space="preserve">) with a total capacity of 64 MW. The following table presents the maximum technical capacity </w:t>
      </w:r>
      <w:r w:rsidR="00EC6A23">
        <w:t>of</w:t>
      </w:r>
      <w:r w:rsidRPr="00BA7E48">
        <w:t xml:space="preserve"> the interconnector for cross-border gas trade</w:t>
      </w:r>
      <w:r w:rsidRPr="00882416">
        <w:rPr>
          <w:vertAlign w:val="superscript"/>
        </w:rPr>
        <w:fldChar w:fldCharType="begin"/>
      </w:r>
      <w:r w:rsidRPr="00882416">
        <w:rPr>
          <w:vertAlign w:val="superscript"/>
        </w:rPr>
        <w:instrText xml:space="preserve"> NOTEREF _Ref103370021 \h </w:instrText>
      </w:r>
      <w:r>
        <w:rPr>
          <w:vertAlign w:val="superscript"/>
        </w:rPr>
        <w:instrText xml:space="preserve"> \* MERGEFORMAT </w:instrText>
      </w:r>
      <w:r w:rsidRPr="00882416">
        <w:rPr>
          <w:vertAlign w:val="superscript"/>
        </w:rPr>
      </w:r>
      <w:r w:rsidRPr="00882416">
        <w:rPr>
          <w:vertAlign w:val="superscript"/>
        </w:rPr>
        <w:fldChar w:fldCharType="separate"/>
      </w:r>
      <w:r w:rsidR="00265258">
        <w:rPr>
          <w:vertAlign w:val="superscript"/>
        </w:rPr>
        <w:t>16</w:t>
      </w:r>
      <w:r w:rsidRPr="00882416">
        <w:rPr>
          <w:vertAlign w:val="superscript"/>
        </w:rPr>
        <w:fldChar w:fldCharType="end"/>
      </w:r>
      <w:r>
        <w:rPr>
          <w:vertAlign w:val="subscript"/>
        </w:rPr>
        <w:t>.</w:t>
      </w:r>
    </w:p>
    <w:p w14:paraId="635CCB0D" w14:textId="23F5114D" w:rsidR="00CA3B72" w:rsidRDefault="000A6701" w:rsidP="000F51E9">
      <w:pPr>
        <w:spacing w:after="120"/>
        <w:jc w:val="both"/>
      </w:pPr>
      <w:r>
        <w:t>In 2021</w:t>
      </w:r>
      <w:r w:rsidR="00163425" w:rsidRPr="00E66C66">
        <w:t>, Finland used around 2</w:t>
      </w:r>
      <w:r w:rsidR="005625B8">
        <w:t>8</w:t>
      </w:r>
      <w:r w:rsidR="00163425" w:rsidRPr="00E66C66">
        <w:t xml:space="preserve"> TWh of pipeline gas, out of which the </w:t>
      </w:r>
      <w:proofErr w:type="spellStart"/>
      <w:r w:rsidR="00163425" w:rsidRPr="00E66C66">
        <w:t>Balticonnector</w:t>
      </w:r>
      <w:proofErr w:type="spellEnd"/>
      <w:r w:rsidR="00163425" w:rsidRPr="00E66C66">
        <w:t xml:space="preserve"> accounted for roughly </w:t>
      </w:r>
      <w:r w:rsidR="00FD59CB">
        <w:t>6.2</w:t>
      </w:r>
      <w:r w:rsidR="00163425" w:rsidRPr="00E66C66">
        <w:t xml:space="preserve"> TW</w:t>
      </w:r>
      <w:r w:rsidR="00FD59CB">
        <w:t>h.</w:t>
      </w:r>
      <w:r w:rsidR="00334EA2">
        <w:t xml:space="preserve"> Currently </w:t>
      </w:r>
      <w:r w:rsidR="00F81FB2">
        <w:t xml:space="preserve">Finland </w:t>
      </w:r>
      <w:r w:rsidR="00134562">
        <w:t xml:space="preserve">is </w:t>
      </w:r>
      <w:r w:rsidR="00F81FB2">
        <w:t xml:space="preserve">building a </w:t>
      </w:r>
      <w:r w:rsidR="000E1475">
        <w:t>new</w:t>
      </w:r>
      <w:r w:rsidR="00EE3871">
        <w:t xml:space="preserve"> LNG terminal</w:t>
      </w:r>
      <w:r w:rsidR="000E1475">
        <w:t xml:space="preserve"> (Hamina)</w:t>
      </w:r>
      <w:r w:rsidR="00642764">
        <w:t xml:space="preserve">, </w:t>
      </w:r>
      <w:r w:rsidR="000E1475">
        <w:t>u</w:t>
      </w:r>
      <w:r w:rsidR="00163425" w:rsidRPr="00E66C66">
        <w:t xml:space="preserve">pon completion, this terminal can </w:t>
      </w:r>
      <w:r w:rsidR="00134562">
        <w:t>import</w:t>
      </w:r>
      <w:r w:rsidR="00163425" w:rsidRPr="00E66C66">
        <w:t xml:space="preserve"> up to 3 TWh of natural gas</w:t>
      </w:r>
      <w:r w:rsidR="00163425">
        <w:t>.</w:t>
      </w:r>
      <w:r w:rsidR="004D5210">
        <w:t xml:space="preserve"> </w:t>
      </w:r>
      <w:r w:rsidR="00163425" w:rsidRPr="007F77E7">
        <w:t xml:space="preserve">The </w:t>
      </w:r>
      <w:r>
        <w:t>m</w:t>
      </w:r>
      <w:r w:rsidR="00163425" w:rsidRPr="007F77E7">
        <w:t xml:space="preserve">aximum technical capacity of the </w:t>
      </w:r>
      <w:proofErr w:type="spellStart"/>
      <w:r w:rsidR="00163425">
        <w:t>Balticconnector</w:t>
      </w:r>
      <w:proofErr w:type="spellEnd"/>
      <w:r w:rsidR="00163425">
        <w:t xml:space="preserve"> </w:t>
      </w:r>
      <w:r w:rsidR="00163425" w:rsidRPr="007F77E7">
        <w:t xml:space="preserve">is shown in the following table. </w:t>
      </w:r>
    </w:p>
    <w:p w14:paraId="2A0188B2" w14:textId="1E5AB465" w:rsidR="0035671C" w:rsidRDefault="0035671C" w:rsidP="008D3089">
      <w:pPr>
        <w:pStyle w:val="Bijschrift"/>
      </w:pPr>
      <w:r>
        <w:t>Table</w:t>
      </w:r>
      <w:r w:rsidR="004D5210">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4</w:t>
      </w:r>
      <w:r w:rsidR="006D12F8">
        <w:rPr>
          <w:noProof/>
        </w:rPr>
        <w:fldChar w:fldCharType="end"/>
      </w:r>
      <w:r>
        <w:t>.</w:t>
      </w:r>
      <w:r w:rsidR="00CA3B72">
        <w:t xml:space="preserve"> Technical capacity of Finland gas </w:t>
      </w:r>
      <w:r w:rsidR="002E44CB">
        <w:t>interconnection point</w:t>
      </w:r>
      <w:r w:rsidR="0071165D" w:rsidRPr="0071165D">
        <w:rPr>
          <w:vertAlign w:val="superscript"/>
        </w:rPr>
        <w:fldChar w:fldCharType="begin"/>
      </w:r>
      <w:r w:rsidR="0071165D" w:rsidRPr="0071165D">
        <w:rPr>
          <w:vertAlign w:val="superscript"/>
        </w:rPr>
        <w:instrText xml:space="preserve"> NOTEREF _Ref103368695 \h </w:instrText>
      </w:r>
      <w:r w:rsidR="0071165D">
        <w:rPr>
          <w:vertAlign w:val="superscript"/>
        </w:rPr>
        <w:instrText xml:space="preserve"> \* MERGEFORMAT </w:instrText>
      </w:r>
      <w:r w:rsidR="0071165D" w:rsidRPr="0071165D">
        <w:rPr>
          <w:vertAlign w:val="superscript"/>
        </w:rPr>
      </w:r>
      <w:r w:rsidR="0071165D" w:rsidRPr="0071165D">
        <w:rPr>
          <w:vertAlign w:val="superscript"/>
        </w:rPr>
        <w:fldChar w:fldCharType="separate"/>
      </w:r>
      <w:r w:rsidR="0071165D">
        <w:rPr>
          <w:vertAlign w:val="superscript"/>
        </w:rPr>
        <w:t>9</w:t>
      </w:r>
      <w:r w:rsidR="0071165D" w:rsidRPr="0071165D">
        <w:rPr>
          <w:vertAlign w:val="superscript"/>
        </w:rPr>
        <w:fldChar w:fldCharType="end"/>
      </w:r>
    </w:p>
    <w:tbl>
      <w:tblPr>
        <w:tblStyle w:val="Tabelraster"/>
        <w:tblW w:w="0" w:type="auto"/>
        <w:jc w:val="right"/>
        <w:tblLook w:val="04A0" w:firstRow="1" w:lastRow="0" w:firstColumn="1" w:lastColumn="0" w:noHBand="0" w:noVBand="1"/>
      </w:tblPr>
      <w:tblGrid>
        <w:gridCol w:w="4084"/>
        <w:gridCol w:w="4363"/>
      </w:tblGrid>
      <w:tr w:rsidR="0035671C" w:rsidRPr="0045375C" w14:paraId="7B8830A8" w14:textId="77777777" w:rsidTr="00BD6468">
        <w:trPr>
          <w:jc w:val="right"/>
        </w:trPr>
        <w:tc>
          <w:tcPr>
            <w:tcW w:w="4084" w:type="dxa"/>
            <w:shd w:val="clear" w:color="auto" w:fill="005962" w:themeFill="accent1"/>
          </w:tcPr>
          <w:p w14:paraId="31DD2C3E" w14:textId="77777777" w:rsidR="0035671C" w:rsidRPr="0045375C" w:rsidRDefault="0035671C" w:rsidP="00BD6468">
            <w:pPr>
              <w:spacing w:before="40" w:after="40"/>
              <w:jc w:val="center"/>
              <w:rPr>
                <w:color w:val="FFFFFF" w:themeColor="background1"/>
              </w:rPr>
            </w:pPr>
            <w:r w:rsidRPr="0045375C">
              <w:rPr>
                <w:rFonts w:eastAsia="Times New Roman"/>
                <w:b/>
                <w:bCs/>
                <w:color w:val="FFFFFF" w:themeColor="background1"/>
                <w:szCs w:val="22"/>
                <w:lang w:val="en-IN" w:eastAsia="en-IN"/>
              </w:rPr>
              <w:t>Interconnector</w:t>
            </w:r>
          </w:p>
        </w:tc>
        <w:tc>
          <w:tcPr>
            <w:tcW w:w="4363" w:type="dxa"/>
            <w:shd w:val="clear" w:color="auto" w:fill="005962" w:themeFill="accent1"/>
          </w:tcPr>
          <w:p w14:paraId="0CF70504" w14:textId="77777777" w:rsidR="0035671C" w:rsidRPr="0045375C" w:rsidRDefault="0035671C" w:rsidP="00BD6468">
            <w:pPr>
              <w:spacing w:before="40" w:after="40"/>
              <w:jc w:val="center"/>
              <w:rPr>
                <w:color w:val="FFFFFF" w:themeColor="background1"/>
              </w:rPr>
            </w:pPr>
            <w:r w:rsidRPr="0045375C">
              <w:rPr>
                <w:rFonts w:eastAsia="Times New Roman"/>
                <w:b/>
                <w:bCs/>
                <w:color w:val="FFFFFF" w:themeColor="background1"/>
                <w:szCs w:val="22"/>
                <w:lang w:val="en-IN" w:eastAsia="en-IN"/>
              </w:rPr>
              <w:t>Maximum Technical capacity</w:t>
            </w:r>
          </w:p>
        </w:tc>
      </w:tr>
      <w:tr w:rsidR="00CA3B72" w14:paraId="22E813F1" w14:textId="77777777" w:rsidTr="00BD6468">
        <w:trPr>
          <w:jc w:val="right"/>
        </w:trPr>
        <w:tc>
          <w:tcPr>
            <w:tcW w:w="4084" w:type="dxa"/>
            <w:vAlign w:val="center"/>
          </w:tcPr>
          <w:p w14:paraId="32BFA4CD" w14:textId="617A2CF1" w:rsidR="00CA3B72" w:rsidRDefault="00CA3B72" w:rsidP="00BD6468">
            <w:pPr>
              <w:spacing w:before="40" w:after="40"/>
              <w:jc w:val="center"/>
            </w:pPr>
            <w:proofErr w:type="spellStart"/>
            <w:r w:rsidRPr="003638BB">
              <w:rPr>
                <w:rFonts w:eastAsia="Times New Roman"/>
                <w:color w:val="000000"/>
                <w:szCs w:val="22"/>
                <w:lang w:val="en-IN" w:eastAsia="en-IN"/>
              </w:rPr>
              <w:t>Balticconnector</w:t>
            </w:r>
            <w:proofErr w:type="spellEnd"/>
            <w:r w:rsidRPr="003638BB">
              <w:rPr>
                <w:rFonts w:eastAsia="Times New Roman"/>
                <w:color w:val="000000"/>
                <w:szCs w:val="22"/>
                <w:lang w:val="en-IN" w:eastAsia="en-IN"/>
              </w:rPr>
              <w:t xml:space="preserve"> (Finland-Estonia)</w:t>
            </w:r>
          </w:p>
        </w:tc>
        <w:tc>
          <w:tcPr>
            <w:tcW w:w="4363" w:type="dxa"/>
            <w:vAlign w:val="center"/>
          </w:tcPr>
          <w:p w14:paraId="7D222B67" w14:textId="52B29593" w:rsidR="00CA3B72" w:rsidRDefault="00CA3B72" w:rsidP="00BD6468">
            <w:pPr>
              <w:spacing w:before="40" w:after="40"/>
              <w:jc w:val="center"/>
            </w:pPr>
            <w:r w:rsidRPr="003638BB">
              <w:rPr>
                <w:rFonts w:eastAsia="Times New Roman"/>
                <w:color w:val="000000"/>
                <w:szCs w:val="22"/>
                <w:lang w:val="en-IN" w:eastAsia="en-IN"/>
              </w:rPr>
              <w:t>7.7 mcm/d (81.2 GWh/d)</w:t>
            </w:r>
          </w:p>
        </w:tc>
      </w:tr>
    </w:tbl>
    <w:p w14:paraId="06F85323" w14:textId="3814C8D1" w:rsidR="00BD0A19" w:rsidRDefault="00CF6C94" w:rsidP="000F51E9">
      <w:pPr>
        <w:spacing w:before="120" w:after="180"/>
        <w:jc w:val="both"/>
      </w:pPr>
      <w:r w:rsidRPr="00130E80">
        <w:t>The historical gas flow</w:t>
      </w:r>
      <w:r w:rsidR="00DB7D8A">
        <w:t>s</w:t>
      </w:r>
      <w:r w:rsidRPr="00130E80">
        <w:t xml:space="preserve"> </w:t>
      </w:r>
      <w:r w:rsidR="001A7DF1">
        <w:t>via the</w:t>
      </w:r>
      <w:r w:rsidRPr="00130E80">
        <w:t xml:space="preserve"> </w:t>
      </w:r>
      <w:proofErr w:type="spellStart"/>
      <w:r w:rsidR="007B6DE1">
        <w:t>Balticonnector</w:t>
      </w:r>
      <w:proofErr w:type="spellEnd"/>
      <w:r w:rsidR="007B6DE1">
        <w:t xml:space="preserve"> </w:t>
      </w:r>
      <w:r w:rsidR="001A7DF1">
        <w:t>are</w:t>
      </w:r>
      <w:r w:rsidRPr="00130E80">
        <w:t xml:space="preserve"> shown in </w:t>
      </w:r>
      <w:r w:rsidR="005918A1" w:rsidRPr="005918A1">
        <w:rPr>
          <w:b/>
          <w:bCs/>
        </w:rPr>
        <w:fldChar w:fldCharType="begin"/>
      </w:r>
      <w:r w:rsidR="005918A1" w:rsidRPr="005918A1">
        <w:rPr>
          <w:b/>
          <w:bCs/>
        </w:rPr>
        <w:instrText xml:space="preserve"> REF _Ref103374396 \h </w:instrText>
      </w:r>
      <w:r w:rsidR="005918A1">
        <w:rPr>
          <w:b/>
          <w:bCs/>
        </w:rPr>
        <w:instrText xml:space="preserve"> \* MERGEFORMAT </w:instrText>
      </w:r>
      <w:r w:rsidR="005918A1" w:rsidRPr="005918A1">
        <w:rPr>
          <w:b/>
          <w:bCs/>
        </w:rPr>
      </w:r>
      <w:r w:rsidR="005918A1" w:rsidRPr="005918A1">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15</w:t>
      </w:r>
      <w:r w:rsidR="005918A1" w:rsidRPr="005918A1">
        <w:rPr>
          <w:b/>
          <w:bCs/>
        </w:rPr>
        <w:fldChar w:fldCharType="end"/>
      </w:r>
      <w:r w:rsidRPr="00130E80">
        <w:t xml:space="preserve">. </w:t>
      </w:r>
    </w:p>
    <w:p w14:paraId="6046333D" w14:textId="1D3B1E4A" w:rsidR="007B6DE1" w:rsidRDefault="007B6DE1" w:rsidP="002E44CB">
      <w:pPr>
        <w:pStyle w:val="Bijschrift"/>
      </w:pPr>
      <w:bookmarkStart w:id="51" w:name="_Ref103374396"/>
      <w:r>
        <w:t>Figure</w:t>
      </w:r>
      <w:r w:rsidR="005918A1">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15</w:t>
      </w:r>
      <w:r w:rsidR="006D12F8">
        <w:rPr>
          <w:noProof/>
        </w:rPr>
        <w:fldChar w:fldCharType="end"/>
      </w:r>
      <w:bookmarkEnd w:id="51"/>
      <w:r>
        <w:t xml:space="preserve">. </w:t>
      </w:r>
      <w:r w:rsidR="00BD0A19" w:rsidRPr="00C93E4C">
        <w:rPr>
          <w:lang w:val="en-US"/>
        </w:rPr>
        <w:t>NG volume flow in interconnection points</w:t>
      </w:r>
      <w:r w:rsidR="00BD0A19">
        <w:rPr>
          <w:lang w:val="en-US"/>
        </w:rPr>
        <w:t xml:space="preserve"> of Finland</w:t>
      </w:r>
      <w:r w:rsidR="00BD0A19">
        <w:rPr>
          <w:lang w:val="en-US"/>
        </w:rPr>
        <w:fldChar w:fldCharType="begin"/>
      </w:r>
      <w:r w:rsidR="00BD0A19">
        <w:rPr>
          <w:lang w:val="en-US"/>
        </w:rPr>
        <w:instrText xml:space="preserve"> NOTEREF _Ref103372416 \h  \* MERGEFORMAT </w:instrText>
      </w:r>
      <w:r w:rsidR="00BD0A19">
        <w:rPr>
          <w:lang w:val="en-US"/>
        </w:rPr>
      </w:r>
      <w:r w:rsidR="00BD0A19">
        <w:rPr>
          <w:lang w:val="en-US"/>
        </w:rPr>
        <w:fldChar w:fldCharType="separate"/>
      </w:r>
      <w:r w:rsidR="00265258" w:rsidRPr="000B0BFC">
        <w:rPr>
          <w:vertAlign w:val="superscript"/>
          <w:lang w:val="en-US"/>
        </w:rPr>
        <w:t>13</w:t>
      </w:r>
      <w:r w:rsidR="00BD0A19">
        <w:rPr>
          <w:lang w:val="en-US"/>
        </w:rPr>
        <w:fldChar w:fldCharType="end"/>
      </w:r>
    </w:p>
    <w:p w14:paraId="4563797D" w14:textId="07B54C0E" w:rsidR="00FC72EB" w:rsidRDefault="007B6DE1" w:rsidP="000F51E9">
      <w:pPr>
        <w:jc w:val="center"/>
      </w:pPr>
      <w:r>
        <w:rPr>
          <w:noProof/>
        </w:rPr>
        <w:drawing>
          <wp:inline distT="0" distB="0" distL="0" distR="0" wp14:anchorId="4D4DCB3A" wp14:editId="4273EDA1">
            <wp:extent cx="4038600" cy="2143125"/>
            <wp:effectExtent l="0" t="0" r="0" b="0"/>
            <wp:docPr id="34" name="Chart 34">
              <a:extLst xmlns:a="http://schemas.openxmlformats.org/drawingml/2006/main">
                <a:ext uri="{FF2B5EF4-FFF2-40B4-BE49-F238E27FC236}">
                  <a16:creationId xmlns:a16="http://schemas.microsoft.com/office/drawing/2014/main" id="{3BDF37F9-039C-F33B-6D11-CEA12468F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E6A6B6" w14:textId="061BEE5E" w:rsidR="00404389" w:rsidRPr="00B44F5E" w:rsidRDefault="00C56459" w:rsidP="004524AF">
      <w:pPr>
        <w:pStyle w:val="Kop2"/>
        <w:ind w:left="648" w:hanging="108"/>
      </w:pPr>
      <w:bookmarkStart w:id="52" w:name="_Toc104738345"/>
      <w:bookmarkStart w:id="53" w:name="_Toc114565049"/>
      <w:r w:rsidRPr="00B44F5E">
        <w:lastRenderedPageBreak/>
        <w:t xml:space="preserve">LNG </w:t>
      </w:r>
      <w:r w:rsidR="00DC1E57">
        <w:t>t</w:t>
      </w:r>
      <w:r w:rsidR="00D85A8F" w:rsidRPr="00B44F5E">
        <w:t>erminal and Underground storage</w:t>
      </w:r>
      <w:bookmarkEnd w:id="52"/>
      <w:bookmarkEnd w:id="53"/>
    </w:p>
    <w:p w14:paraId="7198DFE3" w14:textId="404A434D" w:rsidR="00404389" w:rsidRPr="00C14025" w:rsidRDefault="000110EB" w:rsidP="008A693E">
      <w:pPr>
        <w:spacing w:after="120"/>
        <w:ind w:left="539"/>
        <w:jc w:val="both"/>
        <w:rPr>
          <w:color w:val="000000" w:themeColor="text1"/>
        </w:rPr>
      </w:pPr>
      <w:r w:rsidRPr="00C14025">
        <w:rPr>
          <w:color w:val="000000" w:themeColor="text1"/>
        </w:rPr>
        <w:t xml:space="preserve">Natural gas </w:t>
      </w:r>
      <w:r w:rsidR="00FC1FDB">
        <w:rPr>
          <w:color w:val="000000" w:themeColor="text1"/>
        </w:rPr>
        <w:t xml:space="preserve">is for </w:t>
      </w:r>
      <w:r w:rsidRPr="00C14025">
        <w:rPr>
          <w:color w:val="000000" w:themeColor="text1"/>
        </w:rPr>
        <w:t xml:space="preserve">short-term </w:t>
      </w:r>
      <w:r w:rsidR="00FC1FDB">
        <w:rPr>
          <w:color w:val="000000" w:themeColor="text1"/>
        </w:rPr>
        <w:t xml:space="preserve">flexibility </w:t>
      </w:r>
      <w:r w:rsidR="00DC1E57">
        <w:rPr>
          <w:color w:val="000000" w:themeColor="text1"/>
        </w:rPr>
        <w:t xml:space="preserve">needs </w:t>
      </w:r>
      <w:r w:rsidRPr="00C14025">
        <w:rPr>
          <w:color w:val="000000" w:themeColor="text1"/>
        </w:rPr>
        <w:t>stored at LNG</w:t>
      </w:r>
      <w:r w:rsidR="00FC1FDB">
        <w:rPr>
          <w:color w:val="000000" w:themeColor="text1"/>
        </w:rPr>
        <w:t xml:space="preserve"> </w:t>
      </w:r>
      <w:r w:rsidRPr="00C14025">
        <w:rPr>
          <w:color w:val="000000" w:themeColor="text1"/>
        </w:rPr>
        <w:t xml:space="preserve">terminals </w:t>
      </w:r>
      <w:r w:rsidR="00FC1FDB">
        <w:rPr>
          <w:color w:val="000000" w:themeColor="text1"/>
        </w:rPr>
        <w:t>while</w:t>
      </w:r>
      <w:r w:rsidRPr="00C14025">
        <w:rPr>
          <w:color w:val="000000" w:themeColor="text1"/>
        </w:rPr>
        <w:t xml:space="preserve"> underground storage capacities (depleted oil and gas reservoirs, salt caverns, etc.)</w:t>
      </w:r>
      <w:r w:rsidR="00C14025" w:rsidRPr="00C14025">
        <w:rPr>
          <w:color w:val="000000" w:themeColor="text1"/>
        </w:rPr>
        <w:t xml:space="preserve"> </w:t>
      </w:r>
      <w:r w:rsidR="00FC1FDB">
        <w:rPr>
          <w:color w:val="000000" w:themeColor="text1"/>
        </w:rPr>
        <w:t xml:space="preserve">are used </w:t>
      </w:r>
      <w:r w:rsidR="00C14025" w:rsidRPr="00C14025">
        <w:rPr>
          <w:color w:val="000000" w:themeColor="text1"/>
        </w:rPr>
        <w:t xml:space="preserve">to provide seasonal flexibility and </w:t>
      </w:r>
      <w:r w:rsidR="00DB7D8A">
        <w:rPr>
          <w:color w:val="000000" w:themeColor="text1"/>
        </w:rPr>
        <w:t>hence contribute to gas</w:t>
      </w:r>
      <w:r w:rsidR="00C14025" w:rsidRPr="00C14025">
        <w:rPr>
          <w:color w:val="000000" w:themeColor="text1"/>
        </w:rPr>
        <w:t xml:space="preserve"> </w:t>
      </w:r>
      <w:r w:rsidR="00FC1FDB">
        <w:rPr>
          <w:color w:val="000000" w:themeColor="text1"/>
        </w:rPr>
        <w:t xml:space="preserve">supply </w:t>
      </w:r>
      <w:r w:rsidR="00C14025" w:rsidRPr="00C14025">
        <w:rPr>
          <w:color w:val="000000" w:themeColor="text1"/>
        </w:rPr>
        <w:t>security</w:t>
      </w:r>
      <w:r w:rsidRPr="00C14025">
        <w:rPr>
          <w:color w:val="000000" w:themeColor="text1"/>
        </w:rPr>
        <w:t>.</w:t>
      </w:r>
      <w:r w:rsidR="000E1475">
        <w:rPr>
          <w:color w:val="000000" w:themeColor="text1"/>
        </w:rPr>
        <w:t xml:space="preserve"> </w:t>
      </w:r>
      <w:r w:rsidR="001A7DF1">
        <w:rPr>
          <w:color w:val="000000" w:themeColor="text1"/>
        </w:rPr>
        <w:t>This section describes the current situation; n</w:t>
      </w:r>
      <w:r w:rsidR="000E1475">
        <w:t xml:space="preserve">ew development projects are </w:t>
      </w:r>
      <w:r w:rsidR="001A7DF1">
        <w:t xml:space="preserve">presented </w:t>
      </w:r>
      <w:r w:rsidR="000E1475">
        <w:t xml:space="preserve">in the chapter </w:t>
      </w:r>
      <w:r w:rsidR="00520213">
        <w:t>6 (local potentials)</w:t>
      </w:r>
      <w:r w:rsidR="000E1475">
        <w:t xml:space="preserve">. </w:t>
      </w:r>
    </w:p>
    <w:p w14:paraId="3D184EE3" w14:textId="39145CE3" w:rsidR="000110EB" w:rsidRPr="00B6276C" w:rsidRDefault="000110EB" w:rsidP="00B6276C">
      <w:pPr>
        <w:rPr>
          <w:b/>
          <w:color w:val="002C30"/>
        </w:rPr>
      </w:pPr>
      <w:r w:rsidRPr="00B6276C">
        <w:rPr>
          <w:b/>
          <w:color w:val="002C30"/>
        </w:rPr>
        <w:t xml:space="preserve">Estonia  </w:t>
      </w:r>
    </w:p>
    <w:p w14:paraId="5DFB88FC" w14:textId="613963E6" w:rsidR="0076762E" w:rsidRPr="0076762E" w:rsidRDefault="0076762E" w:rsidP="008A693E">
      <w:pPr>
        <w:spacing w:after="120"/>
        <w:ind w:left="539"/>
      </w:pPr>
      <w:r w:rsidRPr="0076762E">
        <w:t xml:space="preserve">Estonia has no LNG terminal and </w:t>
      </w:r>
      <w:r w:rsidR="00FC1FDB">
        <w:t xml:space="preserve">no </w:t>
      </w:r>
      <w:r w:rsidRPr="0076762E">
        <w:t>underground storage</w:t>
      </w:r>
      <w:r w:rsidR="00FC1FDB">
        <w:t xml:space="preserve"> facilities</w:t>
      </w:r>
      <w:r w:rsidRPr="0076762E">
        <w:t>.</w:t>
      </w:r>
      <w:r w:rsidR="000E1475">
        <w:t xml:space="preserve"> </w:t>
      </w:r>
    </w:p>
    <w:p w14:paraId="6F96A2E1" w14:textId="6521DE7F" w:rsidR="0076762E" w:rsidRPr="00B6276C" w:rsidRDefault="0076762E" w:rsidP="00B6276C">
      <w:pPr>
        <w:rPr>
          <w:b/>
          <w:color w:val="002C30"/>
        </w:rPr>
      </w:pPr>
      <w:r w:rsidRPr="00B6276C">
        <w:rPr>
          <w:b/>
          <w:color w:val="002C30"/>
        </w:rPr>
        <w:t>Latvia</w:t>
      </w:r>
    </w:p>
    <w:p w14:paraId="5D455AD3" w14:textId="16E00F8F" w:rsidR="00DB7D8A" w:rsidRDefault="00763670" w:rsidP="00763670">
      <w:pPr>
        <w:ind w:left="540"/>
        <w:jc w:val="both"/>
      </w:pPr>
      <w:proofErr w:type="spellStart"/>
      <w:r w:rsidRPr="00763670">
        <w:t>Inčukalns</w:t>
      </w:r>
      <w:proofErr w:type="spellEnd"/>
      <w:r w:rsidRPr="00763670">
        <w:t xml:space="preserve"> underground gas storage (IUGS) in Latvia is the only functional </w:t>
      </w:r>
      <w:r w:rsidR="00FC1FDB">
        <w:t xml:space="preserve">large-scale </w:t>
      </w:r>
      <w:r w:rsidRPr="00763670">
        <w:t xml:space="preserve">storage </w:t>
      </w:r>
      <w:r w:rsidR="00FC1FDB">
        <w:t xml:space="preserve">facility </w:t>
      </w:r>
      <w:r w:rsidRPr="00763670">
        <w:t>in the Baltic countries</w:t>
      </w:r>
      <w:r w:rsidR="00FC1FDB">
        <w:t>; it</w:t>
      </w:r>
      <w:r w:rsidRPr="00763670">
        <w:t xml:space="preserve"> </w:t>
      </w:r>
      <w:r w:rsidR="00DC1E57">
        <w:t>is the 3</w:t>
      </w:r>
      <w:r w:rsidR="00DC1E57" w:rsidRPr="00993226">
        <w:rPr>
          <w:vertAlign w:val="superscript"/>
        </w:rPr>
        <w:t>rd</w:t>
      </w:r>
      <w:r w:rsidR="00DC1E57">
        <w:t xml:space="preserve"> largest UGS in Europe</w:t>
      </w:r>
      <w:r w:rsidR="00DC1E57" w:rsidRPr="00763670">
        <w:t xml:space="preserve"> </w:t>
      </w:r>
      <w:r w:rsidR="00DC1E57">
        <w:t xml:space="preserve">and </w:t>
      </w:r>
      <w:r w:rsidRPr="00763670">
        <w:t xml:space="preserve">ensures the </w:t>
      </w:r>
      <w:r w:rsidR="00DC1E57">
        <w:t xml:space="preserve">security </w:t>
      </w:r>
      <w:r w:rsidRPr="00763670">
        <w:t>of gas supply</w:t>
      </w:r>
      <w:r w:rsidR="00FC1FDB">
        <w:t xml:space="preserve"> at regional level</w:t>
      </w:r>
      <w:r w:rsidRPr="00763670">
        <w:t xml:space="preserve">. Conexus Baltic Grid </w:t>
      </w:r>
      <w:r w:rsidR="00FD36BE">
        <w:t xml:space="preserve">is next to its role as </w:t>
      </w:r>
      <w:r w:rsidR="00FC1FDB">
        <w:t xml:space="preserve">TSO </w:t>
      </w:r>
      <w:r w:rsidR="00DC1E57">
        <w:t>also</w:t>
      </w:r>
      <w:r w:rsidR="00FD36BE">
        <w:t xml:space="preserve"> operating </w:t>
      </w:r>
      <w:r w:rsidRPr="00763670">
        <w:t xml:space="preserve">the IUGS. During the summer season, when </w:t>
      </w:r>
      <w:r w:rsidR="00FD36BE">
        <w:t xml:space="preserve">the gas </w:t>
      </w:r>
      <w:r w:rsidRPr="00763670">
        <w:t xml:space="preserve">consumption </w:t>
      </w:r>
      <w:r w:rsidR="00FD36BE">
        <w:t xml:space="preserve">level </w:t>
      </w:r>
      <w:r w:rsidRPr="00763670">
        <w:t xml:space="preserve">is several times lower than in the </w:t>
      </w:r>
      <w:r w:rsidR="00DC1E57">
        <w:t>winter</w:t>
      </w:r>
      <w:r w:rsidRPr="00763670">
        <w:t xml:space="preserve">, natural gas is pumped </w:t>
      </w:r>
      <w:r w:rsidR="00FD36BE">
        <w:t>in</w:t>
      </w:r>
      <w:r w:rsidRPr="00763670">
        <w:t>to the storage</w:t>
      </w:r>
      <w:r w:rsidR="00254EF0">
        <w:t xml:space="preserve"> site</w:t>
      </w:r>
      <w:r w:rsidRPr="00763670">
        <w:t>, so that in the heating season it c</w:t>
      </w:r>
      <w:r w:rsidR="00FD36BE">
        <w:t>an</w:t>
      </w:r>
      <w:r w:rsidRPr="00763670">
        <w:t xml:space="preserve"> be supplied to c</w:t>
      </w:r>
      <w:r w:rsidR="00FD36BE">
        <w:t xml:space="preserve">onsumers </w:t>
      </w:r>
      <w:r w:rsidRPr="00763670">
        <w:t>in Latvia, Estonia, north-west Russia and (in smaller amounts) Lithuania.</w:t>
      </w:r>
      <w:r w:rsidR="00531103" w:rsidRPr="00531103">
        <w:t xml:space="preserve"> </w:t>
      </w:r>
      <w:proofErr w:type="spellStart"/>
      <w:r w:rsidR="00531103" w:rsidRPr="00531103">
        <w:t>Inčukalns</w:t>
      </w:r>
      <w:proofErr w:type="spellEnd"/>
      <w:r w:rsidR="00531103" w:rsidRPr="00531103">
        <w:t xml:space="preserve"> UGS has a storage capacity of 4.47 billion cubic meters, from which 2.32 billion cubic meters (24.2 TWh) are active storage quantities or constantly pumped natural gas.</w:t>
      </w:r>
      <w:r w:rsidR="00143C29" w:rsidRPr="00531103">
        <w:rPr>
          <w:rStyle w:val="Voetnootmarkering"/>
        </w:rPr>
        <w:footnoteReference w:id="19"/>
      </w:r>
      <w:r w:rsidR="0062449B" w:rsidRPr="0062449B">
        <w:t xml:space="preserve"> Historically, the region has been dependent solely on natural gas supplies from Russi</w:t>
      </w:r>
      <w:r w:rsidR="000F4C21">
        <w:t>a</w:t>
      </w:r>
      <w:r w:rsidR="005D36CA">
        <w:t>. When the</w:t>
      </w:r>
      <w:r w:rsidR="000F4C21">
        <w:t xml:space="preserve"> </w:t>
      </w:r>
      <w:r w:rsidR="0062449B" w:rsidRPr="0062449B">
        <w:t>Klaipeda LNG terminal</w:t>
      </w:r>
      <w:r w:rsidR="00254EF0">
        <w:t xml:space="preserve"> in Lithuania </w:t>
      </w:r>
      <w:r w:rsidR="000F4C21">
        <w:t>was commissioned in</w:t>
      </w:r>
      <w:r w:rsidR="0062449B" w:rsidRPr="0062449B">
        <w:t xml:space="preserve"> 2014, </w:t>
      </w:r>
      <w:r w:rsidR="00E90E24">
        <w:t xml:space="preserve">it </w:t>
      </w:r>
      <w:r w:rsidR="0088414F">
        <w:t>create</w:t>
      </w:r>
      <w:r w:rsidR="00B664BA">
        <w:t>d</w:t>
      </w:r>
      <w:r w:rsidR="0088414F">
        <w:t xml:space="preserve"> </w:t>
      </w:r>
      <w:r w:rsidR="00B664BA">
        <w:t>an</w:t>
      </w:r>
      <w:r w:rsidR="0088414F">
        <w:t xml:space="preserve"> alternative route</w:t>
      </w:r>
      <w:r w:rsidR="004C22CE">
        <w:t xml:space="preserve"> for Latvia</w:t>
      </w:r>
      <w:r w:rsidR="0088414F">
        <w:t xml:space="preserve"> </w:t>
      </w:r>
      <w:r w:rsidR="004618B5">
        <w:t xml:space="preserve">to reduce the gas import from Russia. </w:t>
      </w:r>
      <w:r w:rsidR="0062449B" w:rsidRPr="0062449B">
        <w:t xml:space="preserve">In 2017, natural gas </w:t>
      </w:r>
      <w:r w:rsidR="00254EF0">
        <w:t>imported via</w:t>
      </w:r>
      <w:r w:rsidR="0062449B" w:rsidRPr="0062449B">
        <w:t xml:space="preserve"> the Klaipeda LNG was </w:t>
      </w:r>
      <w:r w:rsidR="00254EF0">
        <w:t xml:space="preserve">for the </w:t>
      </w:r>
      <w:r w:rsidR="0062449B" w:rsidRPr="0062449B">
        <w:t>first time injected into the IUGS</w:t>
      </w:r>
      <w:r w:rsidR="0062449B" w:rsidRPr="0062449B">
        <w:rPr>
          <w:vertAlign w:val="superscript"/>
        </w:rPr>
        <w:fldChar w:fldCharType="begin"/>
      </w:r>
      <w:r w:rsidR="0062449B" w:rsidRPr="0062449B">
        <w:rPr>
          <w:vertAlign w:val="superscript"/>
        </w:rPr>
        <w:instrText xml:space="preserve"> NOTEREF _Ref103370021 \h </w:instrText>
      </w:r>
      <w:r w:rsidR="0062449B">
        <w:rPr>
          <w:vertAlign w:val="superscript"/>
        </w:rPr>
        <w:instrText xml:space="preserve"> \* MERGEFORMAT </w:instrText>
      </w:r>
      <w:r w:rsidR="0062449B" w:rsidRPr="0062449B">
        <w:rPr>
          <w:vertAlign w:val="superscript"/>
        </w:rPr>
      </w:r>
      <w:r w:rsidR="0062449B" w:rsidRPr="0062449B">
        <w:rPr>
          <w:vertAlign w:val="superscript"/>
        </w:rPr>
        <w:fldChar w:fldCharType="separate"/>
      </w:r>
      <w:r w:rsidR="00265258">
        <w:rPr>
          <w:vertAlign w:val="superscript"/>
        </w:rPr>
        <w:t>16</w:t>
      </w:r>
      <w:r w:rsidR="0062449B" w:rsidRPr="0062449B">
        <w:rPr>
          <w:vertAlign w:val="superscript"/>
        </w:rPr>
        <w:fldChar w:fldCharType="end"/>
      </w:r>
      <w:r w:rsidR="0062449B" w:rsidRPr="0062449B">
        <w:t>.</w:t>
      </w:r>
      <w:r w:rsidR="00FA7D64" w:rsidRPr="00FA7D64">
        <w:t xml:space="preserve"> The active gas storage </w:t>
      </w:r>
      <w:r w:rsidR="00254EF0">
        <w:t>volumes were</w:t>
      </w:r>
      <w:r w:rsidR="00FA7D64" w:rsidRPr="00FA7D64">
        <w:t xml:space="preserve"> constantly changing over the last five years, </w:t>
      </w:r>
      <w:r w:rsidR="00AF521A">
        <w:t>as shown in</w:t>
      </w:r>
      <w:r w:rsidR="00FA7D64" w:rsidRPr="00FA7D64">
        <w:t xml:space="preserve"> </w:t>
      </w:r>
      <w:r w:rsidR="00B6276C" w:rsidRPr="002E41E6">
        <w:rPr>
          <w:b/>
          <w:bCs/>
        </w:rPr>
        <w:fldChar w:fldCharType="begin"/>
      </w:r>
      <w:r w:rsidR="00B6276C" w:rsidRPr="002E41E6">
        <w:rPr>
          <w:b/>
          <w:bCs/>
        </w:rPr>
        <w:instrText xml:space="preserve"> REF _Ref103375363 \h </w:instrText>
      </w:r>
      <w:r w:rsidR="002E41E6">
        <w:rPr>
          <w:b/>
          <w:bCs/>
        </w:rPr>
        <w:instrText xml:space="preserve"> \* MERGEFORMAT </w:instrText>
      </w:r>
      <w:r w:rsidR="00B6276C" w:rsidRPr="002E41E6">
        <w:rPr>
          <w:b/>
          <w:bCs/>
        </w:rPr>
      </w:r>
      <w:r w:rsidR="00B6276C" w:rsidRPr="002E41E6">
        <w:rPr>
          <w:b/>
          <w:bCs/>
        </w:rPr>
        <w:fldChar w:fldCharType="separate"/>
      </w:r>
      <w:r w:rsidR="00265258" w:rsidRPr="000B0BFC">
        <w:rPr>
          <w:b/>
          <w:bCs/>
        </w:rPr>
        <w:t xml:space="preserve">Figure </w:t>
      </w:r>
      <w:r w:rsidR="00265258" w:rsidRPr="000B0BFC">
        <w:rPr>
          <w:b/>
          <w:bCs/>
          <w:noProof/>
        </w:rPr>
        <w:t>3</w:t>
      </w:r>
      <w:r w:rsidR="00265258" w:rsidRPr="000B0BFC">
        <w:rPr>
          <w:b/>
          <w:bCs/>
          <w:noProof/>
        </w:rPr>
        <w:noBreakHyphen/>
        <w:t>16</w:t>
      </w:r>
      <w:r w:rsidR="00B6276C" w:rsidRPr="002E41E6">
        <w:rPr>
          <w:b/>
          <w:bCs/>
        </w:rPr>
        <w:fldChar w:fldCharType="end"/>
      </w:r>
      <w:r w:rsidR="00FA7D64" w:rsidRPr="00FA7D64">
        <w:t>.</w:t>
      </w:r>
    </w:p>
    <w:p w14:paraId="545B08B5" w14:textId="35262FCF" w:rsidR="00602944" w:rsidRDefault="005970FE" w:rsidP="00A0088D">
      <w:pPr>
        <w:spacing w:after="240"/>
        <w:ind w:left="539"/>
        <w:jc w:val="both"/>
      </w:pPr>
      <w:r>
        <w:t xml:space="preserve">Currently, </w:t>
      </w:r>
      <w:r w:rsidR="0061584E">
        <w:t>Latvia doesn’t have any LNG terminal.</w:t>
      </w:r>
    </w:p>
    <w:p w14:paraId="51144979" w14:textId="1C6768BE" w:rsidR="00602944" w:rsidRDefault="00602944" w:rsidP="00FD66A3">
      <w:pPr>
        <w:pStyle w:val="Bijschrift"/>
      </w:pPr>
      <w:bookmarkStart w:id="54" w:name="_Ref103375363"/>
      <w:r>
        <w:t>Figure</w:t>
      </w:r>
      <w:r w:rsidR="00B6276C">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16</w:t>
      </w:r>
      <w:r w:rsidR="006D12F8">
        <w:rPr>
          <w:noProof/>
        </w:rPr>
        <w:fldChar w:fldCharType="end"/>
      </w:r>
      <w:bookmarkEnd w:id="54"/>
      <w:r>
        <w:t xml:space="preserve">. </w:t>
      </w:r>
      <w:r w:rsidR="00167713">
        <w:t xml:space="preserve">Active gas storage in </w:t>
      </w:r>
      <w:proofErr w:type="spellStart"/>
      <w:r w:rsidR="00AF521A" w:rsidRPr="00763670">
        <w:t>Inčukalns</w:t>
      </w:r>
      <w:proofErr w:type="spellEnd"/>
      <w:r w:rsidR="00AF521A" w:rsidRPr="00763670">
        <w:t xml:space="preserve"> underground gas storage </w:t>
      </w:r>
      <w:r w:rsidR="00AF521A">
        <w:t>(</w:t>
      </w:r>
      <w:r>
        <w:t>IUG</w:t>
      </w:r>
      <w:r w:rsidR="00167713">
        <w:t>S</w:t>
      </w:r>
      <w:r w:rsidR="00AF521A">
        <w:t>)</w:t>
      </w:r>
      <w:r w:rsidR="006B6AE4" w:rsidRPr="006B6AE4">
        <w:rPr>
          <w:vertAlign w:val="superscript"/>
        </w:rPr>
        <w:fldChar w:fldCharType="begin"/>
      </w:r>
      <w:r w:rsidR="006B6AE4" w:rsidRPr="006B6AE4">
        <w:rPr>
          <w:vertAlign w:val="superscript"/>
        </w:rPr>
        <w:instrText xml:space="preserve"> NOTEREF _Ref103373466 \h </w:instrText>
      </w:r>
      <w:r w:rsidR="006B6AE4">
        <w:rPr>
          <w:vertAlign w:val="superscript"/>
        </w:rPr>
        <w:instrText xml:space="preserve"> \* MERGEFORMAT </w:instrText>
      </w:r>
      <w:r w:rsidR="006B6AE4" w:rsidRPr="006B6AE4">
        <w:rPr>
          <w:vertAlign w:val="superscript"/>
        </w:rPr>
      </w:r>
      <w:r w:rsidR="006B6AE4" w:rsidRPr="006B6AE4">
        <w:rPr>
          <w:vertAlign w:val="superscript"/>
        </w:rPr>
        <w:fldChar w:fldCharType="separate"/>
      </w:r>
      <w:r w:rsidR="00265258">
        <w:rPr>
          <w:vertAlign w:val="superscript"/>
        </w:rPr>
        <w:t>14</w:t>
      </w:r>
      <w:r w:rsidR="006B6AE4" w:rsidRPr="006B6AE4">
        <w:rPr>
          <w:vertAlign w:val="superscript"/>
        </w:rPr>
        <w:fldChar w:fldCharType="end"/>
      </w:r>
    </w:p>
    <w:p w14:paraId="22CD179B" w14:textId="047EF0F1" w:rsidR="008B1CC2" w:rsidRPr="00531103" w:rsidRDefault="00AE2E97" w:rsidP="00831803">
      <w:pPr>
        <w:jc w:val="center"/>
      </w:pPr>
      <w:r>
        <w:rPr>
          <w:noProof/>
        </w:rPr>
        <w:drawing>
          <wp:inline distT="0" distB="0" distL="0" distR="0" wp14:anchorId="6D0C09C7" wp14:editId="74701B44">
            <wp:extent cx="3581400" cy="2266950"/>
            <wp:effectExtent l="0" t="0" r="0" b="0"/>
            <wp:docPr id="36" name="Chart 36">
              <a:extLst xmlns:a="http://schemas.openxmlformats.org/drawingml/2006/main">
                <a:ext uri="{FF2B5EF4-FFF2-40B4-BE49-F238E27FC236}">
                  <a16:creationId xmlns:a16="http://schemas.microsoft.com/office/drawing/2014/main" id="{9200AFCB-D56F-FEC0-06F4-3EA5CC24E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028514" w14:textId="31CC7F47" w:rsidR="00D85A8F" w:rsidRPr="00DD662D" w:rsidRDefault="0061584E" w:rsidP="00AA15C2">
      <w:pPr>
        <w:ind w:left="540"/>
        <w:rPr>
          <w:b/>
          <w:color w:val="002C30"/>
        </w:rPr>
      </w:pPr>
      <w:r w:rsidRPr="00B6276C">
        <w:rPr>
          <w:b/>
          <w:color w:val="002C30"/>
        </w:rPr>
        <w:t>Li</w:t>
      </w:r>
      <w:r w:rsidR="001F3DD9" w:rsidRPr="00B6276C">
        <w:rPr>
          <w:b/>
          <w:color w:val="002C30"/>
        </w:rPr>
        <w:t>thuania</w:t>
      </w:r>
    </w:p>
    <w:p w14:paraId="4BB55761" w14:textId="3905FD11" w:rsidR="00280FBB" w:rsidRPr="00FC0F2E" w:rsidRDefault="00AF521A" w:rsidP="00CB7CD7">
      <w:pPr>
        <w:pStyle w:val="pf0"/>
        <w:spacing w:line="360" w:lineRule="auto"/>
        <w:ind w:left="540"/>
        <w:jc w:val="both"/>
        <w:rPr>
          <w:rFonts w:ascii="Trebuchet MS" w:hAnsi="Trebuchet MS" w:cs="Arial"/>
          <w:sz w:val="18"/>
          <w:szCs w:val="18"/>
          <w:lang w:val="en-US" w:eastAsia="en-US"/>
        </w:rPr>
      </w:pPr>
      <w:r w:rsidRPr="00B6722D">
        <w:rPr>
          <w:rFonts w:ascii="Trebuchet MS" w:hAnsi="Trebuchet MS"/>
          <w:sz w:val="18"/>
          <w:szCs w:val="18"/>
          <w:lang w:val="en-US"/>
        </w:rPr>
        <w:t xml:space="preserve">The </w:t>
      </w:r>
      <w:r w:rsidR="00342AD1" w:rsidRPr="00B6722D">
        <w:rPr>
          <w:rFonts w:ascii="Trebuchet MS" w:hAnsi="Trebuchet MS"/>
          <w:sz w:val="18"/>
          <w:szCs w:val="18"/>
          <w:lang w:val="en-US"/>
        </w:rPr>
        <w:t>Klaipeda LNG terminal</w:t>
      </w:r>
      <w:r w:rsidRPr="00B6722D">
        <w:rPr>
          <w:rFonts w:ascii="Trebuchet MS" w:hAnsi="Trebuchet MS"/>
          <w:sz w:val="18"/>
          <w:szCs w:val="18"/>
          <w:lang w:val="en-US"/>
        </w:rPr>
        <w:t>,</w:t>
      </w:r>
      <w:r w:rsidR="00342AD1" w:rsidRPr="00B6722D">
        <w:rPr>
          <w:rFonts w:ascii="Trebuchet MS" w:hAnsi="Trebuchet MS"/>
          <w:sz w:val="18"/>
          <w:szCs w:val="18"/>
          <w:lang w:val="en-US"/>
        </w:rPr>
        <w:t xml:space="preserve"> operated by </w:t>
      </w:r>
      <w:r w:rsidR="00DD662D" w:rsidRPr="00B6722D">
        <w:rPr>
          <w:rStyle w:val="cf01"/>
          <w:rFonts w:ascii="Trebuchet MS" w:hAnsi="Trebuchet MS"/>
          <w:lang w:val="en-US"/>
        </w:rPr>
        <w:t xml:space="preserve">AB </w:t>
      </w:r>
      <w:proofErr w:type="spellStart"/>
      <w:r w:rsidR="00DD662D" w:rsidRPr="00B6722D">
        <w:rPr>
          <w:rStyle w:val="cf01"/>
          <w:rFonts w:ascii="Trebuchet MS" w:hAnsi="Trebuchet MS"/>
          <w:lang w:val="en-US"/>
        </w:rPr>
        <w:t>Klapėdos</w:t>
      </w:r>
      <w:proofErr w:type="spellEnd"/>
      <w:r w:rsidR="00DD662D" w:rsidRPr="00B6722D">
        <w:rPr>
          <w:rStyle w:val="cf01"/>
          <w:rFonts w:ascii="Trebuchet MS" w:hAnsi="Trebuchet MS"/>
          <w:lang w:val="en-US"/>
        </w:rPr>
        <w:t xml:space="preserve"> </w:t>
      </w:r>
      <w:proofErr w:type="spellStart"/>
      <w:r w:rsidR="00DD662D" w:rsidRPr="00B6722D">
        <w:rPr>
          <w:rStyle w:val="cf01"/>
          <w:rFonts w:ascii="Trebuchet MS" w:hAnsi="Trebuchet MS"/>
          <w:lang w:val="en-US"/>
        </w:rPr>
        <w:t>nafta</w:t>
      </w:r>
      <w:proofErr w:type="spellEnd"/>
      <w:r w:rsidRPr="00B6722D">
        <w:rPr>
          <w:rFonts w:ascii="Trebuchet MS" w:hAnsi="Trebuchet MS"/>
          <w:sz w:val="18"/>
          <w:szCs w:val="18"/>
          <w:lang w:val="en-US"/>
        </w:rPr>
        <w:t xml:space="preserve">, </w:t>
      </w:r>
      <w:r w:rsidR="00342AD1" w:rsidRPr="00B6722D">
        <w:rPr>
          <w:rFonts w:ascii="Trebuchet MS" w:hAnsi="Trebuchet MS"/>
          <w:sz w:val="18"/>
          <w:szCs w:val="18"/>
          <w:lang w:val="en-US"/>
        </w:rPr>
        <w:t xml:space="preserve">is the only LNG terminal in the Baltic region. </w:t>
      </w:r>
      <w:r w:rsidR="00CB7CD7" w:rsidRPr="00B6722D">
        <w:rPr>
          <w:rFonts w:ascii="Trebuchet MS" w:hAnsi="Trebuchet MS"/>
          <w:sz w:val="18"/>
          <w:szCs w:val="18"/>
          <w:lang w:val="en-US"/>
        </w:rPr>
        <w:t>It is o</w:t>
      </w:r>
      <w:r w:rsidR="00FC0F2E" w:rsidRPr="00FC0F2E">
        <w:rPr>
          <w:rFonts w:ascii="Trebuchet MS" w:hAnsi="Trebuchet MS" w:cs="Segoe UI"/>
          <w:sz w:val="18"/>
          <w:szCs w:val="18"/>
          <w:lang w:val="en-US" w:eastAsia="en-US"/>
        </w:rPr>
        <w:t xml:space="preserve">wned by </w:t>
      </w:r>
      <w:r w:rsidR="005D36CA">
        <w:rPr>
          <w:rFonts w:ascii="Trebuchet MS" w:hAnsi="Trebuchet MS" w:cs="Segoe UI"/>
          <w:sz w:val="18"/>
          <w:szCs w:val="18"/>
          <w:lang w:val="en-US" w:eastAsia="en-US"/>
        </w:rPr>
        <w:t xml:space="preserve">the Lithuanian state </w:t>
      </w:r>
      <w:r w:rsidR="00FC0F2E" w:rsidRPr="00FC0F2E">
        <w:rPr>
          <w:rFonts w:ascii="Trebuchet MS" w:hAnsi="Trebuchet MS" w:cs="Segoe UI"/>
          <w:sz w:val="18"/>
          <w:szCs w:val="18"/>
          <w:lang w:val="en-US" w:eastAsia="en-US"/>
        </w:rPr>
        <w:t xml:space="preserve">and </w:t>
      </w:r>
      <w:r w:rsidR="005D36CA">
        <w:rPr>
          <w:rFonts w:ascii="Trebuchet MS" w:hAnsi="Trebuchet MS" w:cs="Segoe UI"/>
          <w:sz w:val="18"/>
          <w:szCs w:val="18"/>
          <w:lang w:val="en-US" w:eastAsia="en-US"/>
        </w:rPr>
        <w:t xml:space="preserve">a </w:t>
      </w:r>
      <w:r w:rsidR="00FC0F2E" w:rsidRPr="00FC0F2E">
        <w:rPr>
          <w:rFonts w:ascii="Trebuchet MS" w:hAnsi="Trebuchet MS" w:cs="Segoe UI"/>
          <w:sz w:val="18"/>
          <w:szCs w:val="18"/>
          <w:lang w:val="en-US" w:eastAsia="en-US"/>
        </w:rPr>
        <w:t xml:space="preserve">private </w:t>
      </w:r>
      <w:r w:rsidR="00CB7CD7" w:rsidRPr="00FC0F2E">
        <w:rPr>
          <w:rFonts w:ascii="Trebuchet MS" w:hAnsi="Trebuchet MS" w:cs="Segoe UI"/>
          <w:sz w:val="18"/>
          <w:szCs w:val="18"/>
          <w:lang w:val="en-US" w:eastAsia="en-US"/>
        </w:rPr>
        <w:t>shareholder.</w:t>
      </w:r>
      <w:r w:rsidR="00CB7CD7" w:rsidRPr="00B6722D">
        <w:rPr>
          <w:rFonts w:ascii="Trebuchet MS" w:hAnsi="Trebuchet MS"/>
          <w:sz w:val="18"/>
          <w:szCs w:val="18"/>
          <w:lang w:val="en-US"/>
        </w:rPr>
        <w:t xml:space="preserve"> An</w:t>
      </w:r>
      <w:r w:rsidR="00342AD1" w:rsidRPr="00B6722D">
        <w:rPr>
          <w:rFonts w:ascii="Trebuchet MS" w:hAnsi="Trebuchet MS"/>
          <w:sz w:val="18"/>
          <w:szCs w:val="18"/>
          <w:lang w:val="en-US"/>
        </w:rPr>
        <w:t xml:space="preserve"> almost 18 km long pipeline connects the LNG terminal </w:t>
      </w:r>
      <w:r w:rsidR="00160BCA" w:rsidRPr="00B6722D">
        <w:rPr>
          <w:rFonts w:ascii="Trebuchet MS" w:hAnsi="Trebuchet MS"/>
          <w:sz w:val="18"/>
          <w:szCs w:val="18"/>
          <w:lang w:val="en-US"/>
        </w:rPr>
        <w:t xml:space="preserve">with </w:t>
      </w:r>
      <w:r w:rsidRPr="00B6722D">
        <w:rPr>
          <w:rFonts w:ascii="Trebuchet MS" w:hAnsi="Trebuchet MS"/>
          <w:sz w:val="18"/>
          <w:szCs w:val="18"/>
          <w:lang w:val="en-US"/>
        </w:rPr>
        <w:t>the</w:t>
      </w:r>
      <w:r w:rsidR="00342AD1" w:rsidRPr="00B6722D">
        <w:rPr>
          <w:rFonts w:ascii="Trebuchet MS" w:hAnsi="Trebuchet MS"/>
          <w:sz w:val="18"/>
          <w:szCs w:val="18"/>
          <w:lang w:val="en-US"/>
        </w:rPr>
        <w:t xml:space="preserve"> natural gas</w:t>
      </w:r>
      <w:r w:rsidR="00342AD1" w:rsidRPr="00B6722D">
        <w:rPr>
          <w:rFonts w:ascii="Trebuchet MS" w:hAnsi="Trebuchet MS"/>
          <w:color w:val="000000" w:themeColor="text1"/>
          <w:sz w:val="18"/>
          <w:szCs w:val="18"/>
          <w:lang w:val="en-US"/>
        </w:rPr>
        <w:t xml:space="preserve"> </w:t>
      </w:r>
      <w:r w:rsidR="000C0CB8" w:rsidRPr="00B6722D">
        <w:rPr>
          <w:rFonts w:ascii="Trebuchet MS" w:hAnsi="Trebuchet MS"/>
          <w:color w:val="000000" w:themeColor="text1"/>
          <w:sz w:val="18"/>
          <w:szCs w:val="18"/>
          <w:lang w:val="en-US"/>
        </w:rPr>
        <w:t>transmission</w:t>
      </w:r>
      <w:r w:rsidR="00342AD1" w:rsidRPr="00B6722D">
        <w:rPr>
          <w:rFonts w:ascii="Trebuchet MS" w:hAnsi="Trebuchet MS"/>
          <w:color w:val="000000" w:themeColor="text1"/>
          <w:sz w:val="18"/>
          <w:szCs w:val="18"/>
          <w:lang w:val="en-US"/>
        </w:rPr>
        <w:t xml:space="preserve"> </w:t>
      </w:r>
      <w:r w:rsidR="000C0CB8" w:rsidRPr="00B6722D">
        <w:rPr>
          <w:rFonts w:ascii="Trebuchet MS" w:hAnsi="Trebuchet MS"/>
          <w:sz w:val="18"/>
          <w:szCs w:val="18"/>
          <w:lang w:val="en-US"/>
        </w:rPr>
        <w:t xml:space="preserve">lines </w:t>
      </w:r>
      <w:r w:rsidR="00342AD1" w:rsidRPr="00B6722D">
        <w:rPr>
          <w:rFonts w:ascii="Trebuchet MS" w:hAnsi="Trebuchet MS"/>
          <w:sz w:val="18"/>
          <w:szCs w:val="18"/>
          <w:lang w:val="en-US"/>
        </w:rPr>
        <w:t xml:space="preserve">of Amber Grid AB. </w:t>
      </w:r>
      <w:r w:rsidRPr="00B6722D">
        <w:rPr>
          <w:rFonts w:ascii="Trebuchet MS" w:hAnsi="Trebuchet MS"/>
          <w:sz w:val="18"/>
          <w:szCs w:val="18"/>
          <w:lang w:val="en-US"/>
        </w:rPr>
        <w:t xml:space="preserve">The LNG terminal </w:t>
      </w:r>
      <w:r w:rsidR="00342AD1" w:rsidRPr="00B6722D">
        <w:rPr>
          <w:rFonts w:ascii="Trebuchet MS" w:hAnsi="Trebuchet MS"/>
          <w:sz w:val="18"/>
          <w:szCs w:val="18"/>
          <w:lang w:val="en-US"/>
        </w:rPr>
        <w:t xml:space="preserve">was commissioned </w:t>
      </w:r>
      <w:r w:rsidR="00160BCA" w:rsidRPr="00B6722D">
        <w:rPr>
          <w:rFonts w:ascii="Trebuchet MS" w:hAnsi="Trebuchet MS"/>
          <w:sz w:val="18"/>
          <w:szCs w:val="18"/>
          <w:lang w:val="en-US"/>
        </w:rPr>
        <w:t>in</w:t>
      </w:r>
      <w:r w:rsidR="00342AD1" w:rsidRPr="00B6722D">
        <w:rPr>
          <w:rFonts w:ascii="Trebuchet MS" w:hAnsi="Trebuchet MS"/>
          <w:sz w:val="18"/>
          <w:szCs w:val="18"/>
          <w:lang w:val="en-US"/>
        </w:rPr>
        <w:t xml:space="preserve"> 2014</w:t>
      </w:r>
      <w:r w:rsidRPr="00B6722D">
        <w:rPr>
          <w:rFonts w:ascii="Trebuchet MS" w:hAnsi="Trebuchet MS"/>
          <w:sz w:val="18"/>
          <w:szCs w:val="18"/>
          <w:lang w:val="en-US"/>
        </w:rPr>
        <w:t xml:space="preserve"> and </w:t>
      </w:r>
      <w:r w:rsidR="00342AD1" w:rsidRPr="00B6722D">
        <w:rPr>
          <w:rFonts w:ascii="Trebuchet MS" w:hAnsi="Trebuchet MS"/>
          <w:sz w:val="18"/>
          <w:szCs w:val="18"/>
          <w:lang w:val="en-US"/>
        </w:rPr>
        <w:t xml:space="preserve">consists of </w:t>
      </w:r>
      <w:r w:rsidRPr="00B6722D">
        <w:rPr>
          <w:rFonts w:ascii="Trebuchet MS" w:hAnsi="Trebuchet MS"/>
          <w:sz w:val="18"/>
          <w:szCs w:val="18"/>
          <w:lang w:val="en-US"/>
        </w:rPr>
        <w:t xml:space="preserve">a </w:t>
      </w:r>
      <w:r w:rsidR="00342AD1" w:rsidRPr="00B6722D">
        <w:rPr>
          <w:rFonts w:ascii="Trebuchet MS" w:hAnsi="Trebuchet MS"/>
          <w:sz w:val="18"/>
          <w:szCs w:val="18"/>
          <w:lang w:val="en-US"/>
        </w:rPr>
        <w:t xml:space="preserve">floating storage and regasification unit (FSRU) with a total </w:t>
      </w:r>
      <w:r w:rsidRPr="00B6722D">
        <w:rPr>
          <w:rFonts w:ascii="Trebuchet MS" w:hAnsi="Trebuchet MS"/>
          <w:sz w:val="18"/>
          <w:szCs w:val="18"/>
          <w:lang w:val="en-US"/>
        </w:rPr>
        <w:t xml:space="preserve">technical </w:t>
      </w:r>
      <w:r w:rsidR="00342AD1" w:rsidRPr="00B6722D">
        <w:rPr>
          <w:rFonts w:ascii="Trebuchet MS" w:hAnsi="Trebuchet MS"/>
          <w:sz w:val="18"/>
          <w:szCs w:val="18"/>
          <w:lang w:val="en-US"/>
        </w:rPr>
        <w:t xml:space="preserve">capacity of 10.25 mcm/d and </w:t>
      </w:r>
      <w:r w:rsidRPr="00B6722D">
        <w:rPr>
          <w:rFonts w:ascii="Trebuchet MS" w:hAnsi="Trebuchet MS"/>
          <w:sz w:val="18"/>
          <w:szCs w:val="18"/>
          <w:lang w:val="en-US"/>
        </w:rPr>
        <w:t>an operational</w:t>
      </w:r>
      <w:r w:rsidR="00342AD1" w:rsidRPr="00B6722D">
        <w:rPr>
          <w:rFonts w:ascii="Trebuchet MS" w:hAnsi="Trebuchet MS"/>
          <w:sz w:val="18"/>
          <w:szCs w:val="18"/>
          <w:lang w:val="en-US"/>
        </w:rPr>
        <w:t xml:space="preserve"> LNG storage </w:t>
      </w:r>
      <w:r w:rsidRPr="00B6722D">
        <w:rPr>
          <w:rFonts w:ascii="Trebuchet MS" w:hAnsi="Trebuchet MS"/>
          <w:sz w:val="18"/>
          <w:szCs w:val="18"/>
          <w:lang w:val="en-US"/>
        </w:rPr>
        <w:t xml:space="preserve">capacity of </w:t>
      </w:r>
      <w:r w:rsidR="00342AD1" w:rsidRPr="00B6722D">
        <w:rPr>
          <w:rFonts w:ascii="Trebuchet MS" w:hAnsi="Trebuchet MS"/>
          <w:sz w:val="18"/>
          <w:szCs w:val="18"/>
          <w:lang w:val="en-US"/>
        </w:rPr>
        <w:t>170000 m</w:t>
      </w:r>
      <w:r w:rsidR="00342AD1" w:rsidRPr="00B6722D">
        <w:rPr>
          <w:rFonts w:ascii="Trebuchet MS" w:hAnsi="Trebuchet MS"/>
          <w:sz w:val="18"/>
          <w:szCs w:val="18"/>
          <w:vertAlign w:val="superscript"/>
          <w:lang w:val="en-US"/>
        </w:rPr>
        <w:t>3</w:t>
      </w:r>
      <w:r w:rsidR="00342AD1" w:rsidRPr="00B6722D">
        <w:rPr>
          <w:rFonts w:ascii="Trebuchet MS" w:hAnsi="Trebuchet MS"/>
          <w:sz w:val="18"/>
          <w:szCs w:val="18"/>
          <w:lang w:val="en-US"/>
        </w:rPr>
        <w:t xml:space="preserve"> (</w:t>
      </w:r>
      <w:r w:rsidRPr="00B6722D">
        <w:rPr>
          <w:rFonts w:ascii="Trebuchet MS" w:hAnsi="Trebuchet MS"/>
          <w:sz w:val="18"/>
          <w:szCs w:val="18"/>
          <w:lang w:val="en-US"/>
        </w:rPr>
        <w:t xml:space="preserve">about </w:t>
      </w:r>
      <w:r w:rsidR="00342AD1" w:rsidRPr="00B6722D">
        <w:rPr>
          <w:rFonts w:ascii="Trebuchet MS" w:hAnsi="Trebuchet MS"/>
          <w:sz w:val="18"/>
          <w:szCs w:val="18"/>
          <w:lang w:val="en-US"/>
        </w:rPr>
        <w:t xml:space="preserve">1.2 TWh). </w:t>
      </w:r>
      <w:r w:rsidR="00466B1D" w:rsidRPr="00FC0F2E">
        <w:rPr>
          <w:rFonts w:ascii="Trebuchet MS" w:hAnsi="Trebuchet MS"/>
          <w:b/>
          <w:bCs/>
          <w:sz w:val="18"/>
          <w:szCs w:val="18"/>
        </w:rPr>
        <w:fldChar w:fldCharType="begin"/>
      </w:r>
      <w:r w:rsidR="00466B1D" w:rsidRPr="00B6722D">
        <w:rPr>
          <w:rFonts w:ascii="Trebuchet MS" w:hAnsi="Trebuchet MS"/>
          <w:b/>
          <w:bCs/>
          <w:sz w:val="18"/>
          <w:szCs w:val="18"/>
          <w:lang w:val="en-US"/>
        </w:rPr>
        <w:instrText xml:space="preserve"> REF _Ref103375507 \h  \* MERGEFORMAT </w:instrText>
      </w:r>
      <w:r w:rsidR="00466B1D" w:rsidRPr="00FC0F2E">
        <w:rPr>
          <w:rFonts w:ascii="Trebuchet MS" w:hAnsi="Trebuchet MS"/>
          <w:b/>
          <w:bCs/>
          <w:sz w:val="18"/>
          <w:szCs w:val="18"/>
        </w:rPr>
      </w:r>
      <w:r w:rsidR="00466B1D" w:rsidRPr="00FC0F2E">
        <w:rPr>
          <w:rFonts w:ascii="Trebuchet MS" w:hAnsi="Trebuchet MS"/>
          <w:b/>
          <w:bCs/>
          <w:sz w:val="18"/>
          <w:szCs w:val="18"/>
        </w:rPr>
        <w:fldChar w:fldCharType="separate"/>
      </w:r>
      <w:r w:rsidR="00265258" w:rsidRPr="000B0BFC">
        <w:rPr>
          <w:rFonts w:ascii="Trebuchet MS" w:hAnsi="Trebuchet MS"/>
          <w:b/>
          <w:bCs/>
          <w:sz w:val="18"/>
          <w:szCs w:val="18"/>
          <w:lang w:val="en-US"/>
        </w:rPr>
        <w:t xml:space="preserve">Figure </w:t>
      </w:r>
      <w:r w:rsidR="00265258" w:rsidRPr="000B0BFC">
        <w:rPr>
          <w:rFonts w:ascii="Trebuchet MS" w:hAnsi="Trebuchet MS"/>
          <w:b/>
          <w:bCs/>
          <w:noProof/>
          <w:sz w:val="18"/>
          <w:szCs w:val="18"/>
          <w:lang w:val="en-US"/>
        </w:rPr>
        <w:t>3</w:t>
      </w:r>
      <w:r w:rsidR="00265258" w:rsidRPr="000B0BFC">
        <w:rPr>
          <w:rFonts w:ascii="Trebuchet MS" w:hAnsi="Trebuchet MS"/>
          <w:b/>
          <w:bCs/>
          <w:noProof/>
          <w:sz w:val="18"/>
          <w:szCs w:val="18"/>
          <w:lang w:val="en-US"/>
        </w:rPr>
        <w:noBreakHyphen/>
        <w:t>17</w:t>
      </w:r>
      <w:r w:rsidR="00466B1D" w:rsidRPr="00FC0F2E">
        <w:rPr>
          <w:rFonts w:ascii="Trebuchet MS" w:hAnsi="Trebuchet MS"/>
          <w:b/>
          <w:bCs/>
          <w:sz w:val="18"/>
          <w:szCs w:val="18"/>
        </w:rPr>
        <w:fldChar w:fldCharType="end"/>
      </w:r>
      <w:r w:rsidR="00342AD1" w:rsidRPr="00B6722D">
        <w:rPr>
          <w:rFonts w:ascii="Trebuchet MS" w:hAnsi="Trebuchet MS"/>
          <w:sz w:val="18"/>
          <w:szCs w:val="18"/>
          <w:lang w:val="en-US"/>
        </w:rPr>
        <w:t xml:space="preserve"> presents the LNG regasification and reloading </w:t>
      </w:r>
      <w:r w:rsidR="00AE5945" w:rsidRPr="00B6722D">
        <w:rPr>
          <w:rFonts w:ascii="Trebuchet MS" w:hAnsi="Trebuchet MS"/>
          <w:sz w:val="18"/>
          <w:szCs w:val="18"/>
          <w:lang w:val="en-US"/>
        </w:rPr>
        <w:t xml:space="preserve">handling </w:t>
      </w:r>
      <w:r w:rsidR="00EF15EA" w:rsidRPr="00B6722D">
        <w:rPr>
          <w:rFonts w:ascii="Trebuchet MS" w:hAnsi="Trebuchet MS"/>
          <w:sz w:val="18"/>
          <w:szCs w:val="18"/>
          <w:lang w:val="en-US"/>
        </w:rPr>
        <w:t>volumes since 2017</w:t>
      </w:r>
      <w:r w:rsidR="00342AD1" w:rsidRPr="00B6722D">
        <w:rPr>
          <w:rFonts w:ascii="Trebuchet MS" w:hAnsi="Trebuchet MS"/>
          <w:sz w:val="18"/>
          <w:szCs w:val="18"/>
          <w:lang w:val="en-US"/>
        </w:rPr>
        <w:t>.</w:t>
      </w:r>
    </w:p>
    <w:p w14:paraId="5DFF97AB" w14:textId="377B37B0" w:rsidR="00280FBB" w:rsidRPr="00EB2CA2" w:rsidRDefault="00280FBB" w:rsidP="00FD66A3">
      <w:pPr>
        <w:pStyle w:val="Bijschrift"/>
      </w:pPr>
      <w:bookmarkStart w:id="55" w:name="_Ref103375507"/>
      <w:r w:rsidRPr="00EB2CA2">
        <w:lastRenderedPageBreak/>
        <w:t>Figure</w:t>
      </w:r>
      <w:r w:rsidR="00466B1D">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17</w:t>
      </w:r>
      <w:r w:rsidR="006D12F8">
        <w:rPr>
          <w:noProof/>
        </w:rPr>
        <w:fldChar w:fldCharType="end"/>
      </w:r>
      <w:bookmarkEnd w:id="55"/>
      <w:r w:rsidR="00EB2CA2" w:rsidRPr="00EB2CA2">
        <w:t>. Gas handling data for Klaipeda LNG terminal (regasification and rel</w:t>
      </w:r>
      <w:bookmarkStart w:id="56" w:name="_Ref100936342"/>
      <w:r w:rsidR="00EB2CA2" w:rsidRPr="00EB2CA2">
        <w:t>o</w:t>
      </w:r>
      <w:bookmarkEnd w:id="56"/>
      <w:r w:rsidR="00EB2CA2" w:rsidRPr="00EB2CA2">
        <w:t>adi</w:t>
      </w:r>
      <w:bookmarkStart w:id="57" w:name="_Ref100936327"/>
      <w:r w:rsidR="00EB2CA2" w:rsidRPr="00EB2CA2">
        <w:t>n</w:t>
      </w:r>
      <w:bookmarkEnd w:id="57"/>
      <w:r w:rsidR="00EB2CA2" w:rsidRPr="00EB2CA2">
        <w:t>g)</w:t>
      </w:r>
      <w:r w:rsidR="00EB2CA2">
        <w:rPr>
          <w:rStyle w:val="Voetnootmarkering"/>
        </w:rPr>
        <w:footnoteReference w:id="20"/>
      </w:r>
    </w:p>
    <w:p w14:paraId="367A3DA7" w14:textId="0A9BF428" w:rsidR="0043795C" w:rsidRDefault="0043795C" w:rsidP="0043795C">
      <w:pPr>
        <w:ind w:left="0"/>
        <w:jc w:val="center"/>
      </w:pPr>
      <w:r>
        <w:rPr>
          <w:noProof/>
        </w:rPr>
        <w:drawing>
          <wp:inline distT="0" distB="0" distL="0" distR="0" wp14:anchorId="1BF256C2" wp14:editId="674C71BB">
            <wp:extent cx="3600450" cy="1962150"/>
            <wp:effectExtent l="0" t="0" r="0" b="0"/>
            <wp:docPr id="3" name="Chart 3">
              <a:extLst xmlns:a="http://schemas.openxmlformats.org/drawingml/2006/main">
                <a:ext uri="{FF2B5EF4-FFF2-40B4-BE49-F238E27FC236}">
                  <a16:creationId xmlns:a16="http://schemas.microsoft.com/office/drawing/2014/main" id="{39535B16-7F9F-4BD9-8153-6F335B57A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0AAE4D" w14:textId="3CB24286" w:rsidR="005D5CC0" w:rsidRPr="00B6276C" w:rsidRDefault="002E00B8" w:rsidP="00EF15EA">
      <w:pPr>
        <w:rPr>
          <w:b/>
          <w:color w:val="002C30"/>
        </w:rPr>
      </w:pPr>
      <w:r w:rsidRPr="00B6276C">
        <w:rPr>
          <w:b/>
          <w:color w:val="002C30"/>
        </w:rPr>
        <w:t>Finland</w:t>
      </w:r>
    </w:p>
    <w:p w14:paraId="3691FAEE" w14:textId="26C5650F" w:rsidR="001A2187" w:rsidRDefault="0077719A" w:rsidP="001C20D8">
      <w:pPr>
        <w:ind w:left="540"/>
        <w:jc w:val="both"/>
      </w:pPr>
      <w:r w:rsidRPr="0077719A">
        <w:t xml:space="preserve">Finland has </w:t>
      </w:r>
      <w:r w:rsidR="00213C46">
        <w:t>2</w:t>
      </w:r>
      <w:r w:rsidRPr="0077719A">
        <w:t xml:space="preserve"> LNG terminals located in the northern part of </w:t>
      </w:r>
      <w:r w:rsidR="005D36CA">
        <w:t>the country</w:t>
      </w:r>
      <w:r w:rsidR="00EF15EA">
        <w:t>;</w:t>
      </w:r>
      <w:r w:rsidRPr="0077719A">
        <w:t xml:space="preserve"> they are not connected to the national NG grid but </w:t>
      </w:r>
      <w:r w:rsidR="00EF15EA">
        <w:t xml:space="preserve">directly </w:t>
      </w:r>
      <w:r w:rsidRPr="0077719A">
        <w:t xml:space="preserve">supply </w:t>
      </w:r>
      <w:r w:rsidR="00160BCA">
        <w:t xml:space="preserve">gas to </w:t>
      </w:r>
      <w:r w:rsidRPr="0077719A">
        <w:t>mainly industrial sites</w:t>
      </w:r>
      <w:r w:rsidR="00C80BF1" w:rsidRPr="00C80BF1">
        <w:rPr>
          <w:vertAlign w:val="superscript"/>
        </w:rPr>
        <w:fldChar w:fldCharType="begin"/>
      </w:r>
      <w:r w:rsidR="00C80BF1" w:rsidRPr="00C80BF1">
        <w:rPr>
          <w:vertAlign w:val="superscript"/>
        </w:rPr>
        <w:instrText xml:space="preserve"> NOTEREF _Ref103368695 \h </w:instrText>
      </w:r>
      <w:r w:rsidR="00C80BF1">
        <w:rPr>
          <w:vertAlign w:val="superscript"/>
        </w:rPr>
        <w:instrText xml:space="preserve"> \* MERGEFORMAT </w:instrText>
      </w:r>
      <w:r w:rsidR="00C80BF1" w:rsidRPr="00C80BF1">
        <w:rPr>
          <w:vertAlign w:val="superscript"/>
        </w:rPr>
      </w:r>
      <w:r w:rsidR="00C80BF1" w:rsidRPr="00C80BF1">
        <w:rPr>
          <w:vertAlign w:val="superscript"/>
        </w:rPr>
        <w:fldChar w:fldCharType="separate"/>
      </w:r>
      <w:r w:rsidR="00265258">
        <w:rPr>
          <w:vertAlign w:val="superscript"/>
        </w:rPr>
        <w:t>9</w:t>
      </w:r>
      <w:r w:rsidR="00C80BF1" w:rsidRPr="00C80BF1">
        <w:rPr>
          <w:vertAlign w:val="superscript"/>
        </w:rPr>
        <w:fldChar w:fldCharType="end"/>
      </w:r>
      <w:r>
        <w:t>.</w:t>
      </w:r>
      <w:r w:rsidR="00CB48A2">
        <w:t xml:space="preserve"> </w:t>
      </w:r>
      <w:r w:rsidR="00514B86">
        <w:t>These terminals will not be included in the modelling</w:t>
      </w:r>
      <w:r w:rsidR="00CD29A3">
        <w:t xml:space="preserve">, </w:t>
      </w:r>
      <w:r w:rsidR="009B272E">
        <w:t>because they are not connected with the transmission grid</w:t>
      </w:r>
      <w:r w:rsidR="00F41DEA" w:rsidRPr="00F41DEA">
        <w:rPr>
          <w:vertAlign w:val="superscript"/>
        </w:rPr>
        <w:fldChar w:fldCharType="begin"/>
      </w:r>
      <w:r w:rsidR="00F41DEA" w:rsidRPr="00F41DEA">
        <w:rPr>
          <w:vertAlign w:val="superscript"/>
        </w:rPr>
        <w:instrText xml:space="preserve"> NOTEREF _Ref103368695 \h </w:instrText>
      </w:r>
      <w:r w:rsidR="00F41DEA">
        <w:rPr>
          <w:vertAlign w:val="superscript"/>
        </w:rPr>
        <w:instrText xml:space="preserve"> \* MERGEFORMAT </w:instrText>
      </w:r>
      <w:r w:rsidR="00F41DEA" w:rsidRPr="00F41DEA">
        <w:rPr>
          <w:vertAlign w:val="superscript"/>
        </w:rPr>
      </w:r>
      <w:r w:rsidR="00F41DEA" w:rsidRPr="00F41DEA">
        <w:rPr>
          <w:vertAlign w:val="superscript"/>
        </w:rPr>
        <w:fldChar w:fldCharType="separate"/>
      </w:r>
      <w:r w:rsidR="00265258">
        <w:rPr>
          <w:vertAlign w:val="superscript"/>
        </w:rPr>
        <w:t>9</w:t>
      </w:r>
      <w:r w:rsidR="00F41DEA" w:rsidRPr="00F41DEA">
        <w:rPr>
          <w:vertAlign w:val="superscript"/>
        </w:rPr>
        <w:fldChar w:fldCharType="end"/>
      </w:r>
      <w:r w:rsidR="009B272E">
        <w:t xml:space="preserve">. </w:t>
      </w:r>
      <w:r w:rsidR="00EF15EA">
        <w:t>The terminals ar</w:t>
      </w:r>
      <w:r w:rsidR="009B272E">
        <w:t>e</w:t>
      </w:r>
      <w:r w:rsidR="00EF15EA">
        <w:t xml:space="preserve"> </w:t>
      </w:r>
      <w:r w:rsidR="00CB48A2">
        <w:t xml:space="preserve">operated by </w:t>
      </w:r>
      <w:r w:rsidR="005D36CA">
        <w:t xml:space="preserve">the </w:t>
      </w:r>
      <w:r w:rsidR="000956E4">
        <w:t xml:space="preserve">Finnish </w:t>
      </w:r>
      <w:r w:rsidR="000B0BFC">
        <w:t>state-owned</w:t>
      </w:r>
      <w:r w:rsidR="000956E4">
        <w:t xml:space="preserve"> energy company </w:t>
      </w:r>
      <w:proofErr w:type="spellStart"/>
      <w:r w:rsidR="000956E4">
        <w:t>Gasum</w:t>
      </w:r>
      <w:proofErr w:type="spellEnd"/>
      <w:r w:rsidR="000956E4">
        <w:t xml:space="preserve"> </w:t>
      </w:r>
      <w:r w:rsidR="00DB1AF3">
        <w:t>O</w:t>
      </w:r>
      <w:r w:rsidR="000956E4">
        <w:t>y</w:t>
      </w:r>
      <w:r w:rsidR="00C80BF1">
        <w:t>.</w:t>
      </w:r>
      <w:r w:rsidR="001C20D8">
        <w:t xml:space="preserve"> </w:t>
      </w:r>
      <w:r w:rsidR="00C80BF1">
        <w:t xml:space="preserve">Finland doesn’t have any underground </w:t>
      </w:r>
      <w:r w:rsidR="0052282F">
        <w:t>gas storage.</w:t>
      </w:r>
    </w:p>
    <w:p w14:paraId="07C5C80B" w14:textId="77777777" w:rsidR="00404389" w:rsidRPr="00404389" w:rsidRDefault="00404389" w:rsidP="0077719A">
      <w:pPr>
        <w:ind w:left="0"/>
        <w:jc w:val="both"/>
        <w:rPr>
          <w:b/>
          <w:bCs/>
          <w:color w:val="F04E30" w:themeColor="accent2"/>
        </w:rPr>
      </w:pPr>
    </w:p>
    <w:p w14:paraId="65D103E5" w14:textId="2F8D7E61" w:rsidR="00404389" w:rsidRPr="00F86EDE" w:rsidRDefault="00130587" w:rsidP="004524AF">
      <w:pPr>
        <w:pStyle w:val="Kop2"/>
        <w:ind w:left="648" w:hanging="18"/>
      </w:pPr>
      <w:bookmarkStart w:id="58" w:name="_Toc104738346"/>
      <w:bookmarkStart w:id="59" w:name="_Toc114565050"/>
      <w:r>
        <w:t>Main</w:t>
      </w:r>
      <w:r w:rsidR="00F86EDE" w:rsidRPr="00404389">
        <w:t xml:space="preserve"> EU </w:t>
      </w:r>
      <w:r w:rsidR="00BC1501">
        <w:t xml:space="preserve">legislation, </w:t>
      </w:r>
      <w:r w:rsidR="00F86EDE" w:rsidRPr="00404389">
        <w:t xml:space="preserve">policies and strategies </w:t>
      </w:r>
      <w:r w:rsidR="00A47BB7">
        <w:t>affecting</w:t>
      </w:r>
      <w:r w:rsidR="00EF15EA">
        <w:t xml:space="preserve"> </w:t>
      </w:r>
      <w:r w:rsidR="0061307E">
        <w:t xml:space="preserve">the </w:t>
      </w:r>
      <w:r>
        <w:t xml:space="preserve">Baltic/Finnish </w:t>
      </w:r>
      <w:r w:rsidR="00F86EDE" w:rsidRPr="00404389">
        <w:t>gas sector</w:t>
      </w:r>
      <w:bookmarkEnd w:id="58"/>
      <w:bookmarkEnd w:id="59"/>
    </w:p>
    <w:p w14:paraId="19FD2A48" w14:textId="0622D707" w:rsidR="004039CB" w:rsidRDefault="00130587" w:rsidP="00FD66A3">
      <w:pPr>
        <w:spacing w:after="120"/>
        <w:ind w:left="540"/>
        <w:jc w:val="both"/>
      </w:pPr>
      <w:r>
        <w:t xml:space="preserve">The EU </w:t>
      </w:r>
      <w:r w:rsidR="00100F83" w:rsidRPr="00100F83">
        <w:t xml:space="preserve">has </w:t>
      </w:r>
      <w:r>
        <w:t xml:space="preserve">published </w:t>
      </w:r>
      <w:r w:rsidR="00100F83" w:rsidRPr="00100F83">
        <w:t xml:space="preserve">several </w:t>
      </w:r>
      <w:r>
        <w:t xml:space="preserve">legislative documents, </w:t>
      </w:r>
      <w:r w:rsidR="00100F83" w:rsidRPr="00100F83">
        <w:t xml:space="preserve">policies and </w:t>
      </w:r>
      <w:r>
        <w:t>strategies that should enable the decarbonisation of the gas sector, including by facilitating and accelerating the deployment of bio</w:t>
      </w:r>
      <w:r w:rsidR="00100F83" w:rsidRPr="00100F83">
        <w:t xml:space="preserve">methane and hydrogen as part of the decarbonization options. Recent </w:t>
      </w:r>
      <w:r w:rsidR="00DF17B3">
        <w:t xml:space="preserve">initiatives </w:t>
      </w:r>
      <w:r w:rsidR="00237967">
        <w:t xml:space="preserve">for revised </w:t>
      </w:r>
      <w:r w:rsidR="00100F83" w:rsidRPr="00100F83">
        <w:t xml:space="preserve">directives and policies such as the </w:t>
      </w:r>
      <w:r w:rsidR="00DF17B3">
        <w:t xml:space="preserve">new energy and climate targets for 2030, the EU commitment for a fully decarbonised energy supply by 2050, the </w:t>
      </w:r>
      <w:r w:rsidR="00100F83" w:rsidRPr="00100F83">
        <w:t>re</w:t>
      </w:r>
      <w:r w:rsidR="00237967">
        <w:t xml:space="preserve">cast </w:t>
      </w:r>
      <w:r w:rsidR="00100F83" w:rsidRPr="00100F83">
        <w:t>gas directive</w:t>
      </w:r>
      <w:r w:rsidR="00160BCA">
        <w:t xml:space="preserve"> and regulation</w:t>
      </w:r>
      <w:r w:rsidR="00100F83" w:rsidRPr="00100F83">
        <w:t xml:space="preserve">, </w:t>
      </w:r>
      <w:r w:rsidR="00160BCA">
        <w:t xml:space="preserve">the </w:t>
      </w:r>
      <w:r w:rsidR="00100F83" w:rsidRPr="00100F83">
        <w:t xml:space="preserve">renewable energy directive, </w:t>
      </w:r>
      <w:r w:rsidR="005847F4">
        <w:t xml:space="preserve">the </w:t>
      </w:r>
      <w:r w:rsidR="00DF17B3">
        <w:t xml:space="preserve">energy efficiency directive, and </w:t>
      </w:r>
      <w:r w:rsidR="005847F4">
        <w:t xml:space="preserve">the EU </w:t>
      </w:r>
      <w:r w:rsidR="00DF17B3">
        <w:t xml:space="preserve">hydrogen strategy will have a major impact on the gas sector. Moreover, due to the </w:t>
      </w:r>
      <w:r w:rsidR="00B458BB">
        <w:t>Russia</w:t>
      </w:r>
      <w:r w:rsidR="007402E4">
        <w:t>n invasion</w:t>
      </w:r>
      <w:r w:rsidR="00B458BB">
        <w:t xml:space="preserve"> in Ukraine, </w:t>
      </w:r>
      <w:r w:rsidR="00DF17B3">
        <w:t>natural gas imports from Russia will have to be reduced mor</w:t>
      </w:r>
      <w:r w:rsidR="00B458BB">
        <w:t>e</w:t>
      </w:r>
      <w:r w:rsidR="00DF17B3">
        <w:t xml:space="preserve"> </w:t>
      </w:r>
      <w:r w:rsidR="00B458BB">
        <w:t xml:space="preserve">rapidly and </w:t>
      </w:r>
      <w:r w:rsidR="00DF17B3">
        <w:t>drastically</w:t>
      </w:r>
      <w:r w:rsidR="00B458BB">
        <w:t xml:space="preserve">. To this end, </w:t>
      </w:r>
      <w:proofErr w:type="spellStart"/>
      <w:r w:rsidR="00100F83" w:rsidRPr="00100F83">
        <w:t>REPower</w:t>
      </w:r>
      <w:proofErr w:type="spellEnd"/>
      <w:r w:rsidR="00B458BB">
        <w:t xml:space="preserve"> </w:t>
      </w:r>
      <w:r w:rsidR="00100F83" w:rsidRPr="00100F83">
        <w:t>EU extensively addresse</w:t>
      </w:r>
      <w:r w:rsidR="00B458BB">
        <w:t>s the role of L</w:t>
      </w:r>
      <w:r w:rsidR="00100F83" w:rsidRPr="00100F83">
        <w:t>NG import</w:t>
      </w:r>
      <w:r w:rsidR="00B458BB">
        <w:t>s and gas storage as well as alternative gas supply sources and routes</w:t>
      </w:r>
      <w:r w:rsidR="00100F83" w:rsidRPr="00100F83">
        <w:t xml:space="preserve">, </w:t>
      </w:r>
      <w:r w:rsidR="00B458BB">
        <w:t xml:space="preserve">next to </w:t>
      </w:r>
      <w:r w:rsidR="00100F83" w:rsidRPr="00100F83">
        <w:t xml:space="preserve">the </w:t>
      </w:r>
      <w:r w:rsidR="00B458BB">
        <w:t xml:space="preserve">increased deployment </w:t>
      </w:r>
      <w:r w:rsidR="00100F83" w:rsidRPr="00100F83">
        <w:t xml:space="preserve">of hydrogen and biomethane. Some </w:t>
      </w:r>
      <w:r w:rsidR="00B458BB">
        <w:t xml:space="preserve">major political initiatives at EU level </w:t>
      </w:r>
      <w:r w:rsidR="00100F83" w:rsidRPr="00100F83">
        <w:t xml:space="preserve">are </w:t>
      </w:r>
      <w:r w:rsidR="00B458BB">
        <w:t xml:space="preserve">summarised </w:t>
      </w:r>
      <w:r w:rsidR="00100F83" w:rsidRPr="00100F83">
        <w:t xml:space="preserve">in </w:t>
      </w:r>
      <w:r w:rsidR="00B51ECE" w:rsidRPr="009251B6">
        <w:rPr>
          <w:b/>
        </w:rPr>
        <w:fldChar w:fldCharType="begin"/>
      </w:r>
      <w:r w:rsidR="00B51ECE" w:rsidRPr="009251B6">
        <w:rPr>
          <w:b/>
        </w:rPr>
        <w:instrText xml:space="preserve"> REF _Ref103375744 \h </w:instrText>
      </w:r>
      <w:r w:rsidR="00FD66A3" w:rsidRPr="009251B6">
        <w:rPr>
          <w:b/>
        </w:rPr>
        <w:instrText xml:space="preserve"> \* MERGEFORMAT </w:instrText>
      </w:r>
      <w:r w:rsidR="00B51ECE" w:rsidRPr="009251B6">
        <w:rPr>
          <w:b/>
        </w:rPr>
      </w:r>
      <w:r w:rsidR="00B51ECE" w:rsidRPr="009251B6">
        <w:rPr>
          <w:b/>
        </w:rPr>
        <w:fldChar w:fldCharType="separate"/>
      </w:r>
      <w:r w:rsidR="00265258" w:rsidRPr="000B0BFC">
        <w:rPr>
          <w:b/>
        </w:rPr>
        <w:t>Table 3</w:t>
      </w:r>
      <w:r w:rsidR="00265258" w:rsidRPr="000B0BFC">
        <w:rPr>
          <w:b/>
        </w:rPr>
        <w:noBreakHyphen/>
        <w:t>5</w:t>
      </w:r>
      <w:r w:rsidR="00B51ECE" w:rsidRPr="009251B6">
        <w:rPr>
          <w:b/>
        </w:rPr>
        <w:fldChar w:fldCharType="end"/>
      </w:r>
      <w:r w:rsidR="00100F83" w:rsidRPr="00100F83">
        <w:t xml:space="preserve"> and other recent revisions or additions to </w:t>
      </w:r>
      <w:r w:rsidR="005847F4">
        <w:t xml:space="preserve">EU legislation </w:t>
      </w:r>
      <w:r w:rsidR="00100F83" w:rsidRPr="00100F83">
        <w:t xml:space="preserve">are </w:t>
      </w:r>
      <w:r w:rsidR="00917154">
        <w:t>briefly described</w:t>
      </w:r>
      <w:r w:rsidR="00100F83" w:rsidRPr="00100F83">
        <w:t xml:space="preserve"> below. Also, there is a range of incentives in place to encourage the </w:t>
      </w:r>
      <w:r w:rsidR="005847F4">
        <w:t xml:space="preserve">production and/or </w:t>
      </w:r>
      <w:r w:rsidR="00100F83" w:rsidRPr="00100F83">
        <w:t xml:space="preserve">use of renewable </w:t>
      </w:r>
      <w:r w:rsidR="00917154">
        <w:t xml:space="preserve">and decarbonised </w:t>
      </w:r>
      <w:r w:rsidR="00100F83" w:rsidRPr="00100F83">
        <w:t>gases, but they differ greatly between Member States, and few of them address grid connection and access</w:t>
      </w:r>
      <w:bookmarkStart w:id="60" w:name="_Ref103379147"/>
      <w:r w:rsidR="006B62AE">
        <w:rPr>
          <w:rStyle w:val="Voetnootmarkering"/>
        </w:rPr>
        <w:footnoteReference w:id="21"/>
      </w:r>
      <w:bookmarkEnd w:id="60"/>
      <w:r w:rsidR="00100F83" w:rsidRPr="00100F83">
        <w:t>.</w:t>
      </w:r>
    </w:p>
    <w:p w14:paraId="18F46E22" w14:textId="04B7864F" w:rsidR="004039CB" w:rsidRDefault="004039CB" w:rsidP="00FD66A3">
      <w:pPr>
        <w:pStyle w:val="Bijschrift"/>
      </w:pPr>
      <w:bookmarkStart w:id="61" w:name="_Ref103375744"/>
      <w:r>
        <w:t>Table</w:t>
      </w:r>
      <w:r w:rsidR="00B51ECE">
        <w:t xml:space="preserve"> </w:t>
      </w:r>
      <w:r w:rsidR="006D12F8">
        <w:fldChar w:fldCharType="begin"/>
      </w:r>
      <w:r w:rsidR="006D12F8">
        <w:instrText xml:space="preserve"> STYLEREF 1 \s </w:instrText>
      </w:r>
      <w:r w:rsidR="006D12F8">
        <w:fldChar w:fldCharType="separate"/>
      </w:r>
      <w:r w:rsidR="00265258">
        <w:rPr>
          <w:noProof/>
        </w:rPr>
        <w:t>3</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5</w:t>
      </w:r>
      <w:r w:rsidR="006D12F8">
        <w:rPr>
          <w:noProof/>
        </w:rPr>
        <w:fldChar w:fldCharType="end"/>
      </w:r>
      <w:bookmarkEnd w:id="61"/>
      <w:r>
        <w:t>.</w:t>
      </w:r>
      <w:r w:rsidR="00AD0676">
        <w:t xml:space="preserve"> Overview of policies</w:t>
      </w:r>
    </w:p>
    <w:tbl>
      <w:tblPr>
        <w:tblStyle w:val="Tabelraster"/>
        <w:tblW w:w="8505" w:type="dxa"/>
        <w:tblInd w:w="562" w:type="dxa"/>
        <w:tblLook w:val="04A0" w:firstRow="1" w:lastRow="0" w:firstColumn="1" w:lastColumn="0" w:noHBand="0" w:noVBand="1"/>
      </w:tblPr>
      <w:tblGrid>
        <w:gridCol w:w="1342"/>
        <w:gridCol w:w="7163"/>
      </w:tblGrid>
      <w:tr w:rsidR="00AB6392" w:rsidRPr="00B053EF" w14:paraId="01D011F3" w14:textId="77777777" w:rsidTr="007B6C99">
        <w:trPr>
          <w:tblHeader/>
        </w:trPr>
        <w:tc>
          <w:tcPr>
            <w:tcW w:w="1276" w:type="dxa"/>
            <w:shd w:val="clear" w:color="auto" w:fill="005962" w:themeFill="accent1"/>
          </w:tcPr>
          <w:p w14:paraId="1B0C0D52" w14:textId="77777777" w:rsidR="00AB6392" w:rsidRPr="00656199" w:rsidRDefault="00AB6392" w:rsidP="008A4972">
            <w:pPr>
              <w:spacing w:before="60" w:after="60" w:line="264" w:lineRule="auto"/>
              <w:jc w:val="center"/>
              <w:rPr>
                <w:b/>
                <w:color w:val="FFFFFF" w:themeColor="background1"/>
                <w:sz w:val="20"/>
                <w:szCs w:val="20"/>
              </w:rPr>
            </w:pPr>
            <w:r w:rsidRPr="00656199">
              <w:rPr>
                <w:b/>
                <w:color w:val="FFFFFF" w:themeColor="background1"/>
                <w:sz w:val="20"/>
                <w:szCs w:val="20"/>
              </w:rPr>
              <w:t>Policy</w:t>
            </w:r>
          </w:p>
        </w:tc>
        <w:tc>
          <w:tcPr>
            <w:tcW w:w="7229" w:type="dxa"/>
            <w:shd w:val="clear" w:color="auto" w:fill="005962" w:themeFill="accent1"/>
          </w:tcPr>
          <w:p w14:paraId="3867D12A" w14:textId="77777777" w:rsidR="00AB6392" w:rsidRPr="00656199" w:rsidRDefault="00AB6392" w:rsidP="008A4972">
            <w:pPr>
              <w:spacing w:before="60" w:after="60" w:line="264" w:lineRule="auto"/>
              <w:ind w:left="255"/>
              <w:jc w:val="center"/>
              <w:rPr>
                <w:b/>
                <w:color w:val="FFFFFF" w:themeColor="background1"/>
                <w:sz w:val="20"/>
                <w:szCs w:val="20"/>
              </w:rPr>
            </w:pPr>
            <w:r w:rsidRPr="00656199">
              <w:rPr>
                <w:b/>
                <w:color w:val="FFFFFF" w:themeColor="background1"/>
                <w:sz w:val="20"/>
                <w:szCs w:val="20"/>
              </w:rPr>
              <w:t>Overview</w:t>
            </w:r>
          </w:p>
        </w:tc>
      </w:tr>
      <w:tr w:rsidR="00AB6392" w:rsidRPr="00D33E67" w14:paraId="3AEB76C9" w14:textId="77777777" w:rsidTr="00656199">
        <w:tc>
          <w:tcPr>
            <w:tcW w:w="1276" w:type="dxa"/>
          </w:tcPr>
          <w:p w14:paraId="264D5B04" w14:textId="13C63B42" w:rsidR="00AB6392" w:rsidRDefault="00AB6392" w:rsidP="00A92FB9">
            <w:pPr>
              <w:spacing w:line="264" w:lineRule="auto"/>
              <w:ind w:left="0"/>
              <w:rPr>
                <w:b/>
                <w:bCs/>
              </w:rPr>
            </w:pPr>
            <w:r>
              <w:rPr>
                <w:b/>
                <w:bCs/>
              </w:rPr>
              <w:t>Repower EU</w:t>
            </w:r>
            <w:bookmarkStart w:id="62" w:name="_Ref103377637"/>
            <w:r w:rsidR="008E24A9">
              <w:rPr>
                <w:rStyle w:val="Voetnootmarkering"/>
                <w:b/>
                <w:bCs/>
              </w:rPr>
              <w:footnoteReference w:id="22"/>
            </w:r>
            <w:bookmarkEnd w:id="62"/>
          </w:p>
        </w:tc>
        <w:tc>
          <w:tcPr>
            <w:tcW w:w="7229" w:type="dxa"/>
          </w:tcPr>
          <w:p w14:paraId="00A963BA" w14:textId="0EEFCE84" w:rsidR="00AB6392" w:rsidRDefault="007C3BF4" w:rsidP="007C3BF4">
            <w:pPr>
              <w:spacing w:after="60" w:line="264" w:lineRule="auto"/>
              <w:ind w:left="36"/>
              <w:jc w:val="both"/>
            </w:pPr>
            <w:r>
              <w:t>-</w:t>
            </w:r>
            <w:r w:rsidR="00AB6392">
              <w:t xml:space="preserve">Increase the </w:t>
            </w:r>
            <w:r w:rsidR="00917154">
              <w:t xml:space="preserve">stored </w:t>
            </w:r>
            <w:r w:rsidR="00AB6392">
              <w:t xml:space="preserve">gas </w:t>
            </w:r>
            <w:r w:rsidR="00917154">
              <w:t>volumes</w:t>
            </w:r>
            <w:r w:rsidR="00AB6392">
              <w:t xml:space="preserve"> before winter 2022</w:t>
            </w:r>
            <w:r w:rsidR="00917154">
              <w:t>;</w:t>
            </w:r>
            <w:r w:rsidR="00AB6392">
              <w:t xml:space="preserve"> </w:t>
            </w:r>
            <w:r w:rsidR="008658FD">
              <w:t>E</w:t>
            </w:r>
            <w:r w:rsidR="00AB6392">
              <w:t xml:space="preserve">xisting gas infrastructures in the EU territory </w:t>
            </w:r>
            <w:r w:rsidR="00917154">
              <w:t>should be</w:t>
            </w:r>
            <w:r w:rsidR="00AB6392">
              <w:t xml:space="preserve"> filled up to at least 90% before </w:t>
            </w:r>
            <w:r w:rsidR="00917154">
              <w:t>1 October</w:t>
            </w:r>
            <w:r w:rsidR="00AB6392">
              <w:t xml:space="preserve">. </w:t>
            </w:r>
          </w:p>
          <w:p w14:paraId="7D6394AF" w14:textId="6E4B2219" w:rsidR="00AB6392" w:rsidRDefault="007C3BF4" w:rsidP="007C3BF4">
            <w:pPr>
              <w:spacing w:after="60" w:line="264" w:lineRule="auto"/>
              <w:ind w:left="36"/>
              <w:jc w:val="both"/>
            </w:pPr>
            <w:r>
              <w:t>-</w:t>
            </w:r>
            <w:r w:rsidR="00AB6392">
              <w:t xml:space="preserve">Phasing out our dependence on fossil fuels from Russia </w:t>
            </w:r>
            <w:r w:rsidR="00917154">
              <w:t xml:space="preserve">should </w:t>
            </w:r>
            <w:r w:rsidR="00AB6392">
              <w:t>be done well before 2030, with two pillars</w:t>
            </w:r>
            <w:r w:rsidR="00917154">
              <w:t>:</w:t>
            </w:r>
          </w:p>
          <w:p w14:paraId="704BEDAA" w14:textId="0B18C74C" w:rsidR="00AB6392" w:rsidRDefault="007C3BF4" w:rsidP="007C3BF4">
            <w:pPr>
              <w:spacing w:after="60" w:line="264" w:lineRule="auto"/>
              <w:ind w:left="36"/>
              <w:jc w:val="both"/>
            </w:pPr>
            <w:r>
              <w:rPr>
                <w:b/>
                <w:bCs/>
              </w:rPr>
              <w:t>-</w:t>
            </w:r>
            <w:r w:rsidR="00AB6392" w:rsidRPr="00A605D6">
              <w:rPr>
                <w:b/>
                <w:bCs/>
              </w:rPr>
              <w:t>Diversifying gas supplies</w:t>
            </w:r>
            <w:r w:rsidR="00AB6392">
              <w:t xml:space="preserve">, via higher LNG imports and pipeline imports from non-Russian suppliers, and higher levels of biomethane and hydrogen. </w:t>
            </w:r>
          </w:p>
          <w:p w14:paraId="2BE9944F" w14:textId="21062AC1" w:rsidR="00AB6392" w:rsidRPr="00D33E67" w:rsidRDefault="007C3BF4" w:rsidP="007C3BF4">
            <w:pPr>
              <w:spacing w:after="60" w:line="264" w:lineRule="auto"/>
              <w:ind w:left="36"/>
              <w:jc w:val="both"/>
            </w:pPr>
            <w:r>
              <w:rPr>
                <w:b/>
                <w:bCs/>
              </w:rPr>
              <w:lastRenderedPageBreak/>
              <w:t>-</w:t>
            </w:r>
            <w:r w:rsidR="00AB6392" w:rsidRPr="00A605D6">
              <w:rPr>
                <w:b/>
                <w:bCs/>
              </w:rPr>
              <w:t>Reducing faster our dependence on fossil fuels</w:t>
            </w:r>
            <w:r w:rsidR="00AB6392">
              <w:t xml:space="preserve"> at the level of buildings,</w:t>
            </w:r>
            <w:r w:rsidR="00385833">
              <w:t xml:space="preserve"> transport</w:t>
            </w:r>
            <w:r w:rsidR="00AB6392">
              <w:t xml:space="preserve"> and the industry, and at the level of the power system by boosting energy efficiency gains, increasing the share of renewable and addressing infrastructure bottlenecks.</w:t>
            </w:r>
          </w:p>
        </w:tc>
      </w:tr>
      <w:tr w:rsidR="00AB6392" w:rsidRPr="00160D07" w14:paraId="1D34C874" w14:textId="77777777" w:rsidTr="00656199">
        <w:tc>
          <w:tcPr>
            <w:tcW w:w="1276" w:type="dxa"/>
          </w:tcPr>
          <w:p w14:paraId="7638DFEC" w14:textId="6D9C353C" w:rsidR="00AB6392" w:rsidRDefault="00AB6392" w:rsidP="00A92FB9">
            <w:pPr>
              <w:spacing w:line="264" w:lineRule="auto"/>
              <w:ind w:left="0"/>
              <w:rPr>
                <w:b/>
                <w:bCs/>
              </w:rPr>
            </w:pPr>
            <w:r>
              <w:rPr>
                <w:b/>
                <w:bCs/>
              </w:rPr>
              <w:lastRenderedPageBreak/>
              <w:t>Gas directive</w:t>
            </w:r>
            <w:r w:rsidR="004A4C05" w:rsidRPr="004A4C05">
              <w:rPr>
                <w:b/>
                <w:bCs/>
                <w:vertAlign w:val="superscript"/>
              </w:rPr>
              <w:fldChar w:fldCharType="begin"/>
            </w:r>
            <w:r w:rsidR="004A4C05" w:rsidRPr="004A4C05">
              <w:rPr>
                <w:b/>
                <w:bCs/>
                <w:vertAlign w:val="superscript"/>
              </w:rPr>
              <w:instrText xml:space="preserve"> NOTEREF _Ref103375606 \h </w:instrText>
            </w:r>
            <w:r w:rsidR="004A4C05">
              <w:rPr>
                <w:b/>
                <w:bCs/>
                <w:vertAlign w:val="superscript"/>
              </w:rPr>
              <w:instrText xml:space="preserve"> \* MERGEFORMAT </w:instrText>
            </w:r>
            <w:r w:rsidR="004A4C05" w:rsidRPr="004A4C05">
              <w:rPr>
                <w:b/>
                <w:bCs/>
                <w:vertAlign w:val="superscript"/>
              </w:rPr>
            </w:r>
            <w:r w:rsidR="004A4C05" w:rsidRPr="004A4C05">
              <w:rPr>
                <w:b/>
                <w:bCs/>
                <w:vertAlign w:val="superscript"/>
              </w:rPr>
              <w:fldChar w:fldCharType="separate"/>
            </w:r>
            <w:r w:rsidR="00265258">
              <w:rPr>
                <w:b/>
                <w:bCs/>
                <w:vertAlign w:val="superscript"/>
              </w:rPr>
              <w:t>26</w:t>
            </w:r>
            <w:r w:rsidR="004A4C05" w:rsidRPr="004A4C05">
              <w:rPr>
                <w:b/>
                <w:bCs/>
                <w:vertAlign w:val="superscript"/>
              </w:rPr>
              <w:fldChar w:fldCharType="end"/>
            </w:r>
          </w:p>
        </w:tc>
        <w:tc>
          <w:tcPr>
            <w:tcW w:w="7229" w:type="dxa"/>
          </w:tcPr>
          <w:p w14:paraId="7EF357F1" w14:textId="09C81B38" w:rsidR="00AB6392" w:rsidRDefault="007C3BF4" w:rsidP="007C3BF4">
            <w:pPr>
              <w:spacing w:after="60" w:line="264" w:lineRule="auto"/>
              <w:ind w:left="36" w:right="288"/>
              <w:jc w:val="both"/>
            </w:pPr>
            <w:r>
              <w:t>-</w:t>
            </w:r>
            <w:r w:rsidR="00AB6392">
              <w:t xml:space="preserve">Regulators must verify that the network and connection's technical design and operating rules, including safety, are </w:t>
            </w:r>
            <w:r w:rsidR="00385833">
              <w:t xml:space="preserve">properly </w:t>
            </w:r>
            <w:r w:rsidR="00AB6392">
              <w:t>defined.</w:t>
            </w:r>
          </w:p>
          <w:p w14:paraId="5881B874" w14:textId="429CFEB0" w:rsidR="00AB6392" w:rsidRDefault="007C3BF4" w:rsidP="007C3BF4">
            <w:pPr>
              <w:spacing w:after="60" w:line="264" w:lineRule="auto"/>
              <w:ind w:left="36" w:right="288"/>
              <w:jc w:val="both"/>
            </w:pPr>
            <w:r>
              <w:t>-</w:t>
            </w:r>
            <w:r w:rsidR="00AB6392">
              <w:t>Promoting the integration of large- and small-scale renewable gas generation, both in transmission and distribution networks, in accordance with energy policy, including by removing barriers to additional capacity.</w:t>
            </w:r>
          </w:p>
          <w:p w14:paraId="038E1662" w14:textId="1BE38DB7" w:rsidR="00AB6392" w:rsidRDefault="007C3BF4" w:rsidP="007C3BF4">
            <w:pPr>
              <w:spacing w:after="60" w:line="264" w:lineRule="auto"/>
              <w:ind w:left="36" w:right="288"/>
              <w:jc w:val="both"/>
            </w:pPr>
            <w:r>
              <w:t>-</w:t>
            </w:r>
            <w:r w:rsidR="00AB6392" w:rsidRPr="004045BB">
              <w:t>Regulators</w:t>
            </w:r>
            <w:r w:rsidR="00917154">
              <w:t>’</w:t>
            </w:r>
            <w:r w:rsidR="00AB6392" w:rsidRPr="004045BB">
              <w:t xml:space="preserve"> duties include establishing norms and conditions for network connection and access, as well as ensuring that there are no cross-subsidies.</w:t>
            </w:r>
          </w:p>
          <w:p w14:paraId="7CFD51B7" w14:textId="03C06EEA" w:rsidR="00AB6392" w:rsidRPr="00160D07" w:rsidRDefault="007C3BF4" w:rsidP="007C3BF4">
            <w:pPr>
              <w:spacing w:after="60" w:line="264" w:lineRule="auto"/>
              <w:ind w:left="36" w:right="288"/>
              <w:jc w:val="both"/>
            </w:pPr>
            <w:r>
              <w:t>-</w:t>
            </w:r>
            <w:r w:rsidR="00AB6392" w:rsidRPr="00B1152D">
              <w:t>Regional cooperation between regulators for operation, network codes and congestion</w:t>
            </w:r>
            <w:r w:rsidR="00E80850">
              <w:t>.</w:t>
            </w:r>
          </w:p>
        </w:tc>
      </w:tr>
      <w:tr w:rsidR="00AB6392" w:rsidRPr="00920FBD" w14:paraId="368719B8" w14:textId="77777777" w:rsidTr="00656199">
        <w:tc>
          <w:tcPr>
            <w:tcW w:w="1276" w:type="dxa"/>
          </w:tcPr>
          <w:p w14:paraId="0CFABE12" w14:textId="77777777" w:rsidR="00AB6392" w:rsidRDefault="00AB6392" w:rsidP="00A92FB9">
            <w:pPr>
              <w:spacing w:line="264" w:lineRule="auto"/>
              <w:ind w:left="0"/>
              <w:rPr>
                <w:b/>
                <w:bCs/>
              </w:rPr>
            </w:pPr>
            <w:r>
              <w:rPr>
                <w:b/>
                <w:bCs/>
              </w:rPr>
              <w:t>Recast Renewable Energy Directive</w:t>
            </w:r>
            <w:bookmarkStart w:id="63" w:name="_Ref103375521"/>
            <w:r>
              <w:rPr>
                <w:rStyle w:val="Voetnootmarkering"/>
                <w:bCs/>
              </w:rPr>
              <w:footnoteReference w:id="23"/>
            </w:r>
            <w:bookmarkEnd w:id="63"/>
          </w:p>
        </w:tc>
        <w:tc>
          <w:tcPr>
            <w:tcW w:w="7229" w:type="dxa"/>
          </w:tcPr>
          <w:p w14:paraId="0A5A674C" w14:textId="086BBAC9" w:rsidR="00AB6392" w:rsidRPr="00690B7C" w:rsidRDefault="007C3BF4" w:rsidP="007C3BF4">
            <w:pPr>
              <w:spacing w:after="60" w:line="264" w:lineRule="auto"/>
              <w:ind w:left="36" w:right="288"/>
              <w:jc w:val="both"/>
            </w:pPr>
            <w:r>
              <w:t>-</w:t>
            </w:r>
            <w:r w:rsidR="00AB6392" w:rsidRPr="00690B7C">
              <w:t>Provisions for the access to and operation of gas networks with gases from renewable sources.</w:t>
            </w:r>
          </w:p>
          <w:p w14:paraId="49398F46" w14:textId="42252216" w:rsidR="00AB6392" w:rsidRPr="00690B7C" w:rsidRDefault="007C3BF4" w:rsidP="007C3BF4">
            <w:pPr>
              <w:spacing w:after="60" w:line="264" w:lineRule="auto"/>
              <w:ind w:left="36" w:right="288"/>
              <w:jc w:val="both"/>
            </w:pPr>
            <w:r>
              <w:t>-</w:t>
            </w:r>
            <w:r w:rsidR="00AB6392" w:rsidRPr="00690B7C">
              <w:t xml:space="preserve">Biomethane is included in the definition of biogas as ‘gaseous fuels produced from </w:t>
            </w:r>
            <w:r w:rsidR="008658FD" w:rsidRPr="00690B7C">
              <w:t>biomasses</w:t>
            </w:r>
            <w:r w:rsidR="00AB6392" w:rsidRPr="00690B7C">
              <w:t>.</w:t>
            </w:r>
          </w:p>
          <w:p w14:paraId="403A40E7" w14:textId="42B52BCC" w:rsidR="00AB6392" w:rsidRPr="00690B7C" w:rsidRDefault="007C3BF4" w:rsidP="007C3BF4">
            <w:pPr>
              <w:spacing w:after="60" w:line="264" w:lineRule="auto"/>
              <w:ind w:left="36" w:right="288"/>
              <w:jc w:val="both"/>
            </w:pPr>
            <w:r>
              <w:t>-</w:t>
            </w:r>
            <w:r w:rsidR="00AB6392" w:rsidRPr="00690B7C">
              <w:t>Extension of guarantees of origin to all renewable gases, including hydrogen.</w:t>
            </w:r>
          </w:p>
          <w:p w14:paraId="15D8BAE8" w14:textId="27F0A660" w:rsidR="00AB6392" w:rsidRPr="00920FBD" w:rsidRDefault="002A182D" w:rsidP="007C3BF4">
            <w:pPr>
              <w:spacing w:after="60" w:line="264" w:lineRule="auto"/>
              <w:ind w:left="36" w:right="288"/>
              <w:jc w:val="both"/>
              <w:rPr>
                <w:rFonts w:asciiTheme="minorHAnsi" w:hAnsiTheme="minorHAnsi" w:cstheme="minorHAnsi"/>
                <w:szCs w:val="22"/>
              </w:rPr>
            </w:pPr>
            <w:r>
              <w:t>-</w:t>
            </w:r>
            <w:r w:rsidR="00AB6392" w:rsidRPr="00690B7C">
              <w:t>Increase in biomethane consumption.</w:t>
            </w:r>
          </w:p>
        </w:tc>
      </w:tr>
      <w:tr w:rsidR="00A5046B" w:rsidRPr="00920FBD" w14:paraId="4265C339" w14:textId="77777777" w:rsidTr="00656199">
        <w:tc>
          <w:tcPr>
            <w:tcW w:w="1276" w:type="dxa"/>
          </w:tcPr>
          <w:p w14:paraId="0D54FF9A" w14:textId="63D892F2" w:rsidR="00A5046B" w:rsidRDefault="00A5046B" w:rsidP="00A92FB9">
            <w:pPr>
              <w:spacing w:line="264" w:lineRule="auto"/>
              <w:ind w:left="0"/>
              <w:rPr>
                <w:b/>
                <w:bCs/>
              </w:rPr>
            </w:pPr>
            <w:r>
              <w:rPr>
                <w:b/>
                <w:bCs/>
              </w:rPr>
              <w:t>EU Hydrogen strategy</w:t>
            </w:r>
            <w:r w:rsidR="008A2541">
              <w:rPr>
                <w:rStyle w:val="Voetnootmarkering"/>
                <w:b/>
                <w:bCs/>
              </w:rPr>
              <w:footnoteReference w:id="24"/>
            </w:r>
          </w:p>
        </w:tc>
        <w:tc>
          <w:tcPr>
            <w:tcW w:w="7229" w:type="dxa"/>
          </w:tcPr>
          <w:p w14:paraId="1A987879" w14:textId="71EAC1AF" w:rsidR="00F30FD8" w:rsidRPr="007E6160" w:rsidRDefault="007C3BF4" w:rsidP="007E6160">
            <w:pPr>
              <w:spacing w:after="60" w:line="264" w:lineRule="auto"/>
              <w:ind w:left="36" w:right="288"/>
              <w:jc w:val="both"/>
              <w:rPr>
                <w:color w:val="333333"/>
                <w:shd w:val="clear" w:color="auto" w:fill="FFFFFF"/>
              </w:rPr>
            </w:pPr>
            <w:r>
              <w:rPr>
                <w:color w:val="333333"/>
                <w:shd w:val="clear" w:color="auto" w:fill="FFFFFF"/>
              </w:rPr>
              <w:t>-</w:t>
            </w:r>
            <w:r w:rsidR="00920FBB">
              <w:rPr>
                <w:color w:val="333333"/>
                <w:shd w:val="clear" w:color="auto" w:fill="FFFFFF"/>
              </w:rPr>
              <w:t>T</w:t>
            </w:r>
            <w:r w:rsidR="00920FBB" w:rsidRPr="00920FBB">
              <w:rPr>
                <w:color w:val="333333"/>
                <w:shd w:val="clear" w:color="auto" w:fill="FFFFFF"/>
              </w:rPr>
              <w:t xml:space="preserve">he share of hydrogen in Europe’s energy mix is projected to grow from the current </w:t>
            </w:r>
            <w:r w:rsidR="002A182D">
              <w:rPr>
                <w:color w:val="333333"/>
                <w:shd w:val="clear" w:color="auto" w:fill="FFFFFF"/>
              </w:rPr>
              <w:t>share (</w:t>
            </w:r>
            <w:r w:rsidR="00920FBB" w:rsidRPr="00920FBB">
              <w:rPr>
                <w:color w:val="333333"/>
                <w:shd w:val="clear" w:color="auto" w:fill="FFFFFF"/>
              </w:rPr>
              <w:t>less than 2%</w:t>
            </w:r>
            <w:r w:rsidR="002A182D">
              <w:rPr>
                <w:color w:val="333333"/>
                <w:shd w:val="clear" w:color="auto" w:fill="FFFFFF"/>
              </w:rPr>
              <w:t>)</w:t>
            </w:r>
            <w:r w:rsidR="00F30FD8">
              <w:rPr>
                <w:color w:val="333333"/>
                <w:shd w:val="clear" w:color="auto" w:fill="FFFFFF"/>
              </w:rPr>
              <w:t xml:space="preserve"> </w:t>
            </w:r>
            <w:r w:rsidR="00920FBB" w:rsidRPr="00920FBB">
              <w:rPr>
                <w:color w:val="333333"/>
                <w:shd w:val="clear" w:color="auto" w:fill="FFFFFF"/>
              </w:rPr>
              <w:t>to 13-14% by 2050</w:t>
            </w:r>
            <w:r w:rsidR="00B35151">
              <w:rPr>
                <w:color w:val="333333"/>
                <w:shd w:val="clear" w:color="auto" w:fill="FFFFFF"/>
              </w:rPr>
              <w:t>.</w:t>
            </w:r>
          </w:p>
          <w:p w14:paraId="6C294D22" w14:textId="04A2F466" w:rsidR="00E37D35" w:rsidRPr="001111C8" w:rsidRDefault="007C3BF4" w:rsidP="007C3BF4">
            <w:pPr>
              <w:spacing w:after="60" w:line="264" w:lineRule="auto"/>
              <w:ind w:left="36" w:right="288"/>
              <w:jc w:val="both"/>
              <w:rPr>
                <w:color w:val="000000" w:themeColor="text1"/>
              </w:rPr>
            </w:pPr>
            <w:r>
              <w:rPr>
                <w:color w:val="000000" w:themeColor="text1"/>
              </w:rPr>
              <w:t>-</w:t>
            </w:r>
            <w:r w:rsidR="00E37D35" w:rsidRPr="001111C8">
              <w:rPr>
                <w:color w:val="000000" w:themeColor="text1"/>
              </w:rPr>
              <w:t xml:space="preserve">Repurposing or reusing parts of existing natural gas </w:t>
            </w:r>
            <w:r w:rsidR="00043B4E" w:rsidRPr="001111C8">
              <w:rPr>
                <w:color w:val="000000" w:themeColor="text1"/>
              </w:rPr>
              <w:t>infrastructure, helping to avoid stranded assets in the future</w:t>
            </w:r>
            <w:r w:rsidR="00C904EF" w:rsidRPr="001111C8">
              <w:rPr>
                <w:color w:val="000000" w:themeColor="text1"/>
              </w:rPr>
              <w:t xml:space="preserve"> and </w:t>
            </w:r>
            <w:r w:rsidR="002A182D">
              <w:rPr>
                <w:color w:val="000000" w:themeColor="text1"/>
              </w:rPr>
              <w:t>to</w:t>
            </w:r>
            <w:r w:rsidR="001F7788" w:rsidRPr="001111C8">
              <w:rPr>
                <w:color w:val="000000" w:themeColor="text1"/>
              </w:rPr>
              <w:t xml:space="preserve"> provide an opportunity for a </w:t>
            </w:r>
            <w:r w:rsidR="0006225D" w:rsidRPr="001111C8">
              <w:rPr>
                <w:color w:val="000000" w:themeColor="text1"/>
              </w:rPr>
              <w:t>cost-effective</w:t>
            </w:r>
            <w:r w:rsidR="001F7788" w:rsidRPr="001111C8">
              <w:rPr>
                <w:color w:val="000000" w:themeColor="text1"/>
              </w:rPr>
              <w:t xml:space="preserve"> energy transition </w:t>
            </w:r>
            <w:r w:rsidR="0006225D" w:rsidRPr="001111C8">
              <w:rPr>
                <w:color w:val="000000" w:themeColor="text1"/>
              </w:rPr>
              <w:t>in combination with newly built hydrogen pipeline</w:t>
            </w:r>
            <w:r w:rsidR="002A182D">
              <w:rPr>
                <w:color w:val="000000" w:themeColor="text1"/>
              </w:rPr>
              <w:t>s</w:t>
            </w:r>
            <w:r w:rsidR="00043B4E" w:rsidRPr="001111C8">
              <w:rPr>
                <w:color w:val="000000" w:themeColor="text1"/>
              </w:rPr>
              <w:t>.</w:t>
            </w:r>
          </w:p>
          <w:p w14:paraId="763E638F" w14:textId="23EBB56E" w:rsidR="001111C8" w:rsidRPr="00D41DFA" w:rsidRDefault="007C3BF4" w:rsidP="007C3BF4">
            <w:pPr>
              <w:spacing w:after="60" w:line="264" w:lineRule="auto"/>
              <w:ind w:left="36" w:right="288"/>
              <w:jc w:val="both"/>
              <w:rPr>
                <w:color w:val="000000" w:themeColor="text1"/>
              </w:rPr>
            </w:pPr>
            <w:r>
              <w:rPr>
                <w:color w:val="000000" w:themeColor="text1"/>
                <w:shd w:val="clear" w:color="auto" w:fill="FFFFFF"/>
              </w:rPr>
              <w:t>-</w:t>
            </w:r>
            <w:r w:rsidR="002F53F2" w:rsidRPr="001111C8">
              <w:rPr>
                <w:color w:val="000000" w:themeColor="text1"/>
                <w:shd w:val="clear" w:color="auto" w:fill="FFFFFF"/>
              </w:rPr>
              <w:t>An incentivising, supportive policy framework needs to enable renewable and, in a transitional period, low-carbon hydrogen to contribute to decarbonisation at the lowest possible cost.</w:t>
            </w:r>
          </w:p>
          <w:p w14:paraId="10DE7CC8" w14:textId="7E149BFC" w:rsidR="00D41DFA" w:rsidRPr="00920FBB" w:rsidRDefault="007C3BF4" w:rsidP="007C3BF4">
            <w:pPr>
              <w:spacing w:after="60" w:line="264" w:lineRule="auto"/>
              <w:ind w:left="36" w:right="288"/>
              <w:jc w:val="both"/>
            </w:pPr>
            <w:r>
              <w:t>-</w:t>
            </w:r>
            <w:r w:rsidR="00D41DFA">
              <w:t xml:space="preserve">Hydrogen can decarbonise mainly the </w:t>
            </w:r>
            <w:r w:rsidR="002A182D">
              <w:t xml:space="preserve">difficult to electrify energy uses in </w:t>
            </w:r>
            <w:r w:rsidR="00D41DFA">
              <w:t xml:space="preserve">industry and </w:t>
            </w:r>
            <w:r w:rsidR="002A182D">
              <w:t xml:space="preserve">(heavy-duty) </w:t>
            </w:r>
            <w:r w:rsidR="00D41DFA">
              <w:t>transport sectors.</w:t>
            </w:r>
          </w:p>
        </w:tc>
      </w:tr>
    </w:tbl>
    <w:p w14:paraId="724DD719" w14:textId="13016498" w:rsidR="0071575C" w:rsidRDefault="008073CF" w:rsidP="00AA15C2">
      <w:pPr>
        <w:spacing w:before="120" w:after="120"/>
        <w:ind w:left="540"/>
        <w:jc w:val="both"/>
      </w:pPr>
      <w:r>
        <w:t xml:space="preserve">The </w:t>
      </w:r>
      <w:r w:rsidR="008F1842">
        <w:t xml:space="preserve">proposed </w:t>
      </w:r>
      <w:r w:rsidR="008C1F8D">
        <w:t xml:space="preserve">EU </w:t>
      </w:r>
      <w:r w:rsidR="004D0322">
        <w:t xml:space="preserve">Hydrogen and </w:t>
      </w:r>
      <w:r w:rsidR="00754A78">
        <w:t>decarbonise</w:t>
      </w:r>
      <w:r w:rsidR="004D0322">
        <w:t>d</w:t>
      </w:r>
      <w:r w:rsidR="00754A78">
        <w:t xml:space="preserve"> </w:t>
      </w:r>
      <w:r w:rsidR="006F1D45">
        <w:t>gas</w:t>
      </w:r>
      <w:r w:rsidR="004D0322">
        <w:t>es</w:t>
      </w:r>
      <w:r w:rsidR="006F1D45">
        <w:t xml:space="preserve"> market </w:t>
      </w:r>
      <w:r w:rsidR="00E87A1E">
        <w:t>p</w:t>
      </w:r>
      <w:r w:rsidR="004D0322">
        <w:t>ackage,</w:t>
      </w:r>
      <w:bookmarkStart w:id="64" w:name="_Ref103622584"/>
      <w:r w:rsidR="00833645">
        <w:rPr>
          <w:rStyle w:val="Voetnootmarkering"/>
        </w:rPr>
        <w:footnoteReference w:id="25"/>
      </w:r>
      <w:bookmarkEnd w:id="64"/>
      <w:r w:rsidR="00E87A1E">
        <w:t xml:space="preserve"> </w:t>
      </w:r>
      <w:r w:rsidR="004D0322">
        <w:t xml:space="preserve">which is </w:t>
      </w:r>
      <w:r w:rsidR="00E87A1E">
        <w:t xml:space="preserve">not </w:t>
      </w:r>
      <w:r w:rsidR="004D0322">
        <w:t xml:space="preserve">yet formally adopted by the European </w:t>
      </w:r>
      <w:r w:rsidR="00C327EA">
        <w:t xml:space="preserve">council and </w:t>
      </w:r>
      <w:r w:rsidR="008658FD">
        <w:t>parliament, includes</w:t>
      </w:r>
      <w:r w:rsidR="004D0322">
        <w:t xml:space="preserve"> measures to st</w:t>
      </w:r>
      <w:r w:rsidR="00783E1D">
        <w:t xml:space="preserve">imulate </w:t>
      </w:r>
      <w:r w:rsidR="0071575C">
        <w:t xml:space="preserve">the deployment of renewable and low carbon gases. To </w:t>
      </w:r>
      <w:r w:rsidR="00851195">
        <w:t xml:space="preserve">this end, </w:t>
      </w:r>
      <w:r w:rsidR="0071575C">
        <w:t xml:space="preserve">hydrogen-based infrastructure will progressively complement the natural gas infrastructure </w:t>
      </w:r>
      <w:r w:rsidR="00717FF9">
        <w:t>and</w:t>
      </w:r>
      <w:r w:rsidR="0071575C">
        <w:t xml:space="preserve"> fossil gas </w:t>
      </w:r>
      <w:r w:rsidR="00717FF9">
        <w:t xml:space="preserve">use </w:t>
      </w:r>
      <w:r w:rsidR="0071575C">
        <w:t xml:space="preserve">will progressively be replaced by </w:t>
      </w:r>
      <w:r w:rsidR="00717FF9">
        <w:t>renewable electricity, hydrogen (or its derivates) and biogas/biomethane</w:t>
      </w:r>
      <w:r w:rsidR="0071575C">
        <w:t>. The current regulatory framework for gaseous energy carriers does not address the deployment of hydrogen as a</w:t>
      </w:r>
      <w:r w:rsidR="00717FF9">
        <w:t xml:space="preserve"> specific</w:t>
      </w:r>
      <w:r w:rsidR="0071575C">
        <w:t xml:space="preserve"> energy carrier via dedicated hydrogen networks. There are </w:t>
      </w:r>
      <w:r w:rsidR="00717FF9">
        <w:t xml:space="preserve">at present </w:t>
      </w:r>
      <w:r w:rsidR="0071575C">
        <w:t xml:space="preserve">no rules at the EU level on </w:t>
      </w:r>
      <w:r w:rsidR="00717FF9">
        <w:t xml:space="preserve">regulated </w:t>
      </w:r>
      <w:r w:rsidR="0071575C">
        <w:t xml:space="preserve">tariff-based investments in </w:t>
      </w:r>
      <w:r w:rsidR="00717FF9">
        <w:t xml:space="preserve">hydrogen </w:t>
      </w:r>
      <w:r w:rsidR="0071575C">
        <w:t>networks, or on the ownership and operation of dedicated hydrogen networks</w:t>
      </w:r>
      <w:r w:rsidR="00717FF9">
        <w:t>, and on the third party access to pipelines</w:t>
      </w:r>
      <w:r w:rsidR="0071575C">
        <w:t xml:space="preserve">. In addition, harmonized rules on (pure) hydrogen quality </w:t>
      </w:r>
      <w:r w:rsidR="00717FF9">
        <w:t xml:space="preserve">do not yet </w:t>
      </w:r>
      <w:r w:rsidR="0071575C">
        <w:t xml:space="preserve">exist. Consequently, barriers exist to the development of a cost-effective, cross-border hydrogen infrastructure and </w:t>
      </w:r>
      <w:r w:rsidR="004E71C2">
        <w:t xml:space="preserve">a </w:t>
      </w:r>
      <w:r w:rsidR="0071575C">
        <w:t>competitive hydrogen market, a prerequisite for the uptake of hydrogen production and consumption.</w:t>
      </w:r>
    </w:p>
    <w:p w14:paraId="4A89BAA2" w14:textId="32647241" w:rsidR="005F7D03" w:rsidRDefault="00F049A6" w:rsidP="00AA15C2">
      <w:pPr>
        <w:spacing w:after="120"/>
        <w:ind w:left="540"/>
        <w:jc w:val="both"/>
      </w:pPr>
      <w:r>
        <w:t>Some of the important changes introduced in the </w:t>
      </w:r>
      <w:r w:rsidRPr="0068292D">
        <w:rPr>
          <w:rStyle w:val="Zwaar"/>
          <w:b w:val="0"/>
          <w:bCs w:val="0"/>
          <w:color w:val="0E101A"/>
        </w:rPr>
        <w:t xml:space="preserve">Recast EU </w:t>
      </w:r>
      <w:r w:rsidR="003201C0" w:rsidRPr="0068292D">
        <w:rPr>
          <w:rStyle w:val="Zwaar"/>
          <w:b w:val="0"/>
          <w:bCs w:val="0"/>
          <w:color w:val="0E101A"/>
        </w:rPr>
        <w:t>directive</w:t>
      </w:r>
      <w:r w:rsidR="0068292D" w:rsidRPr="0068292D">
        <w:rPr>
          <w:rStyle w:val="Zwaar"/>
          <w:b w:val="0"/>
          <w:bCs w:val="0"/>
          <w:color w:val="0E101A"/>
        </w:rPr>
        <w:t xml:space="preserve"> and</w:t>
      </w:r>
      <w:r w:rsidR="003201C0" w:rsidRPr="0068292D">
        <w:rPr>
          <w:rStyle w:val="Zwaar"/>
          <w:b w:val="0"/>
          <w:bCs w:val="0"/>
          <w:color w:val="0E101A"/>
        </w:rPr>
        <w:t xml:space="preserve"> </w:t>
      </w:r>
      <w:r w:rsidRPr="0068292D">
        <w:rPr>
          <w:rStyle w:val="Zwaar"/>
          <w:b w:val="0"/>
          <w:bCs w:val="0"/>
          <w:color w:val="0E101A"/>
        </w:rPr>
        <w:t>regulations on gas</w:t>
      </w:r>
      <w:r>
        <w:rPr>
          <w:rStyle w:val="Zwaar"/>
          <w:color w:val="0E101A"/>
        </w:rPr>
        <w:t> </w:t>
      </w:r>
      <w:r w:rsidR="003201C0">
        <w:t>is</w:t>
      </w:r>
      <w:r>
        <w:t xml:space="preserve"> </w:t>
      </w:r>
      <w:r w:rsidR="004E71C2">
        <w:t xml:space="preserve">that </w:t>
      </w:r>
      <w:r>
        <w:t xml:space="preserve">the scope </w:t>
      </w:r>
      <w:r w:rsidR="004E71C2">
        <w:t xml:space="preserve">is now enlarged </w:t>
      </w:r>
      <w:r>
        <w:t xml:space="preserve">to </w:t>
      </w:r>
      <w:r w:rsidR="004E71C2">
        <w:t xml:space="preserve">also </w:t>
      </w:r>
      <w:r>
        <w:t xml:space="preserve">incorporate renewable gases and hydrogen as key components of the future EU gas market. </w:t>
      </w:r>
      <w:r w:rsidR="004E71C2">
        <w:t>The draft legislation foresees that t</w:t>
      </w:r>
      <w:r>
        <w:t xml:space="preserve">ariff discounts of 75 % </w:t>
      </w:r>
      <w:r w:rsidR="004E71C2">
        <w:t>can</w:t>
      </w:r>
      <w:r>
        <w:t xml:space="preserve"> be applied to </w:t>
      </w:r>
      <w:r w:rsidR="004E71C2">
        <w:t xml:space="preserve">facilitate access of </w:t>
      </w:r>
      <w:r>
        <w:t xml:space="preserve">hydrogen and renewable gases </w:t>
      </w:r>
      <w:r w:rsidR="008658FD">
        <w:t>to the</w:t>
      </w:r>
      <w:r>
        <w:t xml:space="preserve"> gas grid (a discount of 100 % w</w:t>
      </w:r>
      <w:r w:rsidR="004E71C2">
        <w:t>ould</w:t>
      </w:r>
      <w:r>
        <w:t xml:space="preserve"> apply for the first year after the recast EU Gas Regulation takes effect). New rules are </w:t>
      </w:r>
      <w:r w:rsidR="00F76A9B">
        <w:t>proposed</w:t>
      </w:r>
      <w:r>
        <w:t xml:space="preserve"> requiring firm </w:t>
      </w:r>
      <w:r w:rsidR="004E71C2">
        <w:t xml:space="preserve">network </w:t>
      </w:r>
      <w:r>
        <w:t xml:space="preserve">capacity for hydrogen and renewable gases, hydrogen blending with other gases (including an obligation for TSOs </w:t>
      </w:r>
      <w:r>
        <w:lastRenderedPageBreak/>
        <w:t>to accept a hydrogen content of up to 5 %</w:t>
      </w:r>
      <w:r w:rsidR="00B37F54">
        <w:t xml:space="preserve"> in interconnectors</w:t>
      </w:r>
      <w:r>
        <w:t xml:space="preserve"> from 1 October </w:t>
      </w:r>
      <w:r w:rsidR="007C0CAE">
        <w:t>2025)</w:t>
      </w:r>
      <w:r>
        <w:t>, and cross-border coordination on gas quality (assisted by an ENTSOG monitoring report on gas quality every two years). These new firm capacity requirements will apply to both TSOs and DSOs. A legal framework for cross-border EU hydrogen networks is developed, including the establishment of network codes</w:t>
      </w:r>
      <w:bookmarkStart w:id="65" w:name="_Ref104730596"/>
      <w:r w:rsidR="005F7D03">
        <w:rPr>
          <w:rStyle w:val="Voetnootmarkering"/>
        </w:rPr>
        <w:footnoteReference w:id="26"/>
      </w:r>
      <w:bookmarkEnd w:id="65"/>
      <w:r w:rsidR="005F7D03">
        <w:t>.</w:t>
      </w:r>
    </w:p>
    <w:p w14:paraId="766A8F7C" w14:textId="3CF42827" w:rsidR="00685CA4" w:rsidRDefault="00C636A4" w:rsidP="001E4D2B">
      <w:pPr>
        <w:autoSpaceDE w:val="0"/>
        <w:autoSpaceDN w:val="0"/>
        <w:adjustRightInd w:val="0"/>
        <w:spacing w:before="120" w:after="120"/>
        <w:ind w:left="539"/>
        <w:jc w:val="both"/>
      </w:pPr>
      <w:r>
        <w:t xml:space="preserve">The </w:t>
      </w:r>
      <w:r w:rsidRPr="00BA2C1D">
        <w:rPr>
          <w:b/>
          <w:bCs/>
        </w:rPr>
        <w:t>Energy Efficiency Directive ('EED')</w:t>
      </w:r>
      <w:r>
        <w:t xml:space="preserve"> and the related Energy Performance of Buildings Directive ('EPBD') including the proposals for their amendment</w:t>
      </w:r>
      <w:r w:rsidR="00F76A9B">
        <w:t>,</w:t>
      </w:r>
      <w:r>
        <w:t xml:space="preserve"> interact with the present initiative as they affect the level and structure of gas demand. Energy efficiency measures can </w:t>
      </w:r>
      <w:r w:rsidR="00B66536">
        <w:t xml:space="preserve">substantially reduce gas demand while </w:t>
      </w:r>
      <w:r>
        <w:t>alleviat</w:t>
      </w:r>
      <w:r w:rsidR="00B66536">
        <w:t>ing</w:t>
      </w:r>
      <w:r>
        <w:t xml:space="preserve"> energy poverty and reduc</w:t>
      </w:r>
      <w:r w:rsidR="00B66536">
        <w:t>ing</w:t>
      </w:r>
      <w:r>
        <w:t xml:space="preserve"> consumer vulnerability. As gaseous fuels are currently dominating the European heating and cooling supply</w:t>
      </w:r>
      <w:r w:rsidR="001E7C62">
        <w:t>, as well as the transport sector</w:t>
      </w:r>
      <w:r>
        <w:t xml:space="preserve"> and the cogeneration plants, their efficient use </w:t>
      </w:r>
      <w:r w:rsidR="001E7C62">
        <w:t>and substitution where appropriate (</w:t>
      </w:r>
      <w:r w:rsidR="00974713">
        <w:t>e.g.,</w:t>
      </w:r>
      <w:r w:rsidR="001E7C62">
        <w:t xml:space="preserve"> electrification of transport and heating) </w:t>
      </w:r>
      <w:r>
        <w:t>stay at the core of the energy efficiency measures. The Gas Directive and the Gas Regulation are coherent with the energy efficiency first principle: an open and competitive EU market with prices that reflect energy carriers’ production costs, carbon costs, and external costs and benefits would efficiently provide clean and safe hydrogen to end users who value it most</w:t>
      </w:r>
      <w:bookmarkStart w:id="66" w:name="_Ref103375606"/>
      <w:r w:rsidR="00673276">
        <w:rPr>
          <w:rStyle w:val="Voetnootmarkering"/>
        </w:rPr>
        <w:footnoteReference w:id="27"/>
      </w:r>
      <w:bookmarkEnd w:id="66"/>
      <w:r>
        <w:t>.</w:t>
      </w:r>
    </w:p>
    <w:p w14:paraId="3960E17B" w14:textId="2176B7E1" w:rsidR="00CE161C" w:rsidRDefault="00E2477C" w:rsidP="001E4D2B">
      <w:pPr>
        <w:shd w:val="clear" w:color="auto" w:fill="FFFFFF"/>
        <w:spacing w:before="120" w:after="120"/>
        <w:jc w:val="both"/>
      </w:pPr>
      <w:r>
        <w:rPr>
          <w:color w:val="000000"/>
          <w:bdr w:val="none" w:sz="0" w:space="0" w:color="auto" w:frame="1"/>
          <w:shd w:val="clear" w:color="auto" w:fill="FFFFFF"/>
        </w:rPr>
        <w:t>The</w:t>
      </w:r>
      <w:r w:rsidR="00BC1501">
        <w:rPr>
          <w:color w:val="000000"/>
          <w:bdr w:val="none" w:sz="0" w:space="0" w:color="auto" w:frame="1"/>
          <w:shd w:val="clear" w:color="auto" w:fill="FFFFFF"/>
        </w:rPr>
        <w:t xml:space="preserve"> </w:t>
      </w:r>
      <w:r w:rsidR="006442E9">
        <w:rPr>
          <w:color w:val="000000"/>
          <w:bdr w:val="none" w:sz="0" w:space="0" w:color="auto" w:frame="1"/>
          <w:shd w:val="clear" w:color="auto" w:fill="FFFFFF"/>
        </w:rPr>
        <w:t xml:space="preserve">revised </w:t>
      </w:r>
      <w:r w:rsidR="009775EF">
        <w:rPr>
          <w:color w:val="000000"/>
          <w:bdr w:val="none" w:sz="0" w:space="0" w:color="auto" w:frame="1"/>
          <w:shd w:val="clear" w:color="auto" w:fill="FFFFFF"/>
        </w:rPr>
        <w:t xml:space="preserve">Trans-European </w:t>
      </w:r>
      <w:r w:rsidR="004137B1">
        <w:rPr>
          <w:color w:val="000000"/>
          <w:bdr w:val="none" w:sz="0" w:space="0" w:color="auto" w:frame="1"/>
          <w:shd w:val="clear" w:color="auto" w:fill="FFFFFF"/>
        </w:rPr>
        <w:t>networks in energy (</w:t>
      </w:r>
      <w:r w:rsidR="006442E9" w:rsidRPr="006C672D">
        <w:rPr>
          <w:b/>
          <w:bCs/>
          <w:color w:val="000000"/>
          <w:bdr w:val="none" w:sz="0" w:space="0" w:color="auto" w:frame="1"/>
          <w:shd w:val="clear" w:color="auto" w:fill="FFFFFF"/>
        </w:rPr>
        <w:t>TEN</w:t>
      </w:r>
      <w:r w:rsidRPr="001065B2">
        <w:rPr>
          <w:b/>
          <w:bCs/>
          <w:color w:val="000000"/>
          <w:bdr w:val="none" w:sz="0" w:space="0" w:color="auto" w:frame="1"/>
          <w:shd w:val="clear" w:color="auto" w:fill="FFFFFF"/>
        </w:rPr>
        <w:t>-E</w:t>
      </w:r>
      <w:r w:rsidR="004137B1">
        <w:rPr>
          <w:b/>
          <w:bCs/>
          <w:color w:val="000000"/>
          <w:bdr w:val="none" w:sz="0" w:space="0" w:color="auto" w:frame="1"/>
          <w:shd w:val="clear" w:color="auto" w:fill="FFFFFF"/>
        </w:rPr>
        <w:t>)</w:t>
      </w:r>
      <w:r w:rsidRPr="001065B2">
        <w:rPr>
          <w:b/>
          <w:bCs/>
          <w:color w:val="000000"/>
          <w:bdr w:val="none" w:sz="0" w:space="0" w:color="auto" w:frame="1"/>
          <w:shd w:val="clear" w:color="auto" w:fill="FFFFFF"/>
        </w:rPr>
        <w:t xml:space="preserve"> Regulation</w:t>
      </w:r>
      <w:r w:rsidR="004A1C50">
        <w:rPr>
          <w:color w:val="000000"/>
          <w:bdr w:val="none" w:sz="0" w:space="0" w:color="auto" w:frame="1"/>
          <w:shd w:val="clear" w:color="auto" w:fill="FFFFFF"/>
        </w:rPr>
        <w:t xml:space="preserve"> was</w:t>
      </w:r>
      <w:r>
        <w:rPr>
          <w:color w:val="000000"/>
          <w:bdr w:val="none" w:sz="0" w:space="0" w:color="auto" w:frame="1"/>
          <w:shd w:val="clear" w:color="auto" w:fill="FFFFFF"/>
        </w:rPr>
        <w:t xml:space="preserve"> proposed by the Commission in December 2020, </w:t>
      </w:r>
      <w:r w:rsidR="00B5569B">
        <w:rPr>
          <w:color w:val="000000"/>
          <w:bdr w:val="none" w:sz="0" w:space="0" w:color="auto" w:frame="1"/>
          <w:shd w:val="clear" w:color="auto" w:fill="FFFFFF"/>
        </w:rPr>
        <w:t xml:space="preserve">and </w:t>
      </w:r>
      <w:r w:rsidR="00DC5652">
        <w:rPr>
          <w:color w:val="000000"/>
          <w:bdr w:val="none" w:sz="0" w:space="0" w:color="auto" w:frame="1"/>
          <w:shd w:val="clear" w:color="auto" w:fill="FFFFFF"/>
        </w:rPr>
        <w:t xml:space="preserve">adopted as </w:t>
      </w:r>
      <w:r w:rsidR="008F1AF6">
        <w:rPr>
          <w:color w:val="000000"/>
          <w:bdr w:val="none" w:sz="0" w:space="0" w:color="auto" w:frame="1"/>
          <w:shd w:val="clear" w:color="auto" w:fill="FFFFFF"/>
        </w:rPr>
        <w:t xml:space="preserve">a delegated </w:t>
      </w:r>
      <w:r w:rsidR="00A02AD9">
        <w:rPr>
          <w:color w:val="000000"/>
          <w:bdr w:val="none" w:sz="0" w:space="0" w:color="auto" w:frame="1"/>
          <w:shd w:val="clear" w:color="auto" w:fill="FFFFFF"/>
        </w:rPr>
        <w:t>regulation since April 2022</w:t>
      </w:r>
      <w:r>
        <w:rPr>
          <w:color w:val="000000"/>
          <w:bdr w:val="none" w:sz="0" w:space="0" w:color="auto" w:frame="1"/>
          <w:shd w:val="clear" w:color="auto" w:fill="FFFFFF"/>
        </w:rPr>
        <w:t xml:space="preserve">, aims to better support the modernisation of Europe's cross-border energy infrastructure for the European Green </w:t>
      </w:r>
      <w:r w:rsidRPr="00DE1F39">
        <w:rPr>
          <w:color w:val="000000" w:themeColor="text1"/>
          <w:bdr w:val="none" w:sz="0" w:space="0" w:color="auto" w:frame="1"/>
          <w:shd w:val="clear" w:color="auto" w:fill="FFFFFF"/>
        </w:rPr>
        <w:t>Deal</w:t>
      </w:r>
      <w:r w:rsidR="00673276" w:rsidRPr="00DE1F39">
        <w:rPr>
          <w:color w:val="000000" w:themeColor="text1"/>
          <w:bdr w:val="none" w:sz="0" w:space="0" w:color="auto" w:frame="1"/>
          <w:shd w:val="clear" w:color="auto" w:fill="FFFFFF"/>
          <w:vertAlign w:val="superscript"/>
        </w:rPr>
        <w:fldChar w:fldCharType="begin"/>
      </w:r>
      <w:r w:rsidR="00673276" w:rsidRPr="00DE1F39">
        <w:rPr>
          <w:color w:val="000000" w:themeColor="text1"/>
          <w:bdr w:val="none" w:sz="0" w:space="0" w:color="auto" w:frame="1"/>
          <w:shd w:val="clear" w:color="auto" w:fill="FFFFFF"/>
          <w:vertAlign w:val="superscript"/>
        </w:rPr>
        <w:instrText xml:space="preserve"> NOTEREF _Ref103375606 \h  \* MERGEFORMAT </w:instrText>
      </w:r>
      <w:r w:rsidR="00673276" w:rsidRPr="00DE1F39">
        <w:rPr>
          <w:color w:val="000000" w:themeColor="text1"/>
          <w:bdr w:val="none" w:sz="0" w:space="0" w:color="auto" w:frame="1"/>
          <w:shd w:val="clear" w:color="auto" w:fill="FFFFFF"/>
          <w:vertAlign w:val="superscript"/>
        </w:rPr>
      </w:r>
      <w:r w:rsidR="00673276" w:rsidRPr="00DE1F39">
        <w:rPr>
          <w:color w:val="000000" w:themeColor="text1"/>
          <w:bdr w:val="none" w:sz="0" w:space="0" w:color="auto" w:frame="1"/>
          <w:shd w:val="clear" w:color="auto" w:fill="FFFFFF"/>
          <w:vertAlign w:val="superscript"/>
        </w:rPr>
        <w:fldChar w:fldCharType="separate"/>
      </w:r>
      <w:r w:rsidR="00265258">
        <w:rPr>
          <w:color w:val="000000" w:themeColor="text1"/>
          <w:bdr w:val="none" w:sz="0" w:space="0" w:color="auto" w:frame="1"/>
          <w:shd w:val="clear" w:color="auto" w:fill="FFFFFF"/>
          <w:vertAlign w:val="superscript"/>
        </w:rPr>
        <w:t>26</w:t>
      </w:r>
      <w:r w:rsidR="00673276" w:rsidRPr="00DE1F39">
        <w:rPr>
          <w:color w:val="000000" w:themeColor="text1"/>
          <w:bdr w:val="none" w:sz="0" w:space="0" w:color="auto" w:frame="1"/>
          <w:shd w:val="clear" w:color="auto" w:fill="FFFFFF"/>
          <w:vertAlign w:val="superscript"/>
        </w:rPr>
        <w:fldChar w:fldCharType="end"/>
      </w:r>
      <w:r w:rsidR="00673276" w:rsidRPr="00DE1F39">
        <w:rPr>
          <w:color w:val="000000" w:themeColor="text1"/>
          <w:bdr w:val="none" w:sz="0" w:space="0" w:color="auto" w:frame="1"/>
          <w:shd w:val="clear" w:color="auto" w:fill="FFFFFF"/>
          <w:vertAlign w:val="subscript"/>
        </w:rPr>
        <w:t>.</w:t>
      </w:r>
      <w:r w:rsidR="003453A0" w:rsidRPr="00DE1F39">
        <w:rPr>
          <w:color w:val="000000" w:themeColor="text1"/>
          <w:bdr w:val="none" w:sz="0" w:space="0" w:color="auto" w:frame="1"/>
          <w:shd w:val="clear" w:color="auto" w:fill="FFFFFF"/>
          <w:vertAlign w:val="subscript"/>
        </w:rPr>
        <w:t xml:space="preserve"> </w:t>
      </w:r>
      <w:r w:rsidR="00D80DE1" w:rsidRPr="005538A3">
        <w:t>While No oil projects were submitted for the Project of Common Interest list</w:t>
      </w:r>
      <w:r w:rsidR="00D07460">
        <w:t xml:space="preserve">, </w:t>
      </w:r>
      <w:r w:rsidR="00D80DE1" w:rsidRPr="005538A3">
        <w:t>t</w:t>
      </w:r>
      <w:r w:rsidR="004F2C7E" w:rsidRPr="005538A3">
        <w:t xml:space="preserve">he </w:t>
      </w:r>
      <w:r w:rsidR="008658FD" w:rsidRPr="005538A3">
        <w:t>future</w:t>
      </w:r>
      <w:r w:rsidR="004F2C7E" w:rsidRPr="005538A3">
        <w:t xml:space="preserve"> </w:t>
      </w:r>
      <w:r w:rsidR="00ED7B23">
        <w:t xml:space="preserve">natural gas infrastructure projects would no longer be eligible as </w:t>
      </w:r>
      <w:r w:rsidR="007F719D">
        <w:t>projects of common interest (</w:t>
      </w:r>
      <w:r w:rsidR="00ED7B23">
        <w:t>PCI</w:t>
      </w:r>
      <w:r w:rsidR="007F719D">
        <w:t>)</w:t>
      </w:r>
      <w:r w:rsidR="00ED7B23">
        <w:t xml:space="preserve"> and therefore unable to secure </w:t>
      </w:r>
      <w:r w:rsidR="009775EF">
        <w:t>Connecting Europe Facility (</w:t>
      </w:r>
      <w:r w:rsidR="00ED7B23">
        <w:t>CEF</w:t>
      </w:r>
      <w:r w:rsidR="009775EF">
        <w:t>)</w:t>
      </w:r>
      <w:r w:rsidR="00ED7B23">
        <w:t xml:space="preserve"> funding</w:t>
      </w:r>
      <w:r w:rsidR="00B9564A" w:rsidRPr="00DE1F39">
        <w:rPr>
          <w:color w:val="000000" w:themeColor="text1"/>
          <w:bdr w:val="none" w:sz="0" w:space="0" w:color="auto" w:frame="1"/>
          <w:shd w:val="clear" w:color="auto" w:fill="FFFFFF"/>
        </w:rPr>
        <w:t xml:space="preserve">. </w:t>
      </w:r>
      <w:r w:rsidR="00AD6E10">
        <w:rPr>
          <w:color w:val="000000" w:themeColor="text1"/>
          <w:bdr w:val="none" w:sz="0" w:space="0" w:color="auto" w:frame="1"/>
          <w:shd w:val="clear" w:color="auto" w:fill="FFFFFF"/>
        </w:rPr>
        <w:t>It means that</w:t>
      </w:r>
      <w:r w:rsidR="00374448">
        <w:rPr>
          <w:color w:val="000000" w:themeColor="text1"/>
          <w:bdr w:val="none" w:sz="0" w:space="0" w:color="auto" w:frame="1"/>
          <w:shd w:val="clear" w:color="auto" w:fill="FFFFFF"/>
        </w:rPr>
        <w:t xml:space="preserve"> n</w:t>
      </w:r>
      <w:r w:rsidR="00374448" w:rsidRPr="00BB65FE">
        <w:rPr>
          <w:rFonts w:ascii="Arial" w:hAnsi="Arial" w:cs="Arial"/>
          <w:color w:val="202124"/>
          <w:shd w:val="clear" w:color="auto" w:fill="FFFFFF"/>
        </w:rPr>
        <w:t xml:space="preserve">atural gas infrastructure </w:t>
      </w:r>
      <w:r w:rsidR="00AD6E10" w:rsidRPr="00BB65FE">
        <w:rPr>
          <w:rFonts w:ascii="Arial" w:hAnsi="Arial" w:cs="Arial"/>
          <w:color w:val="202124"/>
          <w:shd w:val="clear" w:color="auto" w:fill="FFFFFF"/>
        </w:rPr>
        <w:t>projects are excluded</w:t>
      </w:r>
      <w:r w:rsidR="00374448" w:rsidRPr="00BB65FE">
        <w:rPr>
          <w:rFonts w:ascii="Arial" w:hAnsi="Arial" w:cs="Arial"/>
          <w:color w:val="202124"/>
          <w:shd w:val="clear" w:color="auto" w:fill="FFFFFF"/>
        </w:rPr>
        <w:t xml:space="preserve"> from </w:t>
      </w:r>
      <w:r w:rsidR="00AD6E10" w:rsidRPr="00BB65FE">
        <w:rPr>
          <w:rFonts w:ascii="Arial" w:hAnsi="Arial" w:cs="Arial"/>
          <w:color w:val="202124"/>
          <w:shd w:val="clear" w:color="auto" w:fill="FFFFFF"/>
        </w:rPr>
        <w:t>the scope of the revised TEN-E Regulation</w:t>
      </w:r>
      <w:r w:rsidR="00AD6E10">
        <w:rPr>
          <w:rFonts w:ascii="Arial" w:hAnsi="Arial" w:cs="Arial"/>
          <w:color w:val="202124"/>
          <w:shd w:val="clear" w:color="auto" w:fill="FFFFFF"/>
        </w:rPr>
        <w:t> </w:t>
      </w:r>
      <w:r w:rsidR="008C0D74">
        <w:rPr>
          <w:rFonts w:ascii="Arial" w:hAnsi="Arial" w:cs="Arial"/>
          <w:color w:val="202124"/>
          <w:shd w:val="clear" w:color="auto" w:fill="FFFFFF"/>
        </w:rPr>
        <w:t>except for</w:t>
      </w:r>
      <w:r w:rsidR="00AD6E10">
        <w:rPr>
          <w:rFonts w:ascii="Arial" w:hAnsi="Arial" w:cs="Arial"/>
          <w:color w:val="202124"/>
          <w:shd w:val="clear" w:color="auto" w:fill="FFFFFF"/>
        </w:rPr>
        <w:t xml:space="preserve"> H</w:t>
      </w:r>
      <w:r w:rsidR="00AD6E10" w:rsidRPr="00BB65FE">
        <w:rPr>
          <w:rFonts w:ascii="Arial" w:hAnsi="Arial" w:cs="Arial"/>
          <w:color w:val="202124"/>
          <w:shd w:val="clear" w:color="auto" w:fill="FFFFFF"/>
        </w:rPr>
        <w:t>2</w:t>
      </w:r>
      <w:r w:rsidR="00AD6E10">
        <w:rPr>
          <w:rFonts w:ascii="Arial" w:hAnsi="Arial" w:cs="Arial"/>
          <w:color w:val="202124"/>
          <w:shd w:val="clear" w:color="auto" w:fill="FFFFFF"/>
        </w:rPr>
        <w:t> blending into existing natural gas pipelines and storage during</w:t>
      </w:r>
      <w:r w:rsidR="00DE1F39">
        <w:rPr>
          <w:rFonts w:ascii="Arial" w:hAnsi="Arial" w:cs="Arial"/>
          <w:color w:val="202124"/>
          <w:shd w:val="clear" w:color="auto" w:fill="FFFFFF"/>
        </w:rPr>
        <w:t xml:space="preserve"> a transitional period </w:t>
      </w:r>
      <w:r w:rsidR="00AD6E10">
        <w:rPr>
          <w:rFonts w:ascii="Arial" w:hAnsi="Arial" w:cs="Arial"/>
          <w:color w:val="202124"/>
          <w:shd w:val="clear" w:color="auto" w:fill="FFFFFF"/>
        </w:rPr>
        <w:t>that</w:t>
      </w:r>
      <w:r w:rsidR="00DE1F39">
        <w:rPr>
          <w:rFonts w:ascii="Arial" w:hAnsi="Arial" w:cs="Arial"/>
          <w:color w:val="202124"/>
          <w:shd w:val="clear" w:color="auto" w:fill="FFFFFF"/>
        </w:rPr>
        <w:t xml:space="preserve"> will end </w:t>
      </w:r>
      <w:r w:rsidR="00AD6E10">
        <w:rPr>
          <w:rFonts w:ascii="Arial" w:hAnsi="Arial" w:cs="Arial"/>
          <w:color w:val="202124"/>
          <w:shd w:val="clear" w:color="auto" w:fill="FFFFFF"/>
        </w:rPr>
        <w:t>in 2029.</w:t>
      </w:r>
      <w:r w:rsidR="00F72BD0">
        <w:rPr>
          <w:rFonts w:ascii="Arial" w:hAnsi="Arial" w:cs="Arial"/>
          <w:color w:val="202124"/>
          <w:shd w:val="clear" w:color="auto" w:fill="FFFFFF"/>
        </w:rPr>
        <w:t xml:space="preserve"> </w:t>
      </w:r>
      <w:r w:rsidR="00F72BD0">
        <w:t>Smart gas grid investments (new PCI category) would be promoted to facilitate integration of clean gases (like biogas and renewable hydrogen) into existing natural (methane) gas networks</w:t>
      </w:r>
      <w:r w:rsidR="00BD5EC2">
        <w:t>.</w:t>
      </w:r>
      <w:r w:rsidR="003A2508">
        <w:rPr>
          <w:rStyle w:val="Voetnootmarkering"/>
        </w:rPr>
        <w:footnoteReference w:id="28"/>
      </w:r>
      <w:r w:rsidR="002935CB">
        <w:t xml:space="preserve"> </w:t>
      </w:r>
      <w:r w:rsidR="002935CB">
        <w:rPr>
          <w:rFonts w:ascii="Arial" w:hAnsi="Arial" w:cs="Arial"/>
          <w:color w:val="202124"/>
          <w:shd w:val="clear" w:color="auto" w:fill="FFFFFF"/>
        </w:rPr>
        <w:t>Moreover, the REPowerEU set the stage for all the interconnectors to be compatible for transferring hydrogen in the future aiming at hydrogen infrastructures expansion across the Union</w:t>
      </w:r>
      <w:r w:rsidR="001D1CF8">
        <w:t>.</w:t>
      </w:r>
    </w:p>
    <w:p w14:paraId="291A5A2B" w14:textId="69B2D618" w:rsidR="008658FD" w:rsidRPr="005503D6" w:rsidRDefault="00521AD2" w:rsidP="005503D6">
      <w:pPr>
        <w:shd w:val="clear" w:color="auto" w:fill="FFFFFF"/>
        <w:spacing w:before="120" w:after="120"/>
        <w:jc w:val="both"/>
        <w:rPr>
          <w:rFonts w:cs="Arial"/>
          <w:color w:val="000000"/>
          <w:shd w:val="clear" w:color="auto" w:fill="FFFFFF"/>
        </w:rPr>
      </w:pPr>
      <w:r w:rsidRPr="00C86D28">
        <w:rPr>
          <w:rFonts w:cs="Arial"/>
          <w:color w:val="000000"/>
          <w:shd w:val="clear" w:color="auto" w:fill="FFFFFF"/>
        </w:rPr>
        <w:t>In 2021, the European Union imported an average of over 380 million cubic metres (mcm) per day of gas by pipeline from Russia, or around 140 billion cubic metres (</w:t>
      </w:r>
      <w:proofErr w:type="spellStart"/>
      <w:r w:rsidRPr="00C86D28">
        <w:rPr>
          <w:rFonts w:cs="Arial"/>
          <w:color w:val="000000"/>
          <w:shd w:val="clear" w:color="auto" w:fill="FFFFFF"/>
        </w:rPr>
        <w:t>bcm</w:t>
      </w:r>
      <w:proofErr w:type="spellEnd"/>
      <w:r w:rsidRPr="00C86D28">
        <w:rPr>
          <w:rFonts w:cs="Arial"/>
          <w:color w:val="000000"/>
          <w:shd w:val="clear" w:color="auto" w:fill="FFFFFF"/>
        </w:rPr>
        <w:t xml:space="preserve">) for the year as a whole. </w:t>
      </w:r>
      <w:r w:rsidR="001E7C62">
        <w:rPr>
          <w:rFonts w:cs="Arial"/>
          <w:color w:val="000000"/>
          <w:shd w:val="clear" w:color="auto" w:fill="FFFFFF"/>
        </w:rPr>
        <w:t xml:space="preserve">Next to the </w:t>
      </w:r>
      <w:r w:rsidR="00E2365C">
        <w:rPr>
          <w:rFonts w:cs="Arial"/>
          <w:color w:val="000000"/>
          <w:shd w:val="clear" w:color="auto" w:fill="FFFFFF"/>
        </w:rPr>
        <w:t xml:space="preserve">imports via pipelines, </w:t>
      </w:r>
      <w:r w:rsidRPr="00C86D28">
        <w:rPr>
          <w:rFonts w:cs="Arial"/>
          <w:color w:val="000000"/>
          <w:shd w:val="clear" w:color="auto" w:fill="FFFFFF"/>
        </w:rPr>
        <w:t>around 15 </w:t>
      </w:r>
      <w:proofErr w:type="spellStart"/>
      <w:r w:rsidRPr="00C86D28">
        <w:rPr>
          <w:rFonts w:cs="Arial"/>
          <w:color w:val="000000"/>
          <w:shd w:val="clear" w:color="auto" w:fill="FFFFFF"/>
        </w:rPr>
        <w:t>bcm</w:t>
      </w:r>
      <w:proofErr w:type="spellEnd"/>
      <w:r w:rsidRPr="00C86D28">
        <w:rPr>
          <w:rFonts w:cs="Arial"/>
          <w:color w:val="000000"/>
          <w:shd w:val="clear" w:color="auto" w:fill="FFFFFF"/>
        </w:rPr>
        <w:t xml:space="preserve"> was delivered in the form of liquefied natural gas (LNG). The total 155 </w:t>
      </w:r>
      <w:proofErr w:type="spellStart"/>
      <w:r w:rsidRPr="00C86D28">
        <w:rPr>
          <w:rFonts w:cs="Arial"/>
          <w:color w:val="000000"/>
          <w:shd w:val="clear" w:color="auto" w:fill="FFFFFF"/>
        </w:rPr>
        <w:t>bcm</w:t>
      </w:r>
      <w:proofErr w:type="spellEnd"/>
      <w:r w:rsidRPr="00C86D28">
        <w:rPr>
          <w:rFonts w:cs="Arial"/>
          <w:color w:val="000000"/>
          <w:shd w:val="clear" w:color="auto" w:fill="FFFFFF"/>
        </w:rPr>
        <w:t xml:space="preserve"> imported from Russia accounted for around 45% of the EU’s gas imports in 2021 and almost 40% of its total gas consumption.</w:t>
      </w:r>
      <w:r w:rsidR="00C86D28" w:rsidRPr="00C86D28">
        <w:rPr>
          <w:rFonts w:cs="Arial"/>
          <w:color w:val="000000"/>
          <w:shd w:val="clear" w:color="auto" w:fill="FFFFFF"/>
        </w:rPr>
        <w:t xml:space="preserve"> Progress towards net </w:t>
      </w:r>
      <w:r w:rsidR="00E2365C">
        <w:rPr>
          <w:rFonts w:cs="Arial"/>
          <w:color w:val="000000"/>
          <w:shd w:val="clear" w:color="auto" w:fill="FFFFFF"/>
        </w:rPr>
        <w:t xml:space="preserve">carbon </w:t>
      </w:r>
      <w:r w:rsidR="00C86D28" w:rsidRPr="00C86D28">
        <w:rPr>
          <w:rFonts w:cs="Arial"/>
          <w:color w:val="000000"/>
          <w:shd w:val="clear" w:color="auto" w:fill="FFFFFF"/>
        </w:rPr>
        <w:t xml:space="preserve">zero ambitions in Europe will bring down gas use and imports over time, but </w:t>
      </w:r>
      <w:r w:rsidR="00E2365C">
        <w:rPr>
          <w:rFonts w:cs="Arial"/>
          <w:color w:val="000000"/>
          <w:shd w:val="clear" w:color="auto" w:fill="FFFFFF"/>
        </w:rPr>
        <w:t xml:space="preserve">the </w:t>
      </w:r>
      <w:r w:rsidR="00C86D28" w:rsidRPr="00C86D28">
        <w:rPr>
          <w:rFonts w:cs="Arial"/>
          <w:color w:val="000000"/>
          <w:shd w:val="clear" w:color="auto" w:fill="FFFFFF"/>
        </w:rPr>
        <w:t xml:space="preserve">today’s </w:t>
      </w:r>
      <w:r w:rsidR="00E2365C">
        <w:rPr>
          <w:rFonts w:cs="Arial"/>
          <w:color w:val="000000"/>
          <w:shd w:val="clear" w:color="auto" w:fill="FFFFFF"/>
        </w:rPr>
        <w:t xml:space="preserve">energy </w:t>
      </w:r>
      <w:r w:rsidR="00C86D28" w:rsidRPr="00C86D28">
        <w:rPr>
          <w:rFonts w:cs="Arial"/>
          <w:color w:val="000000"/>
          <w:shd w:val="clear" w:color="auto" w:fill="FFFFFF"/>
        </w:rPr>
        <w:t xml:space="preserve">crisis raises specific questions about </w:t>
      </w:r>
      <w:r w:rsidR="00E2365C">
        <w:rPr>
          <w:rFonts w:cs="Arial"/>
          <w:color w:val="000000"/>
          <w:shd w:val="clear" w:color="auto" w:fill="FFFFFF"/>
        </w:rPr>
        <w:t xml:space="preserve">the </w:t>
      </w:r>
      <w:r w:rsidR="00C86D28" w:rsidRPr="00C86D28">
        <w:rPr>
          <w:rFonts w:cs="Arial"/>
          <w:color w:val="000000"/>
          <w:shd w:val="clear" w:color="auto" w:fill="FFFFFF"/>
        </w:rPr>
        <w:t xml:space="preserve">imports from Russia and </w:t>
      </w:r>
      <w:r w:rsidR="00E2365C">
        <w:rPr>
          <w:rFonts w:cs="Arial"/>
          <w:color w:val="000000"/>
          <w:shd w:val="clear" w:color="auto" w:fill="FFFFFF"/>
        </w:rPr>
        <w:t>the measures that</w:t>
      </w:r>
      <w:r w:rsidR="00C86D28" w:rsidRPr="00C86D28">
        <w:rPr>
          <w:rFonts w:cs="Arial"/>
          <w:color w:val="000000"/>
          <w:shd w:val="clear" w:color="auto" w:fill="FFFFFF"/>
        </w:rPr>
        <w:t xml:space="preserve"> policy makers and </w:t>
      </w:r>
      <w:r w:rsidR="00E2365C">
        <w:rPr>
          <w:rFonts w:cs="Arial"/>
          <w:color w:val="000000"/>
          <w:shd w:val="clear" w:color="auto" w:fill="FFFFFF"/>
        </w:rPr>
        <w:t>market operators</w:t>
      </w:r>
      <w:r w:rsidR="0086037F">
        <w:rPr>
          <w:rFonts w:cs="Arial"/>
          <w:color w:val="000000"/>
          <w:shd w:val="clear" w:color="auto" w:fill="FFFFFF"/>
        </w:rPr>
        <w:t>/</w:t>
      </w:r>
      <w:r w:rsidR="00C86D28" w:rsidRPr="00C86D28">
        <w:rPr>
          <w:rFonts w:cs="Arial"/>
          <w:color w:val="000000"/>
          <w:shd w:val="clear" w:color="auto" w:fill="FFFFFF"/>
        </w:rPr>
        <w:t xml:space="preserve">consumers can </w:t>
      </w:r>
      <w:r w:rsidR="00E2365C">
        <w:rPr>
          <w:rFonts w:cs="Arial"/>
          <w:color w:val="000000"/>
          <w:shd w:val="clear" w:color="auto" w:fill="FFFFFF"/>
        </w:rPr>
        <w:t>take</w:t>
      </w:r>
      <w:r w:rsidR="00C86D28" w:rsidRPr="00C86D28">
        <w:rPr>
          <w:rFonts w:cs="Arial"/>
          <w:color w:val="000000"/>
          <w:shd w:val="clear" w:color="auto" w:fill="FFFFFF"/>
        </w:rPr>
        <w:t xml:space="preserve"> to lower</w:t>
      </w:r>
      <w:r w:rsidR="0086037F">
        <w:rPr>
          <w:rFonts w:cs="Arial"/>
          <w:color w:val="000000"/>
          <w:shd w:val="clear" w:color="auto" w:fill="FFFFFF"/>
        </w:rPr>
        <w:t xml:space="preserve"> </w:t>
      </w:r>
      <w:r w:rsidR="00C86D28" w:rsidRPr="00C86D28">
        <w:rPr>
          <w:rFonts w:cs="Arial"/>
          <w:color w:val="000000"/>
          <w:shd w:val="clear" w:color="auto" w:fill="FFFFFF"/>
        </w:rPr>
        <w:t>them.</w:t>
      </w:r>
      <w:r w:rsidR="00A024E1" w:rsidRPr="00766EB4">
        <w:rPr>
          <w:rFonts w:cs="Arial"/>
          <w:color w:val="000000"/>
          <w:shd w:val="clear" w:color="auto" w:fill="FFFFFF"/>
          <w:vertAlign w:val="superscript"/>
        </w:rPr>
        <w:fldChar w:fldCharType="begin"/>
      </w:r>
      <w:r w:rsidR="00A024E1" w:rsidRPr="00766EB4">
        <w:rPr>
          <w:rFonts w:cs="Arial"/>
          <w:color w:val="000000"/>
          <w:shd w:val="clear" w:color="auto" w:fill="FFFFFF"/>
          <w:vertAlign w:val="superscript"/>
        </w:rPr>
        <w:instrText xml:space="preserve"> NOTEREF _Ref104470954 \h </w:instrText>
      </w:r>
      <w:r w:rsidR="00A024E1">
        <w:rPr>
          <w:rFonts w:cs="Arial"/>
          <w:color w:val="000000"/>
          <w:shd w:val="clear" w:color="auto" w:fill="FFFFFF"/>
          <w:vertAlign w:val="superscript"/>
        </w:rPr>
        <w:instrText xml:space="preserve"> \* MERGEFORMAT </w:instrText>
      </w:r>
      <w:r w:rsidR="00A024E1" w:rsidRPr="00766EB4">
        <w:rPr>
          <w:rFonts w:cs="Arial"/>
          <w:color w:val="000000"/>
          <w:shd w:val="clear" w:color="auto" w:fill="FFFFFF"/>
          <w:vertAlign w:val="superscript"/>
        </w:rPr>
      </w:r>
      <w:r w:rsidR="00A024E1" w:rsidRPr="00766EB4">
        <w:rPr>
          <w:rFonts w:cs="Arial"/>
          <w:color w:val="000000"/>
          <w:shd w:val="clear" w:color="auto" w:fill="FFFFFF"/>
          <w:vertAlign w:val="superscript"/>
        </w:rPr>
        <w:fldChar w:fldCharType="separate"/>
      </w:r>
      <w:r w:rsidR="00265258">
        <w:rPr>
          <w:rFonts w:cs="Arial"/>
          <w:color w:val="000000"/>
          <w:shd w:val="clear" w:color="auto" w:fill="FFFFFF"/>
          <w:vertAlign w:val="superscript"/>
        </w:rPr>
        <w:t>28</w:t>
      </w:r>
      <w:r w:rsidR="00A024E1" w:rsidRPr="00766EB4">
        <w:rPr>
          <w:rFonts w:cs="Arial"/>
          <w:color w:val="000000"/>
          <w:shd w:val="clear" w:color="auto" w:fill="FFFFFF"/>
          <w:vertAlign w:val="superscript"/>
        </w:rPr>
        <w:fldChar w:fldCharType="end"/>
      </w:r>
      <w:r w:rsidR="00C86D28" w:rsidRPr="00C86D28">
        <w:rPr>
          <w:rFonts w:cs="Arial"/>
          <w:color w:val="000000"/>
          <w:shd w:val="clear" w:color="auto" w:fill="FFFFFF"/>
        </w:rPr>
        <w:t xml:space="preserve"> Th</w:t>
      </w:r>
      <w:r w:rsidR="00A23A80">
        <w:rPr>
          <w:rFonts w:cs="Arial"/>
          <w:color w:val="000000"/>
          <w:shd w:val="clear" w:color="auto" w:fill="FFFFFF"/>
        </w:rPr>
        <w:t>e</w:t>
      </w:r>
      <w:r w:rsidR="00C86D28" w:rsidRPr="00C86D28">
        <w:rPr>
          <w:rFonts w:cs="Arial"/>
          <w:color w:val="000000"/>
          <w:shd w:val="clear" w:color="auto" w:fill="FFFFFF"/>
        </w:rPr>
        <w:t xml:space="preserve"> IEA</w:t>
      </w:r>
      <w:r w:rsidR="00766EB4" w:rsidRPr="00766EB4">
        <w:rPr>
          <w:rFonts w:cs="Arial"/>
          <w:color w:val="000000"/>
          <w:shd w:val="clear" w:color="auto" w:fill="FFFFFF"/>
          <w:vertAlign w:val="superscript"/>
        </w:rPr>
        <w:fldChar w:fldCharType="begin"/>
      </w:r>
      <w:r w:rsidR="00766EB4" w:rsidRPr="00766EB4">
        <w:rPr>
          <w:rFonts w:cs="Arial"/>
          <w:color w:val="000000"/>
          <w:shd w:val="clear" w:color="auto" w:fill="FFFFFF"/>
          <w:vertAlign w:val="superscript"/>
        </w:rPr>
        <w:instrText xml:space="preserve"> NOTEREF _Ref104470954 \h </w:instrText>
      </w:r>
      <w:r w:rsidR="00766EB4">
        <w:rPr>
          <w:rFonts w:cs="Arial"/>
          <w:color w:val="000000"/>
          <w:shd w:val="clear" w:color="auto" w:fill="FFFFFF"/>
          <w:vertAlign w:val="superscript"/>
        </w:rPr>
        <w:instrText xml:space="preserve"> \* MERGEFORMAT </w:instrText>
      </w:r>
      <w:r w:rsidR="00766EB4" w:rsidRPr="00766EB4">
        <w:rPr>
          <w:rFonts w:cs="Arial"/>
          <w:color w:val="000000"/>
          <w:shd w:val="clear" w:color="auto" w:fill="FFFFFF"/>
          <w:vertAlign w:val="superscript"/>
        </w:rPr>
      </w:r>
      <w:r w:rsidR="00766EB4" w:rsidRPr="00766EB4">
        <w:rPr>
          <w:rFonts w:cs="Arial"/>
          <w:color w:val="000000"/>
          <w:shd w:val="clear" w:color="auto" w:fill="FFFFFF"/>
          <w:vertAlign w:val="superscript"/>
        </w:rPr>
        <w:fldChar w:fldCharType="separate"/>
      </w:r>
      <w:r w:rsidR="00265258">
        <w:rPr>
          <w:rFonts w:cs="Arial"/>
          <w:color w:val="000000"/>
          <w:shd w:val="clear" w:color="auto" w:fill="FFFFFF"/>
          <w:vertAlign w:val="superscript"/>
        </w:rPr>
        <w:t>28</w:t>
      </w:r>
      <w:r w:rsidR="00766EB4" w:rsidRPr="00766EB4">
        <w:rPr>
          <w:rFonts w:cs="Arial"/>
          <w:color w:val="000000"/>
          <w:shd w:val="clear" w:color="auto" w:fill="FFFFFF"/>
          <w:vertAlign w:val="superscript"/>
        </w:rPr>
        <w:fldChar w:fldCharType="end"/>
      </w:r>
      <w:r w:rsidR="00C86D28" w:rsidRPr="00C86D28">
        <w:rPr>
          <w:rFonts w:cs="Arial"/>
          <w:color w:val="000000"/>
          <w:shd w:val="clear" w:color="auto" w:fill="FFFFFF"/>
        </w:rPr>
        <w:t xml:space="preserve"> analysis proposes a series of immediate actions</w:t>
      </w:r>
      <w:r w:rsidR="0085154D">
        <w:rPr>
          <w:rFonts w:cs="Arial"/>
          <w:color w:val="000000"/>
          <w:shd w:val="clear" w:color="auto" w:fill="FFFFFF"/>
        </w:rPr>
        <w:t xml:space="preserve"> (</w:t>
      </w:r>
      <w:r w:rsidR="00CB7002">
        <w:rPr>
          <w:rFonts w:cs="Arial"/>
          <w:color w:val="000000"/>
          <w:shd w:val="clear" w:color="auto" w:fill="FFFFFF"/>
        </w:rPr>
        <w:t>presented below)</w:t>
      </w:r>
      <w:r w:rsidR="00C86D28" w:rsidRPr="00C86D28">
        <w:rPr>
          <w:rFonts w:cs="Arial"/>
          <w:color w:val="000000"/>
          <w:shd w:val="clear" w:color="auto" w:fill="FFFFFF"/>
        </w:rPr>
        <w:t xml:space="preserve"> that could be taken to reduce reliance on Russian gas, while enhancing the near-term resilience of the EU gas network and minimising the hardships for vulnerable consumers.</w:t>
      </w:r>
      <w:r w:rsidRPr="00C86D28">
        <w:rPr>
          <w:rFonts w:cs="Arial"/>
          <w:color w:val="000000"/>
          <w:shd w:val="clear" w:color="auto" w:fill="FFFFFF"/>
        </w:rPr>
        <w:t xml:space="preserve"> </w:t>
      </w:r>
    </w:p>
    <w:p w14:paraId="4E9AF651" w14:textId="0FE6ECE2" w:rsidR="00603C67" w:rsidRPr="00C86D28" w:rsidRDefault="00E53FBE" w:rsidP="00C86D28">
      <w:pPr>
        <w:shd w:val="clear" w:color="auto" w:fill="FFFFFF"/>
        <w:spacing w:before="100" w:beforeAutospacing="1" w:after="100" w:afterAutospacing="1" w:line="360" w:lineRule="auto"/>
        <w:jc w:val="both"/>
      </w:pPr>
      <w:r>
        <w:rPr>
          <w:b/>
          <w:bCs/>
          <w:noProof/>
        </w:rPr>
        <mc:AlternateContent>
          <mc:Choice Requires="wps">
            <w:drawing>
              <wp:anchor distT="0" distB="0" distL="114300" distR="114300" simplePos="0" relativeHeight="251658252" behindDoc="0" locked="0" layoutInCell="1" allowOverlap="1" wp14:anchorId="5727215F" wp14:editId="763F7E4B">
                <wp:simplePos x="0" y="0"/>
                <wp:positionH relativeFrom="column">
                  <wp:posOffset>297180</wp:posOffset>
                </wp:positionH>
                <wp:positionV relativeFrom="paragraph">
                  <wp:posOffset>450053</wp:posOffset>
                </wp:positionV>
                <wp:extent cx="5486400" cy="606056"/>
                <wp:effectExtent l="0" t="0" r="19050" b="22860"/>
                <wp:wrapNone/>
                <wp:docPr id="28" name="Rectangle 28"/>
                <wp:cNvGraphicFramePr/>
                <a:graphic xmlns:a="http://schemas.openxmlformats.org/drawingml/2006/main">
                  <a:graphicData uri="http://schemas.microsoft.com/office/word/2010/wordprocessingShape">
                    <wps:wsp>
                      <wps:cNvSpPr/>
                      <wps:spPr>
                        <a:xfrm>
                          <a:off x="0" y="0"/>
                          <a:ext cx="5486400" cy="606056"/>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1AFA2" id="Rectangle 28" o:spid="_x0000_s1026" style="position:absolute;margin-left:23.4pt;margin-top:35.45pt;width:6in;height:47.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" filled="f" strokecolor="#005962 [3204]" strokeweight="2pt"/>
            </w:pict>
          </mc:Fallback>
        </mc:AlternateContent>
      </w:r>
      <w:r w:rsidR="00455E53" w:rsidRPr="00C86D28">
        <w:rPr>
          <w:b/>
          <w:bCs/>
        </w:rPr>
        <w:t xml:space="preserve">A </w:t>
      </w:r>
      <w:r w:rsidR="00F26DEF" w:rsidRPr="00C86D28">
        <w:rPr>
          <w:b/>
          <w:bCs/>
        </w:rPr>
        <w:t>10 Point</w:t>
      </w:r>
      <w:r w:rsidR="00455E53" w:rsidRPr="00C86D28">
        <w:rPr>
          <w:b/>
          <w:bCs/>
        </w:rPr>
        <w:t xml:space="preserve"> plan</w:t>
      </w:r>
      <w:r w:rsidR="00F26DEF" w:rsidRPr="00C86D28">
        <w:rPr>
          <w:b/>
          <w:bCs/>
        </w:rPr>
        <w:t xml:space="preserve"> to reduce the European union’s reliance </w:t>
      </w:r>
      <w:r w:rsidR="006A323D" w:rsidRPr="00C86D28">
        <w:rPr>
          <w:b/>
          <w:bCs/>
        </w:rPr>
        <w:t xml:space="preserve">on Russia’s </w:t>
      </w:r>
      <w:r w:rsidR="00455E53" w:rsidRPr="00C86D28">
        <w:rPr>
          <w:b/>
          <w:bCs/>
        </w:rPr>
        <w:t>natural gas</w:t>
      </w:r>
      <w:bookmarkStart w:id="67" w:name="_Ref104470954"/>
      <w:r w:rsidR="004B7E1C" w:rsidRPr="00C86D28">
        <w:rPr>
          <w:rStyle w:val="Voetnootmarkering"/>
          <w:b/>
          <w:bCs/>
        </w:rPr>
        <w:footnoteReference w:id="29"/>
      </w:r>
      <w:bookmarkEnd w:id="67"/>
    </w:p>
    <w:p w14:paraId="0EFADFD1" w14:textId="13D7DF80" w:rsidR="004D12FF" w:rsidRDefault="006238BF" w:rsidP="008658FD">
      <w:pPr>
        <w:shd w:val="clear" w:color="auto" w:fill="FFFFFF"/>
        <w:spacing w:line="360" w:lineRule="auto"/>
        <w:ind w:left="562"/>
        <w:jc w:val="both"/>
        <w:rPr>
          <w:rFonts w:cs="Arial"/>
          <w:color w:val="000000"/>
          <w:shd w:val="clear" w:color="auto" w:fill="FFFFFF"/>
        </w:rPr>
      </w:pPr>
      <w:r w:rsidRPr="00942061">
        <w:rPr>
          <w:b/>
          <w:bCs/>
        </w:rPr>
        <w:t>Action 1</w:t>
      </w:r>
      <w:r>
        <w:t xml:space="preserve"> – No new </w:t>
      </w:r>
      <w:r w:rsidR="00DE7D9E">
        <w:t xml:space="preserve">gas supply contracts with </w:t>
      </w:r>
      <w:proofErr w:type="spellStart"/>
      <w:r w:rsidR="00DE7D9E">
        <w:t>Russia</w:t>
      </w:r>
      <w:r w:rsidR="002478DB">
        <w:t>.</w:t>
      </w:r>
      <w:r w:rsidR="004D12FF" w:rsidRPr="004D12FF">
        <w:rPr>
          <w:rStyle w:val="Zwaar"/>
          <w:rFonts w:cs="Arial"/>
          <w:color w:val="000000"/>
          <w:bdr w:val="none" w:sz="0" w:space="0" w:color="auto" w:frame="1"/>
          <w:shd w:val="clear" w:color="auto" w:fill="FFFFFF"/>
        </w:rPr>
        <w:t>Impact</w:t>
      </w:r>
      <w:proofErr w:type="spellEnd"/>
      <w:r w:rsidR="004D12FF" w:rsidRPr="004D12FF">
        <w:rPr>
          <w:rStyle w:val="Zwaar"/>
          <w:rFonts w:cs="Arial"/>
          <w:color w:val="000000"/>
          <w:bdr w:val="none" w:sz="0" w:space="0" w:color="auto" w:frame="1"/>
          <w:shd w:val="clear" w:color="auto" w:fill="FFFFFF"/>
        </w:rPr>
        <w:t>:</w:t>
      </w:r>
      <w:r w:rsidR="004D12FF" w:rsidRPr="004D12FF">
        <w:rPr>
          <w:rFonts w:cs="Arial"/>
          <w:color w:val="000000"/>
          <w:shd w:val="clear" w:color="auto" w:fill="FFFFFF"/>
        </w:rPr>
        <w:t> Taking advantage of expiring long-term contracts with Russia will reduce the contractual minimum take-or-pay levels for Russian imports and enable greater diversity of supply.</w:t>
      </w:r>
    </w:p>
    <w:p w14:paraId="16EB66AE" w14:textId="086CD991" w:rsidR="0025700E" w:rsidRPr="004D12FF" w:rsidRDefault="0025700E" w:rsidP="0025700E">
      <w:pPr>
        <w:shd w:val="clear" w:color="auto" w:fill="FFFFFF"/>
        <w:spacing w:line="360" w:lineRule="auto"/>
        <w:ind w:left="562"/>
        <w:jc w:val="both"/>
      </w:pPr>
    </w:p>
    <w:p w14:paraId="457CDACD" w14:textId="6B8A97A5" w:rsidR="00DE7D9E" w:rsidRDefault="00227533" w:rsidP="0025700E">
      <w:pPr>
        <w:shd w:val="clear" w:color="auto" w:fill="FFFFFF"/>
        <w:spacing w:line="360" w:lineRule="auto"/>
        <w:ind w:left="562"/>
        <w:jc w:val="both"/>
      </w:pPr>
      <w:r>
        <w:rPr>
          <w:b/>
          <w:bCs/>
          <w:noProof/>
        </w:rPr>
        <mc:AlternateContent>
          <mc:Choice Requires="wps">
            <w:drawing>
              <wp:anchor distT="0" distB="0" distL="114300" distR="114300" simplePos="0" relativeHeight="251658253" behindDoc="0" locked="0" layoutInCell="1" allowOverlap="1" wp14:anchorId="00ED6008" wp14:editId="03A6F2D9">
                <wp:simplePos x="0" y="0"/>
                <wp:positionH relativeFrom="margin">
                  <wp:posOffset>299882</wp:posOffset>
                </wp:positionH>
                <wp:positionV relativeFrom="paragraph">
                  <wp:posOffset>-143510</wp:posOffset>
                </wp:positionV>
                <wp:extent cx="5486400" cy="6096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486400" cy="6096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70208" id="Rectangle 30" o:spid="_x0000_s1026" style="position:absolute;margin-left:23.6pt;margin-top:-11.3pt;width:6in;height:48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" filled="f" strokecolor="#005962 [3204]" strokeweight="2pt">
                <w10:wrap anchorx="margin"/>
              </v:rect>
            </w:pict>
          </mc:Fallback>
        </mc:AlternateContent>
      </w:r>
      <w:r w:rsidR="00DE7D9E" w:rsidRPr="00942061">
        <w:rPr>
          <w:b/>
          <w:bCs/>
        </w:rPr>
        <w:t>Action 2</w:t>
      </w:r>
      <w:r w:rsidR="00DE7D9E">
        <w:t xml:space="preserve"> – </w:t>
      </w:r>
      <w:r w:rsidR="00A30B6D">
        <w:t>Replace Russian</w:t>
      </w:r>
      <w:r w:rsidR="00DE7D9E">
        <w:t xml:space="preserve"> supplies with </w:t>
      </w:r>
      <w:r w:rsidR="00A30B6D">
        <w:t>gas from alternative sources.</w:t>
      </w:r>
    </w:p>
    <w:p w14:paraId="4854D405" w14:textId="380CE1C7" w:rsidR="00942061" w:rsidRDefault="009C4CD7" w:rsidP="0025700E">
      <w:pPr>
        <w:shd w:val="clear" w:color="auto" w:fill="FFFFFF"/>
        <w:spacing w:line="360" w:lineRule="auto"/>
        <w:ind w:left="562"/>
        <w:jc w:val="both"/>
        <w:rPr>
          <w:rFonts w:cs="Arial"/>
          <w:color w:val="000000"/>
          <w:shd w:val="clear" w:color="auto" w:fill="FFFFFF"/>
        </w:rPr>
      </w:pPr>
      <w:r w:rsidRPr="000C189E">
        <w:rPr>
          <w:rStyle w:val="Zwaar"/>
          <w:rFonts w:cs="Arial"/>
          <w:color w:val="000000"/>
          <w:bdr w:val="none" w:sz="0" w:space="0" w:color="auto" w:frame="1"/>
          <w:shd w:val="clear" w:color="auto" w:fill="FFFFFF"/>
        </w:rPr>
        <w:t>Impact:</w:t>
      </w:r>
      <w:r w:rsidRPr="000C189E">
        <w:rPr>
          <w:rFonts w:cs="Arial"/>
          <w:color w:val="000000"/>
          <w:shd w:val="clear" w:color="auto" w:fill="FFFFFF"/>
        </w:rPr>
        <w:t xml:space="preserve"> Around 30 </w:t>
      </w:r>
      <w:proofErr w:type="spellStart"/>
      <w:r w:rsidRPr="000C189E">
        <w:rPr>
          <w:rFonts w:cs="Arial"/>
          <w:color w:val="000000"/>
          <w:shd w:val="clear" w:color="auto" w:fill="FFFFFF"/>
        </w:rPr>
        <w:t>bcm</w:t>
      </w:r>
      <w:proofErr w:type="spellEnd"/>
      <w:r w:rsidRPr="000C189E">
        <w:rPr>
          <w:rFonts w:cs="Arial"/>
          <w:color w:val="000000"/>
          <w:shd w:val="clear" w:color="auto" w:fill="FFFFFF"/>
        </w:rPr>
        <w:t xml:space="preserve"> in additional gas supply from non-Russian sources.</w:t>
      </w:r>
    </w:p>
    <w:p w14:paraId="1D494F89" w14:textId="0DE928B8" w:rsidR="0025700E" w:rsidRDefault="0025700E" w:rsidP="0025700E">
      <w:pPr>
        <w:shd w:val="clear" w:color="auto" w:fill="FFFFFF"/>
        <w:spacing w:line="360" w:lineRule="auto"/>
        <w:ind w:left="562"/>
        <w:jc w:val="both"/>
      </w:pPr>
      <w:r>
        <w:rPr>
          <w:b/>
          <w:bCs/>
          <w:noProof/>
        </w:rPr>
        <mc:AlternateContent>
          <mc:Choice Requires="wps">
            <w:drawing>
              <wp:anchor distT="0" distB="0" distL="114300" distR="114300" simplePos="0" relativeHeight="251658256" behindDoc="0" locked="0" layoutInCell="1" allowOverlap="1" wp14:anchorId="7544D0A7" wp14:editId="5C5C990F">
                <wp:simplePos x="0" y="0"/>
                <wp:positionH relativeFrom="column">
                  <wp:posOffset>295275</wp:posOffset>
                </wp:positionH>
                <wp:positionV relativeFrom="paragraph">
                  <wp:posOffset>137795</wp:posOffset>
                </wp:positionV>
                <wp:extent cx="5486400" cy="6477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5486400" cy="6477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E8380" id="Rectangle 37" o:spid="_x0000_s1026" style="position:absolute;margin-left:23.25pt;margin-top:10.85pt;width:6in;height:51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" filled="f" strokecolor="#005962 [3204]" strokeweight="2pt"/>
            </w:pict>
          </mc:Fallback>
        </mc:AlternateContent>
      </w:r>
    </w:p>
    <w:p w14:paraId="22BD9EDB" w14:textId="033EB41E" w:rsidR="00A30B6D" w:rsidRDefault="00A30B6D" w:rsidP="0025700E">
      <w:pPr>
        <w:shd w:val="clear" w:color="auto" w:fill="FFFFFF"/>
        <w:spacing w:line="360" w:lineRule="auto"/>
        <w:jc w:val="both"/>
      </w:pPr>
      <w:r w:rsidRPr="008E2792">
        <w:rPr>
          <w:b/>
          <w:bCs/>
        </w:rPr>
        <w:t>Action 3</w:t>
      </w:r>
      <w:r>
        <w:t xml:space="preserve"> – Introduce minimum </w:t>
      </w:r>
      <w:r w:rsidR="000F3147">
        <w:t>gas storage obligations to enhance market resilience</w:t>
      </w:r>
      <w:r w:rsidR="002478DB">
        <w:t>.</w:t>
      </w:r>
    </w:p>
    <w:p w14:paraId="31E47981" w14:textId="394872D8" w:rsidR="000C189E" w:rsidRDefault="006E6BEF" w:rsidP="00227533">
      <w:pPr>
        <w:shd w:val="clear" w:color="auto" w:fill="FFFFFF"/>
        <w:spacing w:line="360" w:lineRule="auto"/>
        <w:ind w:left="561"/>
        <w:jc w:val="both"/>
        <w:rPr>
          <w:rFonts w:cs="Arial"/>
          <w:color w:val="000000"/>
          <w:shd w:val="clear" w:color="auto" w:fill="FFFFFF"/>
        </w:rPr>
      </w:pPr>
      <w:r w:rsidRPr="006E6BEF">
        <w:rPr>
          <w:rStyle w:val="Zwaar"/>
          <w:rFonts w:cs="Arial"/>
          <w:color w:val="000000"/>
          <w:bdr w:val="none" w:sz="0" w:space="0" w:color="auto" w:frame="1"/>
          <w:shd w:val="clear" w:color="auto" w:fill="FFFFFF"/>
        </w:rPr>
        <w:t>Impact: </w:t>
      </w:r>
      <w:r w:rsidRPr="006E6BEF">
        <w:rPr>
          <w:rFonts w:cs="Arial"/>
          <w:color w:val="000000"/>
          <w:shd w:val="clear" w:color="auto" w:fill="FFFFFF"/>
        </w:rPr>
        <w:t>Enhances the resilience of the gas system, although higher injection requirements to refill storage in 2022 will add to gas demand and prop up gas prices.</w:t>
      </w:r>
    </w:p>
    <w:p w14:paraId="73739C91" w14:textId="5C583EFA" w:rsidR="0025700E" w:rsidRDefault="0025700E" w:rsidP="0025700E">
      <w:pPr>
        <w:shd w:val="clear" w:color="auto" w:fill="FFFFFF"/>
        <w:spacing w:line="360" w:lineRule="auto"/>
        <w:ind w:left="0"/>
        <w:jc w:val="both"/>
      </w:pPr>
      <w:r>
        <w:rPr>
          <w:b/>
          <w:bCs/>
          <w:noProof/>
        </w:rPr>
        <mc:AlternateContent>
          <mc:Choice Requires="wps">
            <w:drawing>
              <wp:anchor distT="0" distB="0" distL="114300" distR="114300" simplePos="0" relativeHeight="251658257" behindDoc="0" locked="0" layoutInCell="1" allowOverlap="1" wp14:anchorId="4ED4860A" wp14:editId="06F172E2">
                <wp:simplePos x="0" y="0"/>
                <wp:positionH relativeFrom="column">
                  <wp:posOffset>295275</wp:posOffset>
                </wp:positionH>
                <wp:positionV relativeFrom="paragraph">
                  <wp:posOffset>55880</wp:posOffset>
                </wp:positionV>
                <wp:extent cx="5486400" cy="7239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5486400" cy="7239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01CCA" id="Rectangle 38" o:spid="_x0000_s1026" style="position:absolute;margin-left:23.25pt;margin-top:4.4pt;width:6in;height:57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" filled="f" strokecolor="#005962 [3204]" strokeweight="2pt"/>
            </w:pict>
          </mc:Fallback>
        </mc:AlternateContent>
      </w:r>
    </w:p>
    <w:p w14:paraId="58C29569" w14:textId="04A6C78B" w:rsidR="000F3147" w:rsidRDefault="000F3147" w:rsidP="0025700E">
      <w:pPr>
        <w:shd w:val="clear" w:color="auto" w:fill="FFFFFF"/>
        <w:spacing w:line="360" w:lineRule="auto"/>
        <w:jc w:val="both"/>
      </w:pPr>
      <w:r w:rsidRPr="00D02A29">
        <w:rPr>
          <w:b/>
          <w:bCs/>
        </w:rPr>
        <w:t>Action 4</w:t>
      </w:r>
      <w:r>
        <w:t xml:space="preserve"> – Accelerate the deployment </w:t>
      </w:r>
      <w:r w:rsidR="002D04BC">
        <w:t>of new wind and solar projects</w:t>
      </w:r>
      <w:r w:rsidR="002478DB">
        <w:t>.</w:t>
      </w:r>
    </w:p>
    <w:p w14:paraId="055F2862" w14:textId="274CCB6D" w:rsidR="0025700E" w:rsidRDefault="009B6857" w:rsidP="0025700E">
      <w:pPr>
        <w:shd w:val="clear" w:color="auto" w:fill="FFFFFF"/>
        <w:spacing w:line="360" w:lineRule="auto"/>
        <w:ind w:left="562"/>
        <w:jc w:val="both"/>
        <w:rPr>
          <w:rFonts w:cs="Arial"/>
          <w:color w:val="000000"/>
          <w:shd w:val="clear" w:color="auto" w:fill="FFFFFF"/>
        </w:rPr>
      </w:pPr>
      <w:r w:rsidRPr="009B6857">
        <w:rPr>
          <w:rStyle w:val="Zwaar"/>
          <w:rFonts w:cs="Arial"/>
          <w:color w:val="000000"/>
          <w:bdr w:val="none" w:sz="0" w:space="0" w:color="auto" w:frame="1"/>
          <w:shd w:val="clear" w:color="auto" w:fill="FFFFFF"/>
        </w:rPr>
        <w:t>Impact:</w:t>
      </w:r>
      <w:r w:rsidRPr="009B6857">
        <w:rPr>
          <w:rFonts w:cs="Arial"/>
          <w:color w:val="000000"/>
          <w:shd w:val="clear" w:color="auto" w:fill="FFFFFF"/>
        </w:rPr>
        <w:t xml:space="preserve"> An additional 35 TWh of generation from new renewable projects over the next year, over and above the already anticipated growth from these sources, bringing down gas use by 6 </w:t>
      </w:r>
      <w:proofErr w:type="spellStart"/>
      <w:r w:rsidRPr="009B6857">
        <w:rPr>
          <w:rFonts w:cs="Arial"/>
          <w:color w:val="000000"/>
          <w:shd w:val="clear" w:color="auto" w:fill="FFFFFF"/>
        </w:rPr>
        <w:t>bcm</w:t>
      </w:r>
      <w:proofErr w:type="spellEnd"/>
      <w:r w:rsidRPr="009B6857">
        <w:rPr>
          <w:rFonts w:cs="Arial"/>
          <w:color w:val="000000"/>
          <w:shd w:val="clear" w:color="auto" w:fill="FFFFFF"/>
        </w:rPr>
        <w:t>.</w:t>
      </w:r>
    </w:p>
    <w:p w14:paraId="7E6E64B1" w14:textId="633BA2B5" w:rsidR="0025700E" w:rsidRDefault="0025700E" w:rsidP="00227533">
      <w:pPr>
        <w:shd w:val="clear" w:color="auto" w:fill="FFFFFF"/>
        <w:spacing w:line="360" w:lineRule="auto"/>
        <w:ind w:left="0"/>
        <w:jc w:val="both"/>
      </w:pPr>
      <w:r>
        <w:rPr>
          <w:b/>
          <w:bCs/>
          <w:noProof/>
        </w:rPr>
        <mc:AlternateContent>
          <mc:Choice Requires="wps">
            <w:drawing>
              <wp:anchor distT="0" distB="0" distL="114300" distR="114300" simplePos="0" relativeHeight="251658258" behindDoc="0" locked="0" layoutInCell="1" allowOverlap="1" wp14:anchorId="24E62A3F" wp14:editId="54F690EA">
                <wp:simplePos x="0" y="0"/>
                <wp:positionH relativeFrom="column">
                  <wp:posOffset>295275</wp:posOffset>
                </wp:positionH>
                <wp:positionV relativeFrom="paragraph">
                  <wp:posOffset>40639</wp:posOffset>
                </wp:positionV>
                <wp:extent cx="5486400" cy="7143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5486400" cy="7143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7DFAF" id="Rectangle 39" o:spid="_x0000_s1026" style="position:absolute;margin-left:23.25pt;margin-top:3.2pt;width:6in;height:56.2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" filled="f" strokecolor="#005962 [3204]" strokeweight="2pt"/>
            </w:pict>
          </mc:Fallback>
        </mc:AlternateContent>
      </w:r>
    </w:p>
    <w:p w14:paraId="582CCAE3" w14:textId="7F864D5A" w:rsidR="002D04BC" w:rsidRDefault="002D04BC" w:rsidP="0025700E">
      <w:pPr>
        <w:shd w:val="clear" w:color="auto" w:fill="FFFFFF"/>
        <w:spacing w:line="360" w:lineRule="auto"/>
        <w:ind w:left="562"/>
        <w:jc w:val="both"/>
      </w:pPr>
      <w:r w:rsidRPr="008A4A94">
        <w:rPr>
          <w:b/>
        </w:rPr>
        <w:t>Action 5</w:t>
      </w:r>
      <w:r w:rsidR="009A2136">
        <w:t xml:space="preserve"> </w:t>
      </w:r>
      <w:r>
        <w:t xml:space="preserve">- Maximise generation from existing </w:t>
      </w:r>
      <w:r w:rsidR="009775B1">
        <w:t>dispatchable low emission sources: bioenergy and nuclear</w:t>
      </w:r>
      <w:r w:rsidR="002478DB">
        <w:t>.</w:t>
      </w:r>
    </w:p>
    <w:p w14:paraId="3082C27C" w14:textId="20481D63" w:rsidR="009B6857" w:rsidRDefault="00F54CFB" w:rsidP="0025700E">
      <w:pPr>
        <w:shd w:val="clear" w:color="auto" w:fill="FFFFFF"/>
        <w:spacing w:line="360" w:lineRule="auto"/>
        <w:jc w:val="both"/>
        <w:rPr>
          <w:rFonts w:cs="Arial"/>
          <w:color w:val="000000"/>
          <w:shd w:val="clear" w:color="auto" w:fill="FFFFFF"/>
        </w:rPr>
      </w:pPr>
      <w:r w:rsidRPr="00F54CFB">
        <w:rPr>
          <w:rStyle w:val="Zwaar"/>
          <w:rFonts w:cs="Arial"/>
          <w:color w:val="000000"/>
          <w:bdr w:val="none" w:sz="0" w:space="0" w:color="auto" w:frame="1"/>
          <w:shd w:val="clear" w:color="auto" w:fill="FFFFFF"/>
        </w:rPr>
        <w:t>Impact: </w:t>
      </w:r>
      <w:r w:rsidRPr="00F54CFB">
        <w:rPr>
          <w:rFonts w:cs="Arial"/>
          <w:color w:val="000000"/>
          <w:shd w:val="clear" w:color="auto" w:fill="FFFFFF"/>
        </w:rPr>
        <w:t xml:space="preserve">An additional 70 TWh of power generation from existing dispatchable low emissions sources, reducing gas use for electricity by 13 </w:t>
      </w:r>
      <w:proofErr w:type="spellStart"/>
      <w:r w:rsidRPr="00F54CFB">
        <w:rPr>
          <w:rFonts w:cs="Arial"/>
          <w:color w:val="000000"/>
          <w:shd w:val="clear" w:color="auto" w:fill="FFFFFF"/>
        </w:rPr>
        <w:t>bcm</w:t>
      </w:r>
      <w:proofErr w:type="spellEnd"/>
      <w:r w:rsidRPr="00F54CFB">
        <w:rPr>
          <w:rFonts w:cs="Arial"/>
          <w:color w:val="000000"/>
          <w:shd w:val="clear" w:color="auto" w:fill="FFFFFF"/>
        </w:rPr>
        <w:t>.</w:t>
      </w:r>
    </w:p>
    <w:p w14:paraId="49DBBE9A" w14:textId="737AADA1" w:rsidR="0025700E" w:rsidRDefault="0056637F" w:rsidP="0056637F">
      <w:pPr>
        <w:shd w:val="clear" w:color="auto" w:fill="FFFFFF"/>
        <w:spacing w:line="360" w:lineRule="auto"/>
        <w:jc w:val="both"/>
      </w:pPr>
      <w:r w:rsidRPr="0025700E">
        <w:rPr>
          <w:b/>
          <w:bCs/>
          <w:noProof/>
        </w:rPr>
        <mc:AlternateContent>
          <mc:Choice Requires="wps">
            <w:drawing>
              <wp:anchor distT="0" distB="0" distL="114300" distR="114300" simplePos="0" relativeHeight="251658254" behindDoc="0" locked="0" layoutInCell="1" allowOverlap="1" wp14:anchorId="78EA7021" wp14:editId="1744054E">
                <wp:simplePos x="0" y="0"/>
                <wp:positionH relativeFrom="column">
                  <wp:posOffset>295275</wp:posOffset>
                </wp:positionH>
                <wp:positionV relativeFrom="paragraph">
                  <wp:posOffset>17780</wp:posOffset>
                </wp:positionV>
                <wp:extent cx="5486400" cy="7620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5486400" cy="762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85C64" id="Rectangle 32" o:spid="_x0000_s1026" style="position:absolute;margin-left:23.25pt;margin-top:1.4pt;width:6in;height:60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" filled="f" strokecolor="#005962 [3204]" strokeweight="2pt"/>
            </w:pict>
          </mc:Fallback>
        </mc:AlternateContent>
      </w:r>
    </w:p>
    <w:p w14:paraId="4676EDBA" w14:textId="61FA28B7" w:rsidR="002478DB" w:rsidRDefault="002478DB" w:rsidP="0025700E">
      <w:pPr>
        <w:shd w:val="clear" w:color="auto" w:fill="FFFFFF"/>
        <w:spacing w:line="360" w:lineRule="auto"/>
        <w:ind w:left="562"/>
        <w:jc w:val="both"/>
      </w:pPr>
      <w:r w:rsidRPr="0025700E">
        <w:rPr>
          <w:b/>
          <w:bCs/>
        </w:rPr>
        <w:t>Action 6</w:t>
      </w:r>
      <w:r>
        <w:t xml:space="preserve"> - Enact short-term measures to shelter vulnerable electricity consumers from high prices.</w:t>
      </w:r>
    </w:p>
    <w:p w14:paraId="47865D05" w14:textId="26F88A80" w:rsidR="00F54CFB" w:rsidRDefault="00716816" w:rsidP="0025700E">
      <w:pPr>
        <w:shd w:val="clear" w:color="auto" w:fill="FFFFFF"/>
        <w:spacing w:line="360" w:lineRule="auto"/>
        <w:ind w:left="562"/>
        <w:jc w:val="both"/>
        <w:rPr>
          <w:rFonts w:cs="Arial"/>
          <w:color w:val="000000"/>
          <w:shd w:val="clear" w:color="auto" w:fill="FFFFFF"/>
        </w:rPr>
      </w:pPr>
      <w:r w:rsidRPr="00716816">
        <w:rPr>
          <w:rStyle w:val="Zwaar"/>
          <w:rFonts w:cs="Arial"/>
          <w:color w:val="000000"/>
          <w:bdr w:val="none" w:sz="0" w:space="0" w:color="auto" w:frame="1"/>
          <w:shd w:val="clear" w:color="auto" w:fill="FFFFFF"/>
        </w:rPr>
        <w:t>Impact: </w:t>
      </w:r>
      <w:r w:rsidRPr="00716816">
        <w:rPr>
          <w:rFonts w:cs="Arial"/>
          <w:color w:val="000000"/>
          <w:shd w:val="clear" w:color="auto" w:fill="FFFFFF"/>
        </w:rPr>
        <w:t>Brings down energy bills for consumers even when natural gas prices remain high, making available up to EUR 200 billion to cushion impacts on vulnerable groups.</w:t>
      </w:r>
    </w:p>
    <w:p w14:paraId="1B209B5A" w14:textId="27E62027" w:rsidR="0025700E" w:rsidRDefault="0025700E" w:rsidP="0025700E">
      <w:pPr>
        <w:shd w:val="clear" w:color="auto" w:fill="FFFFFF"/>
        <w:spacing w:line="360" w:lineRule="auto"/>
        <w:ind w:left="562"/>
        <w:jc w:val="both"/>
      </w:pPr>
      <w:r w:rsidRPr="00D02A29">
        <w:rPr>
          <w:b/>
          <w:bCs/>
          <w:noProof/>
        </w:rPr>
        <mc:AlternateContent>
          <mc:Choice Requires="wps">
            <w:drawing>
              <wp:anchor distT="0" distB="0" distL="114300" distR="114300" simplePos="0" relativeHeight="251658255" behindDoc="0" locked="0" layoutInCell="1" allowOverlap="1" wp14:anchorId="55970891" wp14:editId="71DCF06A">
                <wp:simplePos x="0" y="0"/>
                <wp:positionH relativeFrom="column">
                  <wp:posOffset>295275</wp:posOffset>
                </wp:positionH>
                <wp:positionV relativeFrom="paragraph">
                  <wp:posOffset>44450</wp:posOffset>
                </wp:positionV>
                <wp:extent cx="5486400" cy="5048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5486400" cy="50482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01E0A" id="Rectangle 35" o:spid="_x0000_s1026" style="position:absolute;margin-left:23.25pt;margin-top:3.5pt;width:6in;height:39.7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" filled="f" strokecolor="#005962 [3204]" strokeweight="2pt"/>
            </w:pict>
          </mc:Fallback>
        </mc:AlternateContent>
      </w:r>
    </w:p>
    <w:p w14:paraId="2B1ACEF3" w14:textId="0CF1A32B" w:rsidR="009A2136" w:rsidRDefault="009A2136" w:rsidP="0025700E">
      <w:pPr>
        <w:shd w:val="clear" w:color="auto" w:fill="FFFFFF"/>
        <w:spacing w:line="360" w:lineRule="auto"/>
        <w:jc w:val="both"/>
      </w:pPr>
      <w:r w:rsidRPr="0025700E">
        <w:rPr>
          <w:b/>
          <w:bCs/>
        </w:rPr>
        <w:t>Action 7</w:t>
      </w:r>
      <w:r>
        <w:t xml:space="preserve"> - Speed up the replacement of gas boilers with heat pumps. </w:t>
      </w:r>
    </w:p>
    <w:p w14:paraId="5AA88DB1" w14:textId="77EEB8F8" w:rsidR="0025700E" w:rsidRPr="005869D8" w:rsidRDefault="00D10240" w:rsidP="005869D8">
      <w:pPr>
        <w:shd w:val="clear" w:color="auto" w:fill="FFFFFF"/>
        <w:spacing w:line="360" w:lineRule="auto"/>
        <w:jc w:val="both"/>
        <w:rPr>
          <w:rFonts w:cs="Arial"/>
          <w:color w:val="000000"/>
          <w:shd w:val="clear" w:color="auto" w:fill="FFFFFF"/>
        </w:rPr>
      </w:pPr>
      <w:r w:rsidRPr="00D10240">
        <w:rPr>
          <w:rStyle w:val="Zwaar"/>
          <w:rFonts w:cs="Arial"/>
          <w:color w:val="000000"/>
          <w:bdr w:val="none" w:sz="0" w:space="0" w:color="auto" w:frame="1"/>
          <w:shd w:val="clear" w:color="auto" w:fill="FFFFFF"/>
        </w:rPr>
        <w:t>Impact:</w:t>
      </w:r>
      <w:r w:rsidRPr="00D10240">
        <w:rPr>
          <w:rFonts w:cs="Arial"/>
          <w:color w:val="000000"/>
          <w:shd w:val="clear" w:color="auto" w:fill="FFFFFF"/>
        </w:rPr>
        <w:t xml:space="preserve"> Reduces gas use for heating by an additional 2 </w:t>
      </w:r>
      <w:proofErr w:type="spellStart"/>
      <w:r w:rsidRPr="00D10240">
        <w:rPr>
          <w:rFonts w:cs="Arial"/>
          <w:color w:val="000000"/>
          <w:shd w:val="clear" w:color="auto" w:fill="FFFFFF"/>
        </w:rPr>
        <w:t>bcm</w:t>
      </w:r>
      <w:proofErr w:type="spellEnd"/>
      <w:r w:rsidRPr="00D10240">
        <w:rPr>
          <w:rFonts w:cs="Arial"/>
          <w:color w:val="000000"/>
          <w:shd w:val="clear" w:color="auto" w:fill="FFFFFF"/>
        </w:rPr>
        <w:t xml:space="preserve"> in one year.</w:t>
      </w:r>
    </w:p>
    <w:p w14:paraId="067CFD83" w14:textId="1C3B0346" w:rsidR="004C3172" w:rsidRDefault="00D92936" w:rsidP="00D92936">
      <w:pPr>
        <w:shd w:val="clear" w:color="auto" w:fill="FFFFFF"/>
        <w:spacing w:before="120" w:line="360" w:lineRule="auto"/>
        <w:jc w:val="both"/>
      </w:pPr>
      <w:r>
        <w:rPr>
          <w:b/>
          <w:bCs/>
          <w:noProof/>
        </w:rPr>
        <mc:AlternateContent>
          <mc:Choice Requires="wps">
            <w:drawing>
              <wp:anchor distT="0" distB="0" distL="114300" distR="114300" simplePos="0" relativeHeight="251658261" behindDoc="0" locked="0" layoutInCell="1" allowOverlap="1" wp14:anchorId="486C8BED" wp14:editId="6093E5C1">
                <wp:simplePos x="0" y="0"/>
                <wp:positionH relativeFrom="column">
                  <wp:posOffset>300355</wp:posOffset>
                </wp:positionH>
                <wp:positionV relativeFrom="paragraph">
                  <wp:posOffset>18253</wp:posOffset>
                </wp:positionV>
                <wp:extent cx="5486400" cy="654050"/>
                <wp:effectExtent l="0" t="0" r="19050" b="12700"/>
                <wp:wrapNone/>
                <wp:docPr id="33" name="Rectangle 33"/>
                <wp:cNvGraphicFramePr/>
                <a:graphic xmlns:a="http://schemas.openxmlformats.org/drawingml/2006/main">
                  <a:graphicData uri="http://schemas.microsoft.com/office/word/2010/wordprocessingShape">
                    <wps:wsp>
                      <wps:cNvSpPr/>
                      <wps:spPr>
                        <a:xfrm>
                          <a:off x="0" y="0"/>
                          <a:ext cx="54864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74F3D" id="Rectangle 33" o:spid="_x0000_s1026" style="position:absolute;margin-left:23.65pt;margin-top:1.45pt;width:6in;height:51.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" filled="f" strokecolor="#005962 [3204]" strokeweight="2pt"/>
            </w:pict>
          </mc:Fallback>
        </mc:AlternateContent>
      </w:r>
      <w:r w:rsidR="00507225" w:rsidRPr="0025700E">
        <w:rPr>
          <w:b/>
          <w:bCs/>
        </w:rPr>
        <w:t>Action 8</w:t>
      </w:r>
      <w:r w:rsidR="00507225">
        <w:t xml:space="preserve"> - Accelerate energy efficiency improvements in buildings and industry.</w:t>
      </w:r>
    </w:p>
    <w:p w14:paraId="212F95D7" w14:textId="2856BA6B" w:rsidR="0025700E" w:rsidRPr="00F92A64" w:rsidRDefault="00F92A64" w:rsidP="004524AF">
      <w:pPr>
        <w:shd w:val="clear" w:color="auto" w:fill="FFFFFF"/>
        <w:spacing w:line="360" w:lineRule="auto"/>
        <w:jc w:val="both"/>
      </w:pPr>
      <w:r w:rsidRPr="00F92A64">
        <w:rPr>
          <w:rStyle w:val="Zwaar"/>
          <w:rFonts w:cs="Arial"/>
          <w:color w:val="000000"/>
          <w:bdr w:val="none" w:sz="0" w:space="0" w:color="auto" w:frame="1"/>
          <w:shd w:val="clear" w:color="auto" w:fill="FFFFFF"/>
        </w:rPr>
        <w:t>Impact:</w:t>
      </w:r>
      <w:r w:rsidRPr="00F92A64">
        <w:rPr>
          <w:rFonts w:cs="Arial"/>
          <w:color w:val="000000"/>
          <w:shd w:val="clear" w:color="auto" w:fill="FFFFFF"/>
        </w:rPr>
        <w:t xml:space="preserve"> Reduces gas consumption for heat by close to an additional 2 </w:t>
      </w:r>
      <w:proofErr w:type="spellStart"/>
      <w:r w:rsidRPr="00F92A64">
        <w:rPr>
          <w:rFonts w:cs="Arial"/>
          <w:color w:val="000000"/>
          <w:shd w:val="clear" w:color="auto" w:fill="FFFFFF"/>
        </w:rPr>
        <w:t>bcm</w:t>
      </w:r>
      <w:proofErr w:type="spellEnd"/>
      <w:r w:rsidRPr="00F92A64">
        <w:rPr>
          <w:rFonts w:cs="Arial"/>
          <w:color w:val="000000"/>
          <w:shd w:val="clear" w:color="auto" w:fill="FFFFFF"/>
        </w:rPr>
        <w:t xml:space="preserve"> within a year, lowering energy bills, enhancing comfort</w:t>
      </w:r>
      <w:r w:rsidR="00267F88" w:rsidRPr="00F92A64">
        <w:rPr>
          <w:rFonts w:cs="Arial"/>
          <w:color w:val="000000"/>
          <w:shd w:val="clear" w:color="auto" w:fill="FFFFFF"/>
        </w:rPr>
        <w:t>,</w:t>
      </w:r>
      <w:r w:rsidRPr="00F92A64">
        <w:rPr>
          <w:rFonts w:cs="Arial"/>
          <w:color w:val="000000"/>
          <w:shd w:val="clear" w:color="auto" w:fill="FFFFFF"/>
        </w:rPr>
        <w:t xml:space="preserve"> and boosting industrial competitiveness.</w:t>
      </w:r>
    </w:p>
    <w:p w14:paraId="51F84E06" w14:textId="21F58ABD" w:rsidR="00507225" w:rsidRDefault="00483C28" w:rsidP="003D3489">
      <w:pPr>
        <w:shd w:val="clear" w:color="auto" w:fill="FFFFFF"/>
        <w:spacing w:before="120"/>
        <w:jc w:val="both"/>
      </w:pPr>
      <w:r>
        <w:rPr>
          <w:b/>
          <w:bCs/>
          <w:noProof/>
        </w:rPr>
        <mc:AlternateContent>
          <mc:Choice Requires="wps">
            <w:drawing>
              <wp:anchor distT="0" distB="0" distL="114300" distR="114300" simplePos="0" relativeHeight="251658259" behindDoc="0" locked="0" layoutInCell="1" allowOverlap="1" wp14:anchorId="179D4BA5" wp14:editId="6991A128">
                <wp:simplePos x="0" y="0"/>
                <wp:positionH relativeFrom="column">
                  <wp:posOffset>298450</wp:posOffset>
                </wp:positionH>
                <wp:positionV relativeFrom="paragraph">
                  <wp:posOffset>58258</wp:posOffset>
                </wp:positionV>
                <wp:extent cx="5486400" cy="635000"/>
                <wp:effectExtent l="0" t="0" r="19050" b="12700"/>
                <wp:wrapNone/>
                <wp:docPr id="45" name="Rectangle 45"/>
                <wp:cNvGraphicFramePr/>
                <a:graphic xmlns:a="http://schemas.openxmlformats.org/drawingml/2006/main">
                  <a:graphicData uri="http://schemas.microsoft.com/office/word/2010/wordprocessingShape">
                    <wps:wsp>
                      <wps:cNvSpPr/>
                      <wps:spPr>
                        <a:xfrm>
                          <a:off x="0" y="0"/>
                          <a:ext cx="5486400" cy="635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21841A" id="Rectangle 45" o:spid="_x0000_s1026" style="position:absolute;margin-left:23.5pt;margin-top:4.6pt;width:6in;height:50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" filled="f" strokecolor="#005962 [3204]" strokeweight="2pt"/>
            </w:pict>
          </mc:Fallback>
        </mc:AlternateContent>
      </w:r>
      <w:r w:rsidR="00507225" w:rsidRPr="0025700E">
        <w:rPr>
          <w:b/>
          <w:bCs/>
        </w:rPr>
        <w:t>Action 9</w:t>
      </w:r>
      <w:r w:rsidR="00507225">
        <w:t xml:space="preserve"> - Encourage a temporary thermostat adjustment by consumers.</w:t>
      </w:r>
    </w:p>
    <w:p w14:paraId="01CFE97E" w14:textId="724377D5" w:rsidR="0025700E" w:rsidRPr="00483C28" w:rsidRDefault="000A23BC" w:rsidP="003D3489">
      <w:pPr>
        <w:shd w:val="clear" w:color="auto" w:fill="FFFFFF"/>
        <w:spacing w:after="120"/>
        <w:jc w:val="both"/>
        <w:rPr>
          <w:rFonts w:cs="Arial"/>
          <w:color w:val="000000"/>
          <w:shd w:val="clear" w:color="auto" w:fill="FFFFFF"/>
        </w:rPr>
      </w:pPr>
      <w:r w:rsidRPr="000A23BC">
        <w:rPr>
          <w:rStyle w:val="Zwaar"/>
          <w:rFonts w:cs="Arial"/>
          <w:color w:val="000000"/>
          <w:bdr w:val="none" w:sz="0" w:space="0" w:color="auto" w:frame="1"/>
          <w:shd w:val="clear" w:color="auto" w:fill="FFFFFF"/>
        </w:rPr>
        <w:t>Impact:</w:t>
      </w:r>
      <w:r w:rsidRPr="000A23BC">
        <w:rPr>
          <w:rFonts w:cs="Arial"/>
          <w:color w:val="000000"/>
          <w:shd w:val="clear" w:color="auto" w:fill="FFFFFF"/>
        </w:rPr>
        <w:t xml:space="preserve"> Turning down the thermostat for buildings’ heating by just 1°C would reduce gas demand by some 10 </w:t>
      </w:r>
      <w:proofErr w:type="spellStart"/>
      <w:r w:rsidRPr="000A23BC">
        <w:rPr>
          <w:rFonts w:cs="Arial"/>
          <w:color w:val="000000"/>
          <w:shd w:val="clear" w:color="auto" w:fill="FFFFFF"/>
        </w:rPr>
        <w:t>bcm</w:t>
      </w:r>
      <w:proofErr w:type="spellEnd"/>
      <w:r w:rsidRPr="000A23BC">
        <w:rPr>
          <w:rFonts w:cs="Arial"/>
          <w:color w:val="000000"/>
          <w:shd w:val="clear" w:color="auto" w:fill="FFFFFF"/>
        </w:rPr>
        <w:t xml:space="preserve"> a year.</w:t>
      </w:r>
    </w:p>
    <w:p w14:paraId="6E422C9A" w14:textId="08C07E19" w:rsidR="00507225" w:rsidRDefault="00483C28" w:rsidP="00483C28">
      <w:pPr>
        <w:shd w:val="clear" w:color="auto" w:fill="FFFFFF"/>
        <w:spacing w:before="120" w:after="120"/>
        <w:jc w:val="both"/>
      </w:pPr>
      <w:r>
        <w:rPr>
          <w:b/>
          <w:bCs/>
          <w:noProof/>
        </w:rPr>
        <mc:AlternateContent>
          <mc:Choice Requires="wps">
            <w:drawing>
              <wp:anchor distT="0" distB="0" distL="114300" distR="114300" simplePos="0" relativeHeight="251658260" behindDoc="0" locked="0" layoutInCell="1" allowOverlap="1" wp14:anchorId="52173803" wp14:editId="7113DD2A">
                <wp:simplePos x="0" y="0"/>
                <wp:positionH relativeFrom="column">
                  <wp:posOffset>295275</wp:posOffset>
                </wp:positionH>
                <wp:positionV relativeFrom="paragraph">
                  <wp:posOffset>19050</wp:posOffset>
                </wp:positionV>
                <wp:extent cx="5486400" cy="8382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5486400" cy="8382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CF37E" id="Rectangle 48" o:spid="_x0000_s1026" style="position:absolute;margin-left:23.25pt;margin-top:1.5pt;width:6in;height:66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" filled="f" strokecolor="#005962 [3204]" strokeweight="2pt"/>
            </w:pict>
          </mc:Fallback>
        </mc:AlternateContent>
      </w:r>
      <w:r w:rsidR="00507225" w:rsidRPr="0025700E">
        <w:rPr>
          <w:b/>
          <w:bCs/>
        </w:rPr>
        <w:t>Action 10</w:t>
      </w:r>
      <w:r w:rsidR="00507225">
        <w:t xml:space="preserve"> - </w:t>
      </w:r>
      <w:r w:rsidR="003F3A48">
        <w:t>Step up efforts to diversify and decarbonise sources of power system flexibility.</w:t>
      </w:r>
    </w:p>
    <w:p w14:paraId="46F545B8" w14:textId="53132907" w:rsidR="006238BF" w:rsidRPr="00267F88" w:rsidRDefault="007B57DB" w:rsidP="0025700E">
      <w:pPr>
        <w:shd w:val="clear" w:color="auto" w:fill="FFFFFF"/>
        <w:spacing w:line="360" w:lineRule="auto"/>
        <w:jc w:val="both"/>
        <w:rPr>
          <w:b/>
        </w:rPr>
      </w:pPr>
      <w:r w:rsidRPr="007B57DB">
        <w:rPr>
          <w:rStyle w:val="Zwaar"/>
          <w:rFonts w:cs="Arial"/>
          <w:color w:val="000000"/>
          <w:bdr w:val="none" w:sz="0" w:space="0" w:color="auto" w:frame="1"/>
          <w:shd w:val="clear" w:color="auto" w:fill="FFFFFF"/>
        </w:rPr>
        <w:t>Impact:</w:t>
      </w:r>
      <w:r w:rsidRPr="007B57DB">
        <w:rPr>
          <w:rFonts w:cs="Arial"/>
          <w:color w:val="000000"/>
          <w:shd w:val="clear" w:color="auto" w:fill="FFFFFF"/>
        </w:rPr>
        <w:t> A major near-term push on innovation can, over time, loosen the strong links between natural gas supply and Europe’s electricity security. Real-time electricity price signals can unlock more flexible demand, in turn reducing expensive and gas-intensive peak supply needs.</w:t>
      </w:r>
    </w:p>
    <w:p w14:paraId="5C6D9C4F" w14:textId="15B6E60F" w:rsidR="00360C5C" w:rsidRPr="006300CB" w:rsidRDefault="00DE2F26" w:rsidP="00620A72">
      <w:pPr>
        <w:pStyle w:val="Kop2"/>
        <w:spacing w:before="240"/>
        <w:ind w:left="1208" w:hanging="357"/>
        <w:contextualSpacing w:val="0"/>
        <w:rPr>
          <w:bCs/>
          <w:color w:val="005962" w:themeColor="accent1"/>
        </w:rPr>
      </w:pPr>
      <w:bookmarkStart w:id="68" w:name="_Toc104738347"/>
      <w:bookmarkStart w:id="69" w:name="_Toc114565051"/>
      <w:r w:rsidRPr="006300CB">
        <w:rPr>
          <w:color w:val="005962" w:themeColor="accent1"/>
        </w:rPr>
        <w:t xml:space="preserve">EU </w:t>
      </w:r>
      <w:r w:rsidR="00812F73" w:rsidRPr="006300CB">
        <w:rPr>
          <w:color w:val="005962" w:themeColor="accent1"/>
        </w:rPr>
        <w:t>and national g</w:t>
      </w:r>
      <w:r w:rsidR="00360C5C" w:rsidRPr="006300CB">
        <w:rPr>
          <w:color w:val="005962" w:themeColor="accent1"/>
        </w:rPr>
        <w:t>as quality standards</w:t>
      </w:r>
      <w:bookmarkEnd w:id="68"/>
      <w:bookmarkEnd w:id="69"/>
    </w:p>
    <w:p w14:paraId="02AC8F71" w14:textId="1F00E768" w:rsidR="00A3661E" w:rsidRDefault="00812F73" w:rsidP="00620A72">
      <w:pPr>
        <w:tabs>
          <w:tab w:val="left" w:pos="90"/>
        </w:tabs>
        <w:spacing w:before="120" w:after="120"/>
        <w:ind w:left="544"/>
        <w:jc w:val="both"/>
      </w:pPr>
      <w:r>
        <w:t xml:space="preserve">The transport, distribution and supply of </w:t>
      </w:r>
      <w:r w:rsidR="00C1674E" w:rsidRPr="00C1674E">
        <w:t xml:space="preserve">methane </w:t>
      </w:r>
      <w:r>
        <w:t xml:space="preserve">via the public network </w:t>
      </w:r>
      <w:r w:rsidR="00C1674E" w:rsidRPr="00C1674E">
        <w:t xml:space="preserve">is </w:t>
      </w:r>
      <w:r>
        <w:t>subject</w:t>
      </w:r>
      <w:r w:rsidR="00C1674E" w:rsidRPr="00C1674E">
        <w:t xml:space="preserve"> to gas quality standards</w:t>
      </w:r>
      <w:r>
        <w:t xml:space="preserve"> and specifications</w:t>
      </w:r>
      <w:r w:rsidR="00C1674E" w:rsidRPr="00C1674E">
        <w:t xml:space="preserve">. However, the current </w:t>
      </w:r>
      <w:r w:rsidR="00C1558C">
        <w:t xml:space="preserve">technical requirements may hinder </w:t>
      </w:r>
      <w:r w:rsidR="00C1674E" w:rsidRPr="00C1674E">
        <w:t xml:space="preserve">the injection of renewable and low-carbon gases </w:t>
      </w:r>
      <w:r w:rsidR="00C1558C">
        <w:t xml:space="preserve">into the </w:t>
      </w:r>
      <w:r w:rsidR="005847F4">
        <w:t xml:space="preserve">existing methane </w:t>
      </w:r>
      <w:r w:rsidR="00C1558C">
        <w:t>grid</w:t>
      </w:r>
      <w:r w:rsidR="00C1674E" w:rsidRPr="00C1674E">
        <w:t xml:space="preserve">. </w:t>
      </w:r>
      <w:r w:rsidR="00C1558C">
        <w:t xml:space="preserve">The </w:t>
      </w:r>
      <w:r w:rsidR="005847F4">
        <w:t xml:space="preserve">current technical </w:t>
      </w:r>
      <w:r w:rsidR="00C1558C">
        <w:t xml:space="preserve">specifications are </w:t>
      </w:r>
      <w:r w:rsidR="005847F4">
        <w:t xml:space="preserve">mainly </w:t>
      </w:r>
      <w:r w:rsidR="00C1558C">
        <w:t>based on</w:t>
      </w:r>
      <w:r w:rsidR="00C1674E" w:rsidRPr="00C1674E">
        <w:t xml:space="preserve"> non-binding CEN standards at the European level, </w:t>
      </w:r>
      <w:r w:rsidR="00A3661E">
        <w:t xml:space="preserve">and divergences in national </w:t>
      </w:r>
      <w:r w:rsidR="00F93A96">
        <w:t xml:space="preserve">specifications or actual quality levels </w:t>
      </w:r>
      <w:r w:rsidR="00A3661E">
        <w:t xml:space="preserve">may hinder </w:t>
      </w:r>
      <w:r w:rsidR="00C1674E" w:rsidRPr="00C1674E">
        <w:t xml:space="preserve">cross-border </w:t>
      </w:r>
      <w:r w:rsidR="00A3661E">
        <w:t>flows.</w:t>
      </w:r>
      <w:r w:rsidR="00F93A96">
        <w:t xml:space="preserve"> As</w:t>
      </w:r>
      <w:r w:rsidR="00F93A96" w:rsidRPr="00C1674E">
        <w:t xml:space="preserve"> </w:t>
      </w:r>
      <w:r w:rsidR="006101D5">
        <w:t xml:space="preserve">some types of </w:t>
      </w:r>
      <w:r w:rsidR="00F93A96" w:rsidRPr="00C1674E">
        <w:t xml:space="preserve">renewable </w:t>
      </w:r>
      <w:r w:rsidR="00F93A96">
        <w:t xml:space="preserve">and </w:t>
      </w:r>
      <w:r w:rsidR="00B75357">
        <w:t xml:space="preserve">decarbonised gases </w:t>
      </w:r>
      <w:r w:rsidR="00F93A96" w:rsidRPr="00C1674E">
        <w:t>do not</w:t>
      </w:r>
      <w:r w:rsidR="006101D5">
        <w:t xml:space="preserve"> </w:t>
      </w:r>
      <w:r w:rsidR="00F93A96" w:rsidRPr="00C1674E">
        <w:t>meet the</w:t>
      </w:r>
      <w:r w:rsidR="00B75357">
        <w:t xml:space="preserve"> </w:t>
      </w:r>
      <w:r w:rsidR="006101D5">
        <w:t xml:space="preserve">technical </w:t>
      </w:r>
      <w:r w:rsidR="00F93A96" w:rsidRPr="00C1674E">
        <w:t>requirements</w:t>
      </w:r>
      <w:r w:rsidR="005847F4">
        <w:t xml:space="preserve"> for methane</w:t>
      </w:r>
      <w:r w:rsidR="00F93A96" w:rsidRPr="00C1674E">
        <w:t xml:space="preserve">, their injection </w:t>
      </w:r>
      <w:r w:rsidR="00B75357">
        <w:t xml:space="preserve">into the </w:t>
      </w:r>
      <w:r w:rsidR="005847F4">
        <w:t xml:space="preserve">existing methane </w:t>
      </w:r>
      <w:r w:rsidR="00B75357">
        <w:t xml:space="preserve">grid </w:t>
      </w:r>
      <w:r w:rsidR="006101D5">
        <w:t xml:space="preserve">is </w:t>
      </w:r>
      <w:r w:rsidR="00F93A96" w:rsidRPr="00C1674E">
        <w:t>hindered</w:t>
      </w:r>
      <w:r w:rsidR="006101D5">
        <w:t xml:space="preserve"> or constrained</w:t>
      </w:r>
      <w:r w:rsidR="00B75357">
        <w:t>.</w:t>
      </w:r>
    </w:p>
    <w:p w14:paraId="3E574F1F" w14:textId="7581FC08" w:rsidR="00B75357" w:rsidRPr="00FE787A" w:rsidRDefault="00A3661E" w:rsidP="00FE787A">
      <w:pPr>
        <w:pStyle w:val="Normaalweb"/>
        <w:shd w:val="clear" w:color="auto" w:fill="FFFFFF"/>
        <w:spacing w:before="240" w:beforeAutospacing="0" w:after="0" w:afterAutospacing="0" w:line="360" w:lineRule="auto"/>
        <w:ind w:left="567"/>
        <w:jc w:val="both"/>
        <w:rPr>
          <w:rFonts w:ascii="Trebuchet MS" w:hAnsi="Trebuchet MS" w:cs="Arial"/>
          <w:color w:val="202020"/>
          <w:sz w:val="18"/>
          <w:szCs w:val="18"/>
          <w:lang w:val="en-IN" w:eastAsia="en-IN"/>
        </w:rPr>
      </w:pPr>
      <w:r w:rsidRPr="00E84866">
        <w:rPr>
          <w:rFonts w:ascii="Trebuchet MS" w:hAnsi="Trebuchet MS"/>
          <w:b/>
          <w:bCs/>
          <w:sz w:val="18"/>
          <w:szCs w:val="18"/>
        </w:rPr>
        <w:t xml:space="preserve">Biogas </w:t>
      </w:r>
      <w:r w:rsidRPr="00E84866">
        <w:rPr>
          <w:rFonts w:ascii="Trebuchet MS" w:hAnsi="Trebuchet MS"/>
          <w:sz w:val="18"/>
          <w:szCs w:val="18"/>
        </w:rPr>
        <w:t xml:space="preserve">does not comply with the technical gas quality specifications of </w:t>
      </w:r>
      <w:r w:rsidR="00590BE8" w:rsidRPr="00E84866">
        <w:rPr>
          <w:rFonts w:ascii="Trebuchet MS" w:hAnsi="Trebuchet MS"/>
          <w:sz w:val="18"/>
          <w:szCs w:val="18"/>
        </w:rPr>
        <w:t xml:space="preserve">gas </w:t>
      </w:r>
      <w:r w:rsidRPr="00E84866">
        <w:rPr>
          <w:rFonts w:ascii="Trebuchet MS" w:hAnsi="Trebuchet MS"/>
          <w:sz w:val="18"/>
          <w:szCs w:val="18"/>
        </w:rPr>
        <w:t xml:space="preserve">TSOs/DSOs and </w:t>
      </w:r>
      <w:r w:rsidR="00590BE8" w:rsidRPr="00E84866">
        <w:rPr>
          <w:rFonts w:ascii="Trebuchet MS" w:hAnsi="Trebuchet MS"/>
          <w:sz w:val="18"/>
          <w:szCs w:val="18"/>
        </w:rPr>
        <w:t>hence</w:t>
      </w:r>
      <w:r w:rsidRPr="00E84866">
        <w:rPr>
          <w:rFonts w:ascii="Trebuchet MS" w:hAnsi="Trebuchet MS"/>
          <w:sz w:val="18"/>
          <w:szCs w:val="18"/>
        </w:rPr>
        <w:t xml:space="preserve"> </w:t>
      </w:r>
      <w:r w:rsidR="00FE2A74" w:rsidRPr="00E84866">
        <w:rPr>
          <w:rFonts w:ascii="Trebuchet MS" w:hAnsi="Trebuchet MS"/>
          <w:sz w:val="18"/>
          <w:szCs w:val="18"/>
        </w:rPr>
        <w:t>can</w:t>
      </w:r>
      <w:r w:rsidRPr="00E84866">
        <w:rPr>
          <w:rFonts w:ascii="Trebuchet MS" w:hAnsi="Trebuchet MS"/>
          <w:sz w:val="18"/>
          <w:szCs w:val="18"/>
        </w:rPr>
        <w:t>not be injected</w:t>
      </w:r>
      <w:r w:rsidR="00E76BC2">
        <w:rPr>
          <w:rFonts w:ascii="Trebuchet MS" w:hAnsi="Trebuchet MS"/>
          <w:sz w:val="18"/>
          <w:szCs w:val="18"/>
        </w:rPr>
        <w:t xml:space="preserve"> as such</w:t>
      </w:r>
      <w:r w:rsidRPr="00E84866">
        <w:rPr>
          <w:rFonts w:ascii="Trebuchet MS" w:hAnsi="Trebuchet MS"/>
          <w:sz w:val="18"/>
          <w:szCs w:val="18"/>
        </w:rPr>
        <w:t xml:space="preserve">. The chemical composition of raw biogas includes 50%-75% methane (CH4), 25%-50% </w:t>
      </w:r>
      <w:r w:rsidRPr="00E84866">
        <w:rPr>
          <w:rFonts w:ascii="Trebuchet MS" w:hAnsi="Trebuchet MS"/>
          <w:sz w:val="18"/>
          <w:szCs w:val="18"/>
        </w:rPr>
        <w:lastRenderedPageBreak/>
        <w:t>carbon dioxide (CO</w:t>
      </w:r>
      <w:r w:rsidRPr="00AA6C57">
        <w:rPr>
          <w:rFonts w:ascii="Trebuchet MS" w:hAnsi="Trebuchet MS"/>
          <w:sz w:val="18"/>
          <w:szCs w:val="18"/>
          <w:vertAlign w:val="subscript"/>
        </w:rPr>
        <w:t>2</w:t>
      </w:r>
      <w:r w:rsidRPr="00E84866">
        <w:rPr>
          <w:rFonts w:ascii="Trebuchet MS" w:hAnsi="Trebuchet MS"/>
          <w:sz w:val="18"/>
          <w:szCs w:val="18"/>
        </w:rPr>
        <w:t xml:space="preserve">); the rest is composed of water vapour (H2O), and traces of oxygen (O2), nitrogen </w:t>
      </w:r>
      <w:r w:rsidRPr="00E84866">
        <w:rPr>
          <w:rFonts w:ascii="Trebuchet MS" w:hAnsi="Trebuchet MS"/>
          <w:color w:val="000000" w:themeColor="text1"/>
          <w:sz w:val="18"/>
          <w:szCs w:val="18"/>
        </w:rPr>
        <w:t>(N2) and hydrogen sulphide (H2S). Most often it is locally used for combined heat and power production (CHP)</w:t>
      </w:r>
      <w:r w:rsidR="005329EA" w:rsidRPr="00E84866">
        <w:rPr>
          <w:rStyle w:val="Voetnootmarkering"/>
          <w:rFonts w:ascii="Trebuchet MS" w:hAnsi="Trebuchet MS"/>
          <w:color w:val="000000" w:themeColor="text1"/>
          <w:sz w:val="18"/>
          <w:szCs w:val="18"/>
        </w:rPr>
        <w:footnoteReference w:id="30"/>
      </w:r>
      <w:r w:rsidRPr="00E84866">
        <w:rPr>
          <w:rFonts w:ascii="Trebuchet MS" w:hAnsi="Trebuchet MS"/>
          <w:color w:val="000000" w:themeColor="text1"/>
          <w:sz w:val="18"/>
          <w:szCs w:val="18"/>
        </w:rPr>
        <w:t xml:space="preserve">. To allow injection of biogas into the natural gas grid or to use it as a vehicle fuel, it must be upgraded </w:t>
      </w:r>
      <w:r w:rsidR="00F93A96" w:rsidRPr="00E84866">
        <w:rPr>
          <w:rFonts w:ascii="Trebuchet MS" w:hAnsi="Trebuchet MS"/>
          <w:color w:val="000000" w:themeColor="text1"/>
          <w:sz w:val="18"/>
          <w:szCs w:val="18"/>
        </w:rPr>
        <w:t xml:space="preserve">to </w:t>
      </w:r>
      <w:r w:rsidR="00F93A96" w:rsidRPr="00E84866">
        <w:rPr>
          <w:rFonts w:ascii="Trebuchet MS" w:hAnsi="Trebuchet MS"/>
          <w:b/>
          <w:bCs/>
          <w:color w:val="000000" w:themeColor="text1"/>
          <w:sz w:val="18"/>
          <w:szCs w:val="18"/>
        </w:rPr>
        <w:t xml:space="preserve">biomethane </w:t>
      </w:r>
      <w:r w:rsidRPr="00E84866">
        <w:rPr>
          <w:rFonts w:ascii="Trebuchet MS" w:hAnsi="Trebuchet MS"/>
          <w:color w:val="000000" w:themeColor="text1"/>
          <w:sz w:val="18"/>
          <w:szCs w:val="18"/>
        </w:rPr>
        <w:t xml:space="preserve">which means that carbon dioxide is removed whereas the share of methane is increased to usually above 96% so that it </w:t>
      </w:r>
      <w:r w:rsidRPr="00E84866">
        <w:rPr>
          <w:rFonts w:ascii="Trebuchet MS" w:hAnsi="Trebuchet MS"/>
          <w:sz w:val="18"/>
          <w:szCs w:val="18"/>
        </w:rPr>
        <w:t>meets the quality standards for natural gas</w:t>
      </w:r>
      <w:r w:rsidR="00F93A96" w:rsidRPr="00E84866">
        <w:rPr>
          <w:rFonts w:ascii="Trebuchet MS" w:hAnsi="Trebuchet MS"/>
          <w:sz w:val="18"/>
          <w:szCs w:val="18"/>
        </w:rPr>
        <w:t xml:space="preserve">. </w:t>
      </w:r>
      <w:r w:rsidR="00DC006D" w:rsidRPr="00E84866">
        <w:rPr>
          <w:rFonts w:ascii="Trebuchet MS" w:hAnsi="Trebuchet MS"/>
          <w:sz w:val="18"/>
          <w:szCs w:val="18"/>
        </w:rPr>
        <w:t>B</w:t>
      </w:r>
      <w:r w:rsidR="00C963ED" w:rsidRPr="00E84866">
        <w:rPr>
          <w:rFonts w:ascii="Trebuchet MS" w:hAnsi="Trebuchet MS"/>
          <w:sz w:val="18"/>
          <w:szCs w:val="18"/>
        </w:rPr>
        <w:t xml:space="preserve">iomethane </w:t>
      </w:r>
      <w:r w:rsidR="00DC006D" w:rsidRPr="00E84866">
        <w:rPr>
          <w:rFonts w:ascii="Trebuchet MS" w:hAnsi="Trebuchet MS"/>
          <w:sz w:val="18"/>
          <w:szCs w:val="18"/>
        </w:rPr>
        <w:t xml:space="preserve">can </w:t>
      </w:r>
      <w:r w:rsidR="00C963ED" w:rsidRPr="00E84866">
        <w:rPr>
          <w:rFonts w:ascii="Trebuchet MS" w:hAnsi="Trebuchet MS"/>
          <w:sz w:val="18"/>
          <w:szCs w:val="18"/>
        </w:rPr>
        <w:t xml:space="preserve">have different properties depending on the feedstock or upgrading process used, such as the </w:t>
      </w:r>
      <w:proofErr w:type="spellStart"/>
      <w:r w:rsidR="00C963ED" w:rsidRPr="00E84866">
        <w:rPr>
          <w:rFonts w:ascii="Trebuchet MS" w:hAnsi="Trebuchet MS"/>
          <w:sz w:val="18"/>
          <w:szCs w:val="18"/>
        </w:rPr>
        <w:t>Wobbe</w:t>
      </w:r>
      <w:proofErr w:type="spellEnd"/>
      <w:r w:rsidR="00C963ED" w:rsidRPr="00E84866">
        <w:rPr>
          <w:rFonts w:ascii="Trebuchet MS" w:hAnsi="Trebuchet MS"/>
          <w:sz w:val="18"/>
          <w:szCs w:val="18"/>
        </w:rPr>
        <w:t xml:space="preserve"> index and the proportion of components like sulphur or oxygen</w:t>
      </w:r>
      <w:r w:rsidR="00CD51D4" w:rsidRPr="00E84866">
        <w:rPr>
          <w:rFonts w:ascii="Trebuchet MS" w:hAnsi="Trebuchet MS"/>
          <w:sz w:val="18"/>
          <w:szCs w:val="18"/>
        </w:rPr>
        <w:t xml:space="preserve">, but these </w:t>
      </w:r>
      <w:r w:rsidR="00DC006D" w:rsidRPr="00E84866">
        <w:rPr>
          <w:rFonts w:ascii="Trebuchet MS" w:hAnsi="Trebuchet MS"/>
          <w:sz w:val="18"/>
          <w:szCs w:val="18"/>
        </w:rPr>
        <w:t>variations are in general manageable</w:t>
      </w:r>
      <w:r w:rsidR="00C963ED" w:rsidRPr="00E84866">
        <w:rPr>
          <w:rFonts w:ascii="Trebuchet MS" w:hAnsi="Trebuchet MS"/>
          <w:sz w:val="18"/>
          <w:szCs w:val="18"/>
          <w:vertAlign w:val="subscript"/>
        </w:rPr>
        <w:t>.</w:t>
      </w:r>
      <w:r w:rsidR="00DC006D" w:rsidRPr="00E84866">
        <w:rPr>
          <w:rFonts w:ascii="Trebuchet MS" w:hAnsi="Trebuchet MS"/>
          <w:sz w:val="18"/>
          <w:szCs w:val="18"/>
          <w:vertAlign w:val="subscript"/>
        </w:rPr>
        <w:t xml:space="preserve"> </w:t>
      </w:r>
      <w:r w:rsidR="00E76BC2">
        <w:rPr>
          <w:rFonts w:ascii="Trebuchet MS" w:hAnsi="Trebuchet MS"/>
          <w:sz w:val="18"/>
          <w:szCs w:val="18"/>
        </w:rPr>
        <w:t>Similar to</w:t>
      </w:r>
      <w:r w:rsidR="00205439" w:rsidRPr="00E84866">
        <w:rPr>
          <w:rFonts w:ascii="Trebuchet MS" w:hAnsi="Trebuchet MS"/>
          <w:sz w:val="18"/>
          <w:szCs w:val="18"/>
        </w:rPr>
        <w:t xml:space="preserve"> biomethane</w:t>
      </w:r>
      <w:r w:rsidR="00B75357" w:rsidRPr="00E84866">
        <w:rPr>
          <w:rFonts w:ascii="Trebuchet MS" w:hAnsi="Trebuchet MS"/>
          <w:sz w:val="18"/>
          <w:szCs w:val="18"/>
        </w:rPr>
        <w:t xml:space="preserve">, </w:t>
      </w:r>
      <w:r w:rsidR="00C1674E" w:rsidRPr="00E84866">
        <w:rPr>
          <w:rFonts w:ascii="Trebuchet MS" w:hAnsi="Trebuchet MS"/>
          <w:b/>
          <w:bCs/>
          <w:sz w:val="18"/>
          <w:szCs w:val="18"/>
        </w:rPr>
        <w:t>synthetic methane</w:t>
      </w:r>
      <w:r w:rsidR="00C1674E" w:rsidRPr="00E84866">
        <w:rPr>
          <w:rFonts w:ascii="Trebuchet MS" w:hAnsi="Trebuchet MS"/>
          <w:sz w:val="18"/>
          <w:szCs w:val="18"/>
        </w:rPr>
        <w:t xml:space="preserve"> ha</w:t>
      </w:r>
      <w:r w:rsidR="00B75357" w:rsidRPr="00E84866">
        <w:rPr>
          <w:rFonts w:ascii="Trebuchet MS" w:hAnsi="Trebuchet MS"/>
          <w:sz w:val="18"/>
          <w:szCs w:val="18"/>
        </w:rPr>
        <w:t>s also</w:t>
      </w:r>
      <w:r w:rsidR="00DC006D" w:rsidRPr="00E84866">
        <w:rPr>
          <w:rFonts w:ascii="Trebuchet MS" w:hAnsi="Trebuchet MS"/>
          <w:sz w:val="18"/>
          <w:szCs w:val="18"/>
        </w:rPr>
        <w:t xml:space="preserve"> </w:t>
      </w:r>
      <w:r w:rsidR="00C1674E" w:rsidRPr="00E84866">
        <w:rPr>
          <w:rFonts w:ascii="Trebuchet MS" w:hAnsi="Trebuchet MS"/>
          <w:sz w:val="18"/>
          <w:szCs w:val="18"/>
        </w:rPr>
        <w:t>chemical and physical properties that are comparable to natural gas (methane content &gt;90%</w:t>
      </w:r>
      <w:r w:rsidR="00205439" w:rsidRPr="00E84866">
        <w:rPr>
          <w:rFonts w:ascii="Trebuchet MS" w:hAnsi="Trebuchet MS"/>
          <w:sz w:val="18"/>
          <w:szCs w:val="18"/>
        </w:rPr>
        <w:t>) and</w:t>
      </w:r>
      <w:r w:rsidR="00B75357" w:rsidRPr="00E84866">
        <w:rPr>
          <w:rFonts w:ascii="Trebuchet MS" w:hAnsi="Trebuchet MS"/>
          <w:sz w:val="18"/>
          <w:szCs w:val="18"/>
        </w:rPr>
        <w:t xml:space="preserve"> can hence be injected into the gas grid without </w:t>
      </w:r>
      <w:r w:rsidR="00C963ED" w:rsidRPr="00E84866">
        <w:rPr>
          <w:rFonts w:ascii="Trebuchet MS" w:hAnsi="Trebuchet MS"/>
          <w:sz w:val="18"/>
          <w:szCs w:val="18"/>
        </w:rPr>
        <w:t>major constraints.</w:t>
      </w:r>
      <w:r w:rsidR="002559B2" w:rsidRPr="00E84866">
        <w:rPr>
          <w:rFonts w:ascii="Trebuchet MS" w:hAnsi="Trebuchet MS"/>
          <w:sz w:val="18"/>
          <w:szCs w:val="18"/>
        </w:rPr>
        <w:t xml:space="preserve"> Estonia has </w:t>
      </w:r>
      <w:r w:rsidR="00E76BC2">
        <w:rPr>
          <w:rFonts w:ascii="Trebuchet MS" w:hAnsi="Trebuchet MS"/>
          <w:sz w:val="18"/>
          <w:szCs w:val="18"/>
        </w:rPr>
        <w:t>specific</w:t>
      </w:r>
      <w:r w:rsidR="002559B2" w:rsidRPr="00E84866">
        <w:rPr>
          <w:rFonts w:ascii="Trebuchet MS" w:hAnsi="Trebuchet MS"/>
          <w:sz w:val="18"/>
          <w:szCs w:val="18"/>
        </w:rPr>
        <w:t xml:space="preserve"> gas qual</w:t>
      </w:r>
      <w:r w:rsidR="00E860E7" w:rsidRPr="00E84866">
        <w:rPr>
          <w:rFonts w:ascii="Trebuchet MS" w:hAnsi="Trebuchet MS"/>
          <w:sz w:val="18"/>
          <w:szCs w:val="18"/>
        </w:rPr>
        <w:t>ity standards for biomethane</w:t>
      </w:r>
      <w:r w:rsidR="00E84866" w:rsidRPr="00E84866">
        <w:rPr>
          <w:rFonts w:ascii="Trebuchet MS" w:hAnsi="Trebuchet MS"/>
          <w:sz w:val="18"/>
          <w:szCs w:val="18"/>
        </w:rPr>
        <w:t xml:space="preserve"> injection in it</w:t>
      </w:r>
      <w:r w:rsidR="00774591">
        <w:rPr>
          <w:rFonts w:ascii="Trebuchet MS" w:hAnsi="Trebuchet MS"/>
          <w:sz w:val="18"/>
          <w:szCs w:val="18"/>
        </w:rPr>
        <w:t>s transmission and distribution</w:t>
      </w:r>
      <w:r w:rsidR="00E84866" w:rsidRPr="00E84866">
        <w:rPr>
          <w:rFonts w:ascii="Trebuchet MS" w:hAnsi="Trebuchet MS"/>
          <w:sz w:val="18"/>
          <w:szCs w:val="18"/>
        </w:rPr>
        <w:t xml:space="preserve"> grid. </w:t>
      </w:r>
      <w:r w:rsidR="00E84866" w:rsidRPr="00E84866">
        <w:rPr>
          <w:rFonts w:ascii="Trebuchet MS" w:hAnsi="Trebuchet MS" w:cs="Arial"/>
          <w:color w:val="202020"/>
          <w:sz w:val="18"/>
          <w:szCs w:val="18"/>
          <w:lang w:val="en-IN" w:eastAsia="en-IN"/>
        </w:rPr>
        <w:t>The oxygen content of biomethane at the point where biomethane is in</w:t>
      </w:r>
      <w:r w:rsidR="00E76BC2">
        <w:rPr>
          <w:rFonts w:ascii="Trebuchet MS" w:hAnsi="Trebuchet MS" w:cs="Arial"/>
          <w:color w:val="202020"/>
          <w:sz w:val="18"/>
          <w:szCs w:val="18"/>
          <w:lang w:val="en-IN" w:eastAsia="en-IN"/>
        </w:rPr>
        <w:t>jected</w:t>
      </w:r>
      <w:r w:rsidR="00E84866" w:rsidRPr="00E84866">
        <w:rPr>
          <w:rFonts w:ascii="Trebuchet MS" w:hAnsi="Trebuchet MS" w:cs="Arial"/>
          <w:color w:val="202020"/>
          <w:sz w:val="18"/>
          <w:szCs w:val="18"/>
          <w:lang w:val="en-IN" w:eastAsia="en-IN"/>
        </w:rPr>
        <w:t xml:space="preserve"> into the transmission </w:t>
      </w:r>
      <w:r w:rsidR="00803E14">
        <w:rPr>
          <w:rFonts w:ascii="Trebuchet MS" w:hAnsi="Trebuchet MS" w:cs="Arial"/>
          <w:color w:val="202020"/>
          <w:sz w:val="18"/>
          <w:szCs w:val="18"/>
          <w:lang w:val="en-IN" w:eastAsia="en-IN"/>
        </w:rPr>
        <w:t xml:space="preserve">and distribution </w:t>
      </w:r>
      <w:r w:rsidR="00E84866" w:rsidRPr="00E84866">
        <w:rPr>
          <w:rFonts w:ascii="Trebuchet MS" w:hAnsi="Trebuchet MS" w:cs="Arial"/>
          <w:color w:val="202020"/>
          <w:sz w:val="18"/>
          <w:szCs w:val="18"/>
          <w:lang w:val="en-IN" w:eastAsia="en-IN"/>
        </w:rPr>
        <w:t xml:space="preserve">network </w:t>
      </w:r>
      <w:r w:rsidR="005D7CCF">
        <w:rPr>
          <w:rFonts w:ascii="Trebuchet MS" w:hAnsi="Trebuchet MS" w:cs="Arial"/>
          <w:color w:val="202020"/>
          <w:sz w:val="18"/>
          <w:szCs w:val="18"/>
          <w:lang w:val="en-IN" w:eastAsia="en-IN"/>
        </w:rPr>
        <w:t>should</w:t>
      </w:r>
      <w:r w:rsidR="00E84866" w:rsidRPr="00E84866">
        <w:rPr>
          <w:rFonts w:ascii="Trebuchet MS" w:hAnsi="Trebuchet MS" w:cs="Arial"/>
          <w:color w:val="202020"/>
          <w:sz w:val="18"/>
          <w:szCs w:val="18"/>
          <w:lang w:val="en-IN" w:eastAsia="en-IN"/>
        </w:rPr>
        <w:t xml:space="preserve"> be less than or equal to</w:t>
      </w:r>
      <w:r w:rsidR="0027354D">
        <w:rPr>
          <w:rFonts w:ascii="Trebuchet MS" w:hAnsi="Trebuchet MS" w:cs="Arial"/>
          <w:color w:val="202020"/>
          <w:sz w:val="18"/>
          <w:szCs w:val="18"/>
          <w:lang w:val="en-IN" w:eastAsia="en-IN"/>
        </w:rPr>
        <w:t xml:space="preserve"> 0</w:t>
      </w:r>
      <w:r w:rsidR="00E84866" w:rsidRPr="00E84866">
        <w:rPr>
          <w:rFonts w:ascii="Trebuchet MS" w:hAnsi="Trebuchet MS" w:cs="Arial"/>
          <w:color w:val="202020"/>
          <w:sz w:val="18"/>
          <w:szCs w:val="18"/>
          <w:lang w:val="en-IN" w:eastAsia="en-IN"/>
        </w:rPr>
        <w:t>.5 mole percent</w:t>
      </w:r>
      <w:r w:rsidR="006076FE">
        <w:rPr>
          <w:rStyle w:val="Voetnootmarkering"/>
          <w:rFonts w:ascii="Trebuchet MS" w:hAnsi="Trebuchet MS" w:cs="Arial"/>
          <w:color w:val="202020"/>
          <w:sz w:val="18"/>
          <w:szCs w:val="18"/>
          <w:lang w:val="en-IN" w:eastAsia="en-IN"/>
        </w:rPr>
        <w:footnoteReference w:id="31"/>
      </w:r>
      <w:r w:rsidR="00E84866" w:rsidRPr="00E84866">
        <w:rPr>
          <w:rFonts w:ascii="Trebuchet MS" w:hAnsi="Trebuchet MS" w:cs="Arial"/>
          <w:color w:val="202020"/>
          <w:sz w:val="18"/>
          <w:szCs w:val="18"/>
          <w:lang w:val="en-IN" w:eastAsia="en-IN"/>
        </w:rPr>
        <w:t>.</w:t>
      </w:r>
    </w:p>
    <w:p w14:paraId="1AE3E650" w14:textId="4568F250" w:rsidR="002E4892" w:rsidRPr="002E4892" w:rsidRDefault="00C963ED" w:rsidP="00DE2F26">
      <w:pPr>
        <w:tabs>
          <w:tab w:val="left" w:pos="90"/>
        </w:tabs>
        <w:spacing w:after="120"/>
        <w:ind w:left="544"/>
        <w:jc w:val="both"/>
      </w:pPr>
      <w:r w:rsidRPr="00C963ED">
        <w:rPr>
          <w:b/>
          <w:bCs/>
        </w:rPr>
        <w:t>H</w:t>
      </w:r>
      <w:r w:rsidR="00C1674E" w:rsidRPr="00C963ED">
        <w:rPr>
          <w:b/>
          <w:bCs/>
        </w:rPr>
        <w:t>ydrogen</w:t>
      </w:r>
      <w:r>
        <w:t xml:space="preserve"> </w:t>
      </w:r>
      <w:r w:rsidR="00C1674E" w:rsidRPr="00C1674E">
        <w:t xml:space="preserve">has </w:t>
      </w:r>
      <w:r>
        <w:t>however different</w:t>
      </w:r>
      <w:r w:rsidR="00C1674E" w:rsidRPr="00C1674E">
        <w:t xml:space="preserve"> chemical and physical properties. This has an impact on its integration into the </w:t>
      </w:r>
      <w:r w:rsidR="00590BE8">
        <w:t>methane</w:t>
      </w:r>
      <w:r w:rsidR="00C1674E" w:rsidRPr="00C1674E">
        <w:t xml:space="preserve"> grid because not all gas infrastructure components </w:t>
      </w:r>
      <w:r>
        <w:t xml:space="preserve">and end-user equipment </w:t>
      </w:r>
      <w:r w:rsidR="00C1674E" w:rsidRPr="00C1674E">
        <w:t>can handle blended gases</w:t>
      </w:r>
      <w:bookmarkStart w:id="70" w:name="_Ref103376214"/>
      <w:r w:rsidR="00BC7D54">
        <w:rPr>
          <w:rStyle w:val="Voetnootmarkering"/>
        </w:rPr>
        <w:footnoteReference w:id="32"/>
      </w:r>
      <w:bookmarkEnd w:id="70"/>
      <w:r w:rsidR="00BC7D54">
        <w:t>.</w:t>
      </w:r>
      <w:r>
        <w:t xml:space="preserve"> </w:t>
      </w:r>
      <w:r w:rsidR="001221F3" w:rsidRPr="001221F3">
        <w:t xml:space="preserve">Hydrogen has unique qualities, such as a </w:t>
      </w:r>
      <w:r>
        <w:t xml:space="preserve">lower </w:t>
      </w:r>
      <w:r w:rsidR="001221F3" w:rsidRPr="001221F3">
        <w:t>specific energy content</w:t>
      </w:r>
      <w:r>
        <w:t xml:space="preserve"> than natural gas</w:t>
      </w:r>
      <w:r w:rsidR="001221F3" w:rsidRPr="001221F3">
        <w:t xml:space="preserve">, which </w:t>
      </w:r>
      <w:r>
        <w:t>reduces</w:t>
      </w:r>
      <w:r w:rsidR="001221F3" w:rsidRPr="001221F3">
        <w:t xml:space="preserve"> the calorific value of the gas mixture and the methane number (essential for gas engines) and might impact combustion properties</w:t>
      </w:r>
      <w:bookmarkStart w:id="71" w:name="_Ref103376372"/>
      <w:r w:rsidR="002E4892">
        <w:rPr>
          <w:rStyle w:val="Voetnootmarkering"/>
        </w:rPr>
        <w:footnoteReference w:id="33"/>
      </w:r>
      <w:bookmarkEnd w:id="71"/>
      <w:r w:rsidR="001221F3" w:rsidRPr="008337A3">
        <w:t>.</w:t>
      </w:r>
      <w:r w:rsidR="008337A3" w:rsidRPr="008337A3">
        <w:t xml:space="preserve"> </w:t>
      </w:r>
      <w:r w:rsidR="002E4892" w:rsidRPr="002E4892">
        <w:t xml:space="preserve">Market segmentation and trade restrictions might result from differences in gas quality criteria between Member States. Constraints </w:t>
      </w:r>
      <w:r w:rsidR="00DC006D">
        <w:t>may</w:t>
      </w:r>
      <w:r w:rsidR="002E4892" w:rsidRPr="002E4892">
        <w:t xml:space="preserve"> occur, particularly from high-blending-rate regions to low-blending-rate regions. </w:t>
      </w:r>
      <w:r w:rsidR="00A303F3">
        <w:t>C</w:t>
      </w:r>
      <w:r w:rsidR="002E4892" w:rsidRPr="002E4892">
        <w:t xml:space="preserve">ross-border </w:t>
      </w:r>
      <w:r w:rsidR="00DC006D">
        <w:t xml:space="preserve">gas </w:t>
      </w:r>
      <w:r w:rsidR="002E4892" w:rsidRPr="002E4892">
        <w:t xml:space="preserve">flows are managed </w:t>
      </w:r>
      <w:r w:rsidR="003015F2">
        <w:t xml:space="preserve">in a </w:t>
      </w:r>
      <w:r w:rsidR="0095260F">
        <w:t>well-coordinated</w:t>
      </w:r>
      <w:r w:rsidR="003015F2">
        <w:t xml:space="preserve"> manner</w:t>
      </w:r>
      <w:r w:rsidR="002E4892" w:rsidRPr="002E4892">
        <w:t>. Depending on the injection rates of hydrogen, this</w:t>
      </w:r>
      <w:r w:rsidR="00CD51D4">
        <w:t xml:space="preserve"> </w:t>
      </w:r>
      <w:r w:rsidR="006422B8">
        <w:t xml:space="preserve">would </w:t>
      </w:r>
      <w:r w:rsidR="006422B8" w:rsidRPr="002E4892">
        <w:t>require</w:t>
      </w:r>
      <w:r w:rsidR="002E4892" w:rsidRPr="002E4892">
        <w:t xml:space="preserve"> system-wide adaptations to ensure the proper operation of the entire methane gas system, as well as gas quality management that </w:t>
      </w:r>
      <w:r w:rsidR="0095260F" w:rsidRPr="002E4892">
        <w:t>considers</w:t>
      </w:r>
      <w:r w:rsidR="002E4892" w:rsidRPr="002E4892">
        <w:t xml:space="preserve"> the potential negative effects of gas quality fluctuations on system operation and end-use</w:t>
      </w:r>
      <w:r w:rsidR="00DC006D">
        <w:t xml:space="preserve"> equipment</w:t>
      </w:r>
      <w:r w:rsidR="002E4892" w:rsidRPr="002E4892">
        <w:t>. This requires extensive coordination at the EU, regional, and bilateral levels, as well as among the various players along the value chain (gas producers, TSOs, DSOs, LSOs, NRAs, equipment suppliers and consumers, etc.).</w:t>
      </w:r>
    </w:p>
    <w:p w14:paraId="1B24ADB5" w14:textId="675C5343" w:rsidR="008460C5" w:rsidRPr="002E4892" w:rsidRDefault="002E4892" w:rsidP="00DE2F26">
      <w:pPr>
        <w:tabs>
          <w:tab w:val="left" w:pos="90"/>
        </w:tabs>
        <w:spacing w:after="120"/>
        <w:ind w:left="539"/>
        <w:jc w:val="both"/>
      </w:pPr>
      <w:r w:rsidRPr="002E4892">
        <w:t>Existing natural gas networks can safely transport small amount</w:t>
      </w:r>
      <w:r w:rsidR="00CA5D6D">
        <w:t>s</w:t>
      </w:r>
      <w:r w:rsidRPr="002E4892">
        <w:t xml:space="preserve"> of hydrogen. </w:t>
      </w:r>
      <w:r w:rsidR="00EC4AA8">
        <w:t xml:space="preserve">There are </w:t>
      </w:r>
      <w:r w:rsidR="005376E5">
        <w:t xml:space="preserve">no specific rules or </w:t>
      </w:r>
      <w:r w:rsidRPr="002E4892">
        <w:t>specifications</w:t>
      </w:r>
      <w:r w:rsidR="005376E5">
        <w:t xml:space="preserve"> </w:t>
      </w:r>
      <w:r w:rsidR="00D21A54">
        <w:t xml:space="preserve">in </w:t>
      </w:r>
      <w:r w:rsidR="002C6C5C">
        <w:t xml:space="preserve">the </w:t>
      </w:r>
      <w:r w:rsidR="00D21A54">
        <w:t xml:space="preserve">Baltic-Finnish region </w:t>
      </w:r>
      <w:r w:rsidR="002C6C5C">
        <w:t xml:space="preserve">regarding </w:t>
      </w:r>
      <w:r w:rsidR="00533DC2" w:rsidRPr="002E4892">
        <w:t>hydrogen</w:t>
      </w:r>
      <w:r w:rsidR="005376E5">
        <w:t xml:space="preserve"> injection and blending with natural gas. </w:t>
      </w:r>
      <w:r w:rsidR="00EB57D8" w:rsidRPr="002E4892">
        <w:t>To</w:t>
      </w:r>
      <w:r w:rsidR="00CA5D6D">
        <w:t xml:space="preserve"> facilitate the uptake of renewable hydrogen, developing </w:t>
      </w:r>
      <w:r w:rsidRPr="002E4892">
        <w:t xml:space="preserve">a regulatory </w:t>
      </w:r>
      <w:r w:rsidR="005376E5">
        <w:t xml:space="preserve">and technical </w:t>
      </w:r>
      <w:r w:rsidRPr="002E4892">
        <w:t xml:space="preserve">framework that </w:t>
      </w:r>
      <w:r w:rsidR="005376E5">
        <w:t>enables</w:t>
      </w:r>
      <w:r w:rsidRPr="002E4892">
        <w:t xml:space="preserve"> hydrogen blending as a </w:t>
      </w:r>
      <w:r w:rsidR="00CA5D6D">
        <w:t>means</w:t>
      </w:r>
      <w:r w:rsidRPr="002E4892">
        <w:t xml:space="preserve"> for decarbonizing gas supply</w:t>
      </w:r>
      <w:r w:rsidR="00CA5D6D">
        <w:t>, might be an appropriate policy measure for the Baltic</w:t>
      </w:r>
      <w:r w:rsidR="00D21A54">
        <w:t>-Finnish</w:t>
      </w:r>
      <w:r w:rsidR="00CA5D6D">
        <w:t xml:space="preserve"> region</w:t>
      </w:r>
      <w:r w:rsidRPr="002E4892">
        <w:t>.</w:t>
      </w:r>
      <w:r w:rsidR="00F0176E">
        <w:t xml:space="preserve"> Tests have revealed that existing industrial equipment can handle </w:t>
      </w:r>
      <w:r w:rsidR="002C6C5C">
        <w:t xml:space="preserve">up to </w:t>
      </w:r>
      <w:r w:rsidR="00F0176E">
        <w:t>3%</w:t>
      </w:r>
      <w:r w:rsidR="00962F4F">
        <w:t xml:space="preserve"> Vol</w:t>
      </w:r>
      <w:r w:rsidR="00F0176E">
        <w:t xml:space="preserve"> hydrogen. The </w:t>
      </w:r>
      <w:r w:rsidR="00E911D8">
        <w:t xml:space="preserve">technically </w:t>
      </w:r>
      <w:r w:rsidR="002C6C5C">
        <w:t>acceptable hydrogen</w:t>
      </w:r>
      <w:r w:rsidR="00F0176E">
        <w:t xml:space="preserve"> concentration</w:t>
      </w:r>
      <w:r w:rsidR="00E911D8">
        <w:t xml:space="preserve"> </w:t>
      </w:r>
      <w:r w:rsidR="00F0176E">
        <w:t xml:space="preserve">can </w:t>
      </w:r>
      <w:r w:rsidR="00E911D8">
        <w:t>reach up to</w:t>
      </w:r>
      <w:r w:rsidR="00F0176E">
        <w:t xml:space="preserve"> 25%, depending on the end-user equipment and natural gas composition. However, for such </w:t>
      </w:r>
      <w:r w:rsidR="00F0176E" w:rsidRPr="002E4892">
        <w:t>high hydrogen volume concentrations</w:t>
      </w:r>
      <w:r w:rsidR="00F0176E">
        <w:t xml:space="preserve">, </w:t>
      </w:r>
      <w:r w:rsidR="0033740E">
        <w:t xml:space="preserve">using </w:t>
      </w:r>
      <w:r w:rsidR="00F0176E">
        <w:t>d</w:t>
      </w:r>
      <w:r w:rsidRPr="002E4892">
        <w:t xml:space="preserve">edicated transport/distribution infrastructure would be </w:t>
      </w:r>
      <w:r w:rsidR="0033740E">
        <w:t xml:space="preserve">more </w:t>
      </w:r>
      <w:r w:rsidRPr="002E4892">
        <w:t>appropriate f</w:t>
      </w:r>
      <w:r w:rsidR="0033740E">
        <w:t>rom an economic perspective.</w:t>
      </w:r>
      <w:r w:rsidR="00362895" w:rsidRPr="00362895">
        <w:rPr>
          <w:vertAlign w:val="superscript"/>
        </w:rPr>
        <w:fldChar w:fldCharType="begin"/>
      </w:r>
      <w:r w:rsidR="00362895" w:rsidRPr="00362895">
        <w:rPr>
          <w:vertAlign w:val="superscript"/>
        </w:rPr>
        <w:instrText xml:space="preserve"> NOTEREF _Ref103376372 \h </w:instrText>
      </w:r>
      <w:r w:rsidR="00362895">
        <w:rPr>
          <w:vertAlign w:val="superscript"/>
        </w:rPr>
        <w:instrText xml:space="preserve"> \* MERGEFORMAT </w:instrText>
      </w:r>
      <w:r w:rsidR="00362895" w:rsidRPr="00362895">
        <w:rPr>
          <w:vertAlign w:val="superscript"/>
        </w:rPr>
      </w:r>
      <w:r w:rsidR="00362895" w:rsidRPr="00362895">
        <w:rPr>
          <w:vertAlign w:val="superscript"/>
        </w:rPr>
        <w:fldChar w:fldCharType="separate"/>
      </w:r>
      <w:r w:rsidR="00265258">
        <w:rPr>
          <w:vertAlign w:val="superscript"/>
        </w:rPr>
        <w:t>32</w:t>
      </w:r>
      <w:r w:rsidR="00362895" w:rsidRPr="00362895">
        <w:rPr>
          <w:vertAlign w:val="superscript"/>
        </w:rPr>
        <w:fldChar w:fldCharType="end"/>
      </w:r>
    </w:p>
    <w:p w14:paraId="40206237" w14:textId="3203065E" w:rsidR="00AA15C2" w:rsidRDefault="002E4892" w:rsidP="00DE2F26">
      <w:pPr>
        <w:tabs>
          <w:tab w:val="left" w:pos="90"/>
        </w:tabs>
        <w:spacing w:after="240"/>
        <w:ind w:left="539"/>
        <w:jc w:val="both"/>
      </w:pPr>
      <w:r w:rsidRPr="002E4892">
        <w:t>Having the right regulatory framework in place for renewable and decarbonized gas</w:t>
      </w:r>
      <w:r w:rsidR="00E911D8">
        <w:t>es’</w:t>
      </w:r>
      <w:r w:rsidRPr="002E4892">
        <w:t xml:space="preserve"> network connection and access is a</w:t>
      </w:r>
      <w:r w:rsidR="0033740E">
        <w:t>n important</w:t>
      </w:r>
      <w:r w:rsidRPr="002E4892">
        <w:t xml:space="preserve"> step toward</w:t>
      </w:r>
      <w:r w:rsidR="0033740E">
        <w:t>s</w:t>
      </w:r>
      <w:r w:rsidRPr="002E4892">
        <w:t xml:space="preserve"> ensuring that they can contribute </w:t>
      </w:r>
      <w:r w:rsidR="00E911D8">
        <w:t>efficiently</w:t>
      </w:r>
      <w:r w:rsidRPr="002E4892">
        <w:t xml:space="preserve"> to the future energy mix. </w:t>
      </w:r>
      <w:r w:rsidR="00E911D8">
        <w:t>As per</w:t>
      </w:r>
      <w:r w:rsidR="00E911D8" w:rsidRPr="002E4892">
        <w:t xml:space="preserve"> Article 20 of the recast Renewable Energy Directive</w:t>
      </w:r>
      <w:r w:rsidR="00E911D8">
        <w:t>, n</w:t>
      </w:r>
      <w:r w:rsidRPr="002E4892">
        <w:t xml:space="preserve">etwork operators must establish </w:t>
      </w:r>
      <w:r w:rsidR="00E911D8">
        <w:t xml:space="preserve">enabling </w:t>
      </w:r>
      <w:r w:rsidRPr="002E4892">
        <w:t xml:space="preserve">technical criteria for the integration of renewable gases (i.e., network connection rules including gas quality, odorization, and pressure requirements). These regulations should, ideally, clarify possible ownership and operation of network injection facilities that provide compression, mixing (if necessary), and metering functions (e.g., producer or network operator ownership and/or control). Article 20 of the REDII requires network operators to publish connection tariffs for renewable gases. These tariffs </w:t>
      </w:r>
      <w:r w:rsidRPr="002E4892">
        <w:lastRenderedPageBreak/>
        <w:t>have an impact on the business case of renewable gases</w:t>
      </w:r>
      <w:r w:rsidR="00E911D8">
        <w:t>’ projects</w:t>
      </w:r>
      <w:r w:rsidRPr="002E4892">
        <w:t xml:space="preserve">. </w:t>
      </w:r>
      <w:r w:rsidR="00F04F25">
        <w:t xml:space="preserve">At present </w:t>
      </w:r>
      <w:r w:rsidR="0033740E">
        <w:t xml:space="preserve">the Baltic countries </w:t>
      </w:r>
      <w:r w:rsidR="00132BCB">
        <w:t xml:space="preserve">and Finland </w:t>
      </w:r>
      <w:r w:rsidR="00F04F25">
        <w:t xml:space="preserve">do not </w:t>
      </w:r>
      <w:r w:rsidR="0033740E">
        <w:t>p</w:t>
      </w:r>
      <w:r w:rsidRPr="002E4892">
        <w:t xml:space="preserve">rovide </w:t>
      </w:r>
      <w:r w:rsidR="000872C4">
        <w:t xml:space="preserve">specific </w:t>
      </w:r>
      <w:r w:rsidRPr="002E4892">
        <w:t>incentives for the injection of hydrogen/biomethane</w:t>
      </w:r>
      <w:r w:rsidR="00F04F25">
        <w:t xml:space="preserve"> into the natural gas network</w:t>
      </w:r>
      <w:r w:rsidRPr="002E4892">
        <w:t xml:space="preserve"> (e.g., obligation to connect, priority access</w:t>
      </w:r>
      <w:r w:rsidR="00F04F25">
        <w:t>, favourable connection tariffs</w:t>
      </w:r>
      <w:r w:rsidRPr="002E4892">
        <w:t>)</w:t>
      </w:r>
      <w:r w:rsidR="00F04F25">
        <w:t xml:space="preserve">. Such </w:t>
      </w:r>
      <w:r w:rsidR="00E911D8">
        <w:t>enabling</w:t>
      </w:r>
      <w:r w:rsidR="00F04F25">
        <w:t xml:space="preserve"> regulation is </w:t>
      </w:r>
      <w:r w:rsidR="000872C4">
        <w:t xml:space="preserve">for biomethane injection </w:t>
      </w:r>
      <w:r w:rsidR="00F04F25">
        <w:t>in place in s</w:t>
      </w:r>
      <w:r w:rsidR="00E911D8">
        <w:t>everal</w:t>
      </w:r>
      <w:r w:rsidR="00F04F25">
        <w:t xml:space="preserve"> other EU Member States (</w:t>
      </w:r>
      <w:r w:rsidR="00C2085C">
        <w:t>e.g.,</w:t>
      </w:r>
      <w:r w:rsidR="00F04F25">
        <w:t xml:space="preserve"> France</w:t>
      </w:r>
      <w:r w:rsidR="00E911D8">
        <w:t>, Belgium</w:t>
      </w:r>
      <w:r w:rsidR="00F04F25">
        <w:t xml:space="preserve">) </w:t>
      </w:r>
      <w:r w:rsidRPr="002E4892">
        <w:t>following policy priorities and/or according to system benefits</w:t>
      </w:r>
      <w:bookmarkStart w:id="72" w:name="_Ref108625681"/>
      <w:r w:rsidR="009516FC">
        <w:t xml:space="preserve"> provided by biomethane</w:t>
      </w:r>
      <w:r w:rsidR="0013383C">
        <w:rPr>
          <w:rStyle w:val="Voetnootmarkering"/>
        </w:rPr>
        <w:footnoteReference w:id="34"/>
      </w:r>
      <w:bookmarkEnd w:id="72"/>
      <w:r w:rsidR="0013383C">
        <w:t>.</w:t>
      </w:r>
    </w:p>
    <w:p w14:paraId="3A8F81FE" w14:textId="0333624F" w:rsidR="00B40DF1" w:rsidRDefault="00DB2760" w:rsidP="00BD7272">
      <w:pPr>
        <w:pStyle w:val="Kop1"/>
      </w:pPr>
      <w:bookmarkStart w:id="73" w:name="_Toc103282310"/>
      <w:r>
        <w:t xml:space="preserve"> </w:t>
      </w:r>
      <w:bookmarkStart w:id="74" w:name="_Toc104738348"/>
      <w:bookmarkStart w:id="75" w:name="_Toc114565052"/>
      <w:r w:rsidR="00B40DF1">
        <w:t>Trends to 2050 based on existing policies and forecast</w:t>
      </w:r>
      <w:bookmarkEnd w:id="73"/>
      <w:bookmarkEnd w:id="74"/>
      <w:bookmarkEnd w:id="75"/>
    </w:p>
    <w:p w14:paraId="1234DF65" w14:textId="5B5FC2B0" w:rsidR="000D71B4" w:rsidRPr="00474B71" w:rsidRDefault="000D71B4" w:rsidP="00474B71">
      <w:pPr>
        <w:pStyle w:val="Kop2"/>
        <w:ind w:left="1134" w:hanging="567"/>
        <w:rPr>
          <w:color w:val="005962" w:themeColor="accent1"/>
        </w:rPr>
      </w:pPr>
      <w:bookmarkStart w:id="76" w:name="_Toc104738349"/>
      <w:bookmarkStart w:id="77" w:name="_Toc114565053"/>
      <w:r w:rsidRPr="00474B71">
        <w:rPr>
          <w:color w:val="005962" w:themeColor="accent1"/>
        </w:rPr>
        <w:t xml:space="preserve">European </w:t>
      </w:r>
      <w:r w:rsidR="00F04F25" w:rsidRPr="00474B71">
        <w:rPr>
          <w:color w:val="005962" w:themeColor="accent1"/>
        </w:rPr>
        <w:t>t</w:t>
      </w:r>
      <w:r w:rsidRPr="00474B71">
        <w:rPr>
          <w:color w:val="005962" w:themeColor="accent1"/>
        </w:rPr>
        <w:t>rends and policies</w:t>
      </w:r>
      <w:bookmarkEnd w:id="76"/>
      <w:bookmarkEnd w:id="77"/>
    </w:p>
    <w:p w14:paraId="14C5B1FD" w14:textId="43866ACB" w:rsidR="0024028F" w:rsidRPr="00656199" w:rsidRDefault="0024028F" w:rsidP="00656199">
      <w:pPr>
        <w:autoSpaceDE w:val="0"/>
        <w:autoSpaceDN w:val="0"/>
        <w:adjustRightInd w:val="0"/>
        <w:spacing w:after="120" w:line="360" w:lineRule="auto"/>
        <w:ind w:left="544"/>
        <w:jc w:val="both"/>
        <w:rPr>
          <w:rFonts w:cstheme="minorHAnsi"/>
          <w:shd w:val="clear" w:color="auto" w:fill="FFFFFF"/>
        </w:rPr>
      </w:pPr>
      <w:r w:rsidRPr="0024028F">
        <w:rPr>
          <w:rFonts w:cstheme="minorHAnsi"/>
          <w:shd w:val="clear" w:color="auto" w:fill="FFFFFF"/>
        </w:rPr>
        <w:t xml:space="preserve">The European Union has set an ambitious goal to be the first climate neutral continent by 2050. To achieve this, </w:t>
      </w:r>
      <w:r w:rsidR="000872C4">
        <w:rPr>
          <w:rFonts w:cstheme="minorHAnsi"/>
          <w:shd w:val="clear" w:color="auto" w:fill="FFFFFF"/>
        </w:rPr>
        <w:t xml:space="preserve">the EU </w:t>
      </w:r>
      <w:r w:rsidRPr="0024028F">
        <w:rPr>
          <w:rFonts w:cstheme="minorHAnsi"/>
          <w:shd w:val="clear" w:color="auto" w:fill="FFFFFF"/>
        </w:rPr>
        <w:t>Member States and the European Parliament have agreed, in the European Climate Law, to reduce greenhouse gas emission</w:t>
      </w:r>
      <w:r w:rsidR="000872C4">
        <w:rPr>
          <w:rFonts w:cstheme="minorHAnsi"/>
          <w:shd w:val="clear" w:color="auto" w:fill="FFFFFF"/>
        </w:rPr>
        <w:t>s</w:t>
      </w:r>
      <w:r w:rsidRPr="0024028F">
        <w:rPr>
          <w:rFonts w:cstheme="minorHAnsi"/>
          <w:shd w:val="clear" w:color="auto" w:fill="FFFFFF"/>
        </w:rPr>
        <w:t xml:space="preserve"> by at least 55% by 2030. The following proposed initiatives </w:t>
      </w:r>
      <w:r w:rsidR="00C40275">
        <w:rPr>
          <w:rFonts w:cstheme="minorHAnsi"/>
          <w:shd w:val="clear" w:color="auto" w:fill="FFFFFF"/>
        </w:rPr>
        <w:t xml:space="preserve">are </w:t>
      </w:r>
      <w:r w:rsidRPr="0024028F">
        <w:rPr>
          <w:rFonts w:cstheme="minorHAnsi"/>
          <w:shd w:val="clear" w:color="auto" w:fill="FFFFFF"/>
        </w:rPr>
        <w:t>strongly linked and complementary to the legislative proposals brought forward in the context of the fit-for-55 package to implement the European green deal.</w:t>
      </w:r>
    </w:p>
    <w:p w14:paraId="50449A0F" w14:textId="19CF298B" w:rsidR="0024028F" w:rsidRPr="0024028F" w:rsidRDefault="0024028F" w:rsidP="00656199">
      <w:pPr>
        <w:autoSpaceDE w:val="0"/>
        <w:autoSpaceDN w:val="0"/>
        <w:adjustRightInd w:val="0"/>
        <w:spacing w:after="120" w:line="360" w:lineRule="auto"/>
        <w:ind w:left="544"/>
        <w:jc w:val="both"/>
        <w:rPr>
          <w:shd w:val="clear" w:color="auto" w:fill="FFFFFF"/>
        </w:rPr>
      </w:pPr>
      <w:r w:rsidRPr="0024028F">
        <w:rPr>
          <w:shd w:val="clear" w:color="auto" w:fill="FFFFFF"/>
        </w:rPr>
        <w:t>The revised Renewable Energy Directive (‘RED II’)</w:t>
      </w:r>
      <w:r w:rsidR="00C40275">
        <w:rPr>
          <w:shd w:val="clear" w:color="auto" w:fill="FFFFFF"/>
        </w:rPr>
        <w:t xml:space="preserve"> </w:t>
      </w:r>
      <w:r w:rsidRPr="0024028F">
        <w:rPr>
          <w:shd w:val="clear" w:color="auto" w:fill="FFFFFF"/>
        </w:rPr>
        <w:t xml:space="preserve">is the main EU instrument </w:t>
      </w:r>
      <w:r w:rsidR="00C40275">
        <w:rPr>
          <w:shd w:val="clear" w:color="auto" w:fill="FFFFFF"/>
        </w:rPr>
        <w:t xml:space="preserve">aiming at </w:t>
      </w:r>
      <w:r w:rsidRPr="0024028F">
        <w:rPr>
          <w:shd w:val="clear" w:color="auto" w:fill="FFFFFF"/>
        </w:rPr>
        <w:t>promoti</w:t>
      </w:r>
      <w:r w:rsidR="00C40275">
        <w:rPr>
          <w:shd w:val="clear" w:color="auto" w:fill="FFFFFF"/>
        </w:rPr>
        <w:t>ng the deployment of</w:t>
      </w:r>
      <w:r w:rsidRPr="0024028F">
        <w:rPr>
          <w:shd w:val="clear" w:color="auto" w:fill="FFFFFF"/>
        </w:rPr>
        <w:t xml:space="preserve"> energy from renewable sources, including renewable gases</w:t>
      </w:r>
      <w:r w:rsidR="00C40275">
        <w:rPr>
          <w:shd w:val="clear" w:color="auto" w:fill="FFFFFF"/>
        </w:rPr>
        <w:t xml:space="preserve">, and their integration </w:t>
      </w:r>
      <w:r w:rsidRPr="0024028F">
        <w:rPr>
          <w:shd w:val="clear" w:color="auto" w:fill="FFFFFF"/>
        </w:rPr>
        <w:t>in the energy system</w:t>
      </w:r>
      <w:r w:rsidR="00C40275">
        <w:rPr>
          <w:shd w:val="clear" w:color="auto" w:fill="FFFFFF"/>
        </w:rPr>
        <w:t xml:space="preserve"> and market</w:t>
      </w:r>
      <w:r w:rsidRPr="0024028F">
        <w:rPr>
          <w:shd w:val="clear" w:color="auto" w:fill="FFFFFF"/>
        </w:rPr>
        <w:t xml:space="preserve">. Its proposed amendment increases the </w:t>
      </w:r>
      <w:r w:rsidR="00C40275">
        <w:rPr>
          <w:shd w:val="clear" w:color="auto" w:fill="FFFFFF"/>
        </w:rPr>
        <w:t xml:space="preserve">2030 </w:t>
      </w:r>
      <w:r w:rsidRPr="0024028F">
        <w:rPr>
          <w:shd w:val="clear" w:color="auto" w:fill="FFFFFF"/>
        </w:rPr>
        <w:t xml:space="preserve">target for renewable sources in the EU’s energy mix to 40% and promotes the uptake of renewable fuels, such as renewable hydrogen in industry and transport, with </w:t>
      </w:r>
      <w:r w:rsidR="00C40275">
        <w:rPr>
          <w:shd w:val="clear" w:color="auto" w:fill="FFFFFF"/>
        </w:rPr>
        <w:t xml:space="preserve">specific </w:t>
      </w:r>
      <w:r w:rsidRPr="0024028F">
        <w:rPr>
          <w:shd w:val="clear" w:color="auto" w:fill="FFFFFF"/>
        </w:rPr>
        <w:t xml:space="preserve">additional targets. In relation to this initiative, the RED II defines renewable hydrogen as ‘renewable fuels of non-biological origin’ and ‘biomass fuels’ that </w:t>
      </w:r>
      <w:r w:rsidR="00962F4F">
        <w:rPr>
          <w:shd w:val="clear" w:color="auto" w:fill="FFFFFF"/>
        </w:rPr>
        <w:t xml:space="preserve">can reduce the </w:t>
      </w:r>
      <w:r w:rsidRPr="0024028F">
        <w:rPr>
          <w:shd w:val="clear" w:color="auto" w:fill="FFFFFF"/>
        </w:rPr>
        <w:t xml:space="preserve">  70% greenhouse gas emission compared to fossil fuels</w:t>
      </w:r>
      <w:r w:rsidR="00962F4F">
        <w:rPr>
          <w:shd w:val="clear" w:color="auto" w:fill="FFFFFF"/>
        </w:rPr>
        <w:t>.</w:t>
      </w:r>
      <w:r w:rsidRPr="0024028F">
        <w:rPr>
          <w:shd w:val="clear" w:color="auto" w:fill="FFFFFF"/>
        </w:rPr>
        <w:t xml:space="preserve"> (50% of total hydrogen consumption for energy and feedstock purposes in industry by 2030 and 2.6% of the energy supplied to the transport sector)</w:t>
      </w:r>
      <w:r w:rsidR="00C26693" w:rsidRPr="00C26693">
        <w:rPr>
          <w:shd w:val="clear" w:color="auto" w:fill="FFFFFF"/>
          <w:vertAlign w:val="superscript"/>
        </w:rPr>
        <w:fldChar w:fldCharType="begin"/>
      </w:r>
      <w:r w:rsidR="00C26693" w:rsidRPr="00C26693">
        <w:rPr>
          <w:shd w:val="clear" w:color="auto" w:fill="FFFFFF"/>
          <w:vertAlign w:val="superscript"/>
        </w:rPr>
        <w:instrText xml:space="preserve"> NOTEREF _Ref103375521 \h </w:instrText>
      </w:r>
      <w:r w:rsidR="00C26693">
        <w:rPr>
          <w:shd w:val="clear" w:color="auto" w:fill="FFFFFF"/>
          <w:vertAlign w:val="superscript"/>
        </w:rPr>
        <w:instrText xml:space="preserve"> \* MERGEFORMAT </w:instrText>
      </w:r>
      <w:r w:rsidR="00C26693" w:rsidRPr="00C26693">
        <w:rPr>
          <w:shd w:val="clear" w:color="auto" w:fill="FFFFFF"/>
          <w:vertAlign w:val="superscript"/>
        </w:rPr>
      </w:r>
      <w:r w:rsidR="00C26693" w:rsidRPr="00C26693">
        <w:rPr>
          <w:shd w:val="clear" w:color="auto" w:fill="FFFFFF"/>
          <w:vertAlign w:val="superscript"/>
        </w:rPr>
        <w:fldChar w:fldCharType="separate"/>
      </w:r>
      <w:r w:rsidR="00265258">
        <w:rPr>
          <w:shd w:val="clear" w:color="auto" w:fill="FFFFFF"/>
          <w:vertAlign w:val="superscript"/>
        </w:rPr>
        <w:t>22</w:t>
      </w:r>
      <w:r w:rsidR="00C26693" w:rsidRPr="00C26693">
        <w:rPr>
          <w:shd w:val="clear" w:color="auto" w:fill="FFFFFF"/>
          <w:vertAlign w:val="superscript"/>
        </w:rPr>
        <w:fldChar w:fldCharType="end"/>
      </w:r>
      <w:r w:rsidRPr="0024028F">
        <w:rPr>
          <w:shd w:val="clear" w:color="auto" w:fill="FFFFFF"/>
        </w:rPr>
        <w:t>.</w:t>
      </w:r>
    </w:p>
    <w:p w14:paraId="427C3DA7" w14:textId="2041AFE0" w:rsidR="0024028F" w:rsidRPr="00656199" w:rsidRDefault="0024028F" w:rsidP="00656199">
      <w:pPr>
        <w:pStyle w:val="Normal1"/>
        <w:shd w:val="clear" w:color="auto" w:fill="FFFFFF"/>
        <w:spacing w:before="0" w:beforeAutospacing="0" w:after="120" w:afterAutospacing="0" w:line="360" w:lineRule="auto"/>
        <w:ind w:left="539"/>
        <w:jc w:val="both"/>
        <w:textAlignment w:val="baseline"/>
        <w:rPr>
          <w:rFonts w:ascii="Trebuchet MS" w:hAnsi="Trebuchet MS" w:cstheme="minorHAnsi"/>
          <w:sz w:val="18"/>
          <w:szCs w:val="18"/>
          <w:shd w:val="clear" w:color="auto" w:fill="FFFFFF"/>
        </w:rPr>
      </w:pPr>
      <w:r w:rsidRPr="00B3061E">
        <w:rPr>
          <w:rFonts w:ascii="Trebuchet MS" w:hAnsi="Trebuchet MS"/>
          <w:sz w:val="18"/>
          <w:szCs w:val="18"/>
          <w:shd w:val="clear" w:color="auto" w:fill="FFFFFF"/>
        </w:rPr>
        <w:t xml:space="preserve">The Climate Target Plan Impact Assessment </w:t>
      </w:r>
      <w:r w:rsidR="002A5474">
        <w:rPr>
          <w:rFonts w:ascii="Trebuchet MS" w:hAnsi="Trebuchet MS"/>
          <w:sz w:val="18"/>
          <w:szCs w:val="18"/>
          <w:shd w:val="clear" w:color="auto" w:fill="FFFFFF"/>
        </w:rPr>
        <w:t xml:space="preserve">indicates that </w:t>
      </w:r>
      <w:r w:rsidRPr="00B3061E">
        <w:rPr>
          <w:rFonts w:ascii="Trebuchet MS" w:hAnsi="Trebuchet MS"/>
          <w:sz w:val="18"/>
          <w:szCs w:val="18"/>
          <w:shd w:val="clear" w:color="auto" w:fill="FFFFFF"/>
        </w:rPr>
        <w:t xml:space="preserve">the share of gaseous fuels </w:t>
      </w:r>
      <w:r w:rsidR="00F160E2">
        <w:rPr>
          <w:rFonts w:ascii="Trebuchet MS" w:hAnsi="Trebuchet MS"/>
          <w:sz w:val="18"/>
          <w:szCs w:val="18"/>
          <w:shd w:val="clear" w:color="auto" w:fill="FFFFFF"/>
        </w:rPr>
        <w:t>in</w:t>
      </w:r>
      <w:r w:rsidRPr="00B3061E">
        <w:rPr>
          <w:rFonts w:ascii="Trebuchet MS" w:hAnsi="Trebuchet MS"/>
          <w:sz w:val="18"/>
          <w:szCs w:val="18"/>
          <w:shd w:val="clear" w:color="auto" w:fill="FFFFFF"/>
        </w:rPr>
        <w:t xml:space="preserve"> total EU energy consumption in 2050 would be about 20%</w:t>
      </w:r>
      <w:r w:rsidR="00344655" w:rsidRPr="00344655">
        <w:rPr>
          <w:rFonts w:ascii="Trebuchet MS" w:hAnsi="Trebuchet MS"/>
          <w:sz w:val="18"/>
          <w:szCs w:val="18"/>
          <w:shd w:val="clear" w:color="auto" w:fill="FFFFFF"/>
          <w:vertAlign w:val="superscript"/>
        </w:rPr>
        <w:fldChar w:fldCharType="begin"/>
      </w:r>
      <w:r w:rsidR="00344655" w:rsidRPr="00344655">
        <w:rPr>
          <w:rFonts w:ascii="Trebuchet MS" w:hAnsi="Trebuchet MS"/>
          <w:sz w:val="18"/>
          <w:szCs w:val="18"/>
          <w:shd w:val="clear" w:color="auto" w:fill="FFFFFF"/>
          <w:vertAlign w:val="superscript"/>
        </w:rPr>
        <w:instrText xml:space="preserve"> NOTEREF _Ref103622584 \h  \* MERGEFORMAT </w:instrText>
      </w:r>
      <w:r w:rsidR="00344655" w:rsidRPr="00344655">
        <w:rPr>
          <w:rFonts w:ascii="Trebuchet MS" w:hAnsi="Trebuchet MS"/>
          <w:sz w:val="18"/>
          <w:szCs w:val="18"/>
          <w:shd w:val="clear" w:color="auto" w:fill="FFFFFF"/>
          <w:vertAlign w:val="superscript"/>
        </w:rPr>
      </w:r>
      <w:r w:rsidR="00344655" w:rsidRPr="00344655">
        <w:rPr>
          <w:rFonts w:ascii="Trebuchet MS" w:hAnsi="Trebuchet MS"/>
          <w:sz w:val="18"/>
          <w:szCs w:val="18"/>
          <w:shd w:val="clear" w:color="auto" w:fill="FFFFFF"/>
          <w:vertAlign w:val="superscript"/>
        </w:rPr>
        <w:fldChar w:fldCharType="separate"/>
      </w:r>
      <w:r w:rsidR="00265258">
        <w:rPr>
          <w:rFonts w:ascii="Trebuchet MS" w:hAnsi="Trebuchet MS"/>
          <w:sz w:val="18"/>
          <w:szCs w:val="18"/>
          <w:shd w:val="clear" w:color="auto" w:fill="FFFFFF"/>
          <w:vertAlign w:val="superscript"/>
        </w:rPr>
        <w:t>24</w:t>
      </w:r>
      <w:r w:rsidR="00344655" w:rsidRPr="00344655">
        <w:rPr>
          <w:rFonts w:ascii="Trebuchet MS" w:hAnsi="Trebuchet MS"/>
          <w:sz w:val="18"/>
          <w:szCs w:val="18"/>
          <w:shd w:val="clear" w:color="auto" w:fill="FFFFFF"/>
          <w:vertAlign w:val="superscript"/>
        </w:rPr>
        <w:fldChar w:fldCharType="end"/>
      </w:r>
      <w:r w:rsidRPr="00B3061E">
        <w:rPr>
          <w:rFonts w:ascii="Trebuchet MS" w:hAnsi="Trebuchet MS"/>
          <w:sz w:val="18"/>
          <w:szCs w:val="18"/>
          <w:shd w:val="clear" w:color="auto" w:fill="FFFFFF"/>
        </w:rPr>
        <w:t xml:space="preserve">. And the updated </w:t>
      </w:r>
      <w:proofErr w:type="spellStart"/>
      <w:r w:rsidRPr="00B3061E">
        <w:rPr>
          <w:rFonts w:ascii="Trebuchet MS" w:hAnsi="Trebuchet MS"/>
          <w:sz w:val="18"/>
          <w:szCs w:val="18"/>
        </w:rPr>
        <w:t>REPower</w:t>
      </w:r>
      <w:proofErr w:type="spellEnd"/>
      <w:r w:rsidRPr="00B3061E">
        <w:rPr>
          <w:rFonts w:ascii="Trebuchet MS" w:hAnsi="Trebuchet MS"/>
          <w:sz w:val="18"/>
          <w:szCs w:val="18"/>
        </w:rPr>
        <w:t xml:space="preserve"> EU</w:t>
      </w:r>
      <w:r w:rsidRPr="00B3061E">
        <w:rPr>
          <w:rFonts w:ascii="Trebuchet MS" w:hAnsi="Trebuchet MS"/>
          <w:b/>
          <w:bCs/>
          <w:sz w:val="18"/>
          <w:szCs w:val="18"/>
        </w:rPr>
        <w:t xml:space="preserve"> </w:t>
      </w:r>
      <w:r w:rsidR="002A5474" w:rsidRPr="002A5474">
        <w:rPr>
          <w:rFonts w:ascii="Trebuchet MS" w:hAnsi="Trebuchet MS"/>
          <w:sz w:val="18"/>
          <w:szCs w:val="18"/>
        </w:rPr>
        <w:t xml:space="preserve">plan </w:t>
      </w:r>
      <w:r w:rsidRPr="00B3061E">
        <w:rPr>
          <w:rFonts w:ascii="Trebuchet MS" w:hAnsi="Trebuchet MS"/>
          <w:sz w:val="18"/>
          <w:szCs w:val="18"/>
        </w:rPr>
        <w:t>mention</w:t>
      </w:r>
      <w:r w:rsidR="00FB5780">
        <w:rPr>
          <w:rFonts w:ascii="Trebuchet MS" w:hAnsi="Trebuchet MS"/>
          <w:sz w:val="18"/>
          <w:szCs w:val="18"/>
        </w:rPr>
        <w:t>s</w:t>
      </w:r>
      <w:r w:rsidRPr="00B3061E">
        <w:rPr>
          <w:rFonts w:ascii="Trebuchet MS" w:hAnsi="Trebuchet MS"/>
          <w:sz w:val="18"/>
          <w:szCs w:val="18"/>
        </w:rPr>
        <w:t xml:space="preserve"> that</w:t>
      </w:r>
      <w:r w:rsidRPr="00B3061E">
        <w:rPr>
          <w:rFonts w:ascii="Trebuchet MS" w:hAnsi="Trebuchet MS"/>
          <w:b/>
          <w:bCs/>
          <w:sz w:val="18"/>
          <w:szCs w:val="18"/>
        </w:rPr>
        <w:t xml:space="preserve"> </w:t>
      </w:r>
      <w:r w:rsidRPr="00B3061E">
        <w:rPr>
          <w:rFonts w:ascii="Trebuchet MS" w:hAnsi="Trebuchet MS"/>
          <w:sz w:val="18"/>
          <w:szCs w:val="18"/>
        </w:rPr>
        <w:t>to reduce the Russian gas import</w:t>
      </w:r>
      <w:r w:rsidR="00FB5780">
        <w:rPr>
          <w:rFonts w:ascii="Trebuchet MS" w:hAnsi="Trebuchet MS"/>
          <w:sz w:val="18"/>
          <w:szCs w:val="18"/>
        </w:rPr>
        <w:t>s</w:t>
      </w:r>
      <w:r w:rsidRPr="00B3061E">
        <w:rPr>
          <w:rFonts w:ascii="Trebuchet MS" w:hAnsi="Trebuchet MS"/>
          <w:sz w:val="18"/>
          <w:szCs w:val="18"/>
        </w:rPr>
        <w:t>, LNG import</w:t>
      </w:r>
      <w:r w:rsidR="00FB5780">
        <w:rPr>
          <w:rFonts w:ascii="Trebuchet MS" w:hAnsi="Trebuchet MS"/>
          <w:sz w:val="18"/>
          <w:szCs w:val="18"/>
        </w:rPr>
        <w:t>s should be increased</w:t>
      </w:r>
      <w:r w:rsidRPr="00B3061E">
        <w:rPr>
          <w:rFonts w:ascii="Trebuchet MS" w:hAnsi="Trebuchet MS"/>
          <w:sz w:val="18"/>
          <w:szCs w:val="18"/>
        </w:rPr>
        <w:t xml:space="preserve">, biomethane production </w:t>
      </w:r>
      <w:r w:rsidR="00FB5780">
        <w:rPr>
          <w:rFonts w:ascii="Trebuchet MS" w:hAnsi="Trebuchet MS"/>
          <w:sz w:val="18"/>
          <w:szCs w:val="18"/>
        </w:rPr>
        <w:t xml:space="preserve">should be boosted </w:t>
      </w:r>
      <w:r w:rsidRPr="00B3061E">
        <w:rPr>
          <w:rFonts w:ascii="Trebuchet MS" w:hAnsi="Trebuchet MS"/>
          <w:sz w:val="18"/>
          <w:szCs w:val="18"/>
        </w:rPr>
        <w:t>to 35bcm by 2030 and hydrogen production and imports to 20mt by 2030</w:t>
      </w:r>
      <w:r w:rsidR="00FB5780">
        <w:rPr>
          <w:rFonts w:ascii="Trebuchet MS" w:hAnsi="Trebuchet MS"/>
          <w:sz w:val="18"/>
          <w:szCs w:val="18"/>
        </w:rPr>
        <w:t xml:space="preserve">, deployment of </w:t>
      </w:r>
      <w:r w:rsidRPr="00B3061E">
        <w:rPr>
          <w:rFonts w:ascii="Trebuchet MS" w:hAnsi="Trebuchet MS"/>
          <w:sz w:val="18"/>
          <w:szCs w:val="18"/>
        </w:rPr>
        <w:t xml:space="preserve">wind </w:t>
      </w:r>
      <w:r w:rsidR="00FB5780">
        <w:rPr>
          <w:rFonts w:ascii="Trebuchet MS" w:hAnsi="Trebuchet MS"/>
          <w:sz w:val="18"/>
          <w:szCs w:val="18"/>
        </w:rPr>
        <w:t xml:space="preserve">energy </w:t>
      </w:r>
      <w:r w:rsidRPr="00B3061E">
        <w:rPr>
          <w:rFonts w:ascii="Trebuchet MS" w:hAnsi="Trebuchet MS"/>
          <w:sz w:val="18"/>
          <w:szCs w:val="18"/>
        </w:rPr>
        <w:t xml:space="preserve">and solar </w:t>
      </w:r>
      <w:r w:rsidR="00FB5780">
        <w:rPr>
          <w:rFonts w:ascii="Trebuchet MS" w:hAnsi="Trebuchet MS"/>
          <w:sz w:val="18"/>
          <w:szCs w:val="18"/>
        </w:rPr>
        <w:t xml:space="preserve">PV should be substantially accelerated </w:t>
      </w:r>
      <w:r w:rsidR="00892EC5">
        <w:rPr>
          <w:rFonts w:ascii="Trebuchet MS" w:hAnsi="Trebuchet MS"/>
          <w:sz w:val="18"/>
          <w:szCs w:val="18"/>
        </w:rPr>
        <w:t xml:space="preserve">allowing to </w:t>
      </w:r>
      <w:r w:rsidRPr="00B3061E">
        <w:rPr>
          <w:rFonts w:ascii="Trebuchet MS" w:hAnsi="Trebuchet MS"/>
          <w:sz w:val="18"/>
          <w:szCs w:val="18"/>
        </w:rPr>
        <w:t>sav</w:t>
      </w:r>
      <w:r w:rsidR="00892EC5">
        <w:rPr>
          <w:rFonts w:ascii="Trebuchet MS" w:hAnsi="Trebuchet MS"/>
          <w:sz w:val="18"/>
          <w:szCs w:val="18"/>
        </w:rPr>
        <w:t>e</w:t>
      </w:r>
      <w:r w:rsidRPr="00B3061E">
        <w:rPr>
          <w:rFonts w:ascii="Trebuchet MS" w:hAnsi="Trebuchet MS"/>
          <w:sz w:val="18"/>
          <w:szCs w:val="18"/>
        </w:rPr>
        <w:t xml:space="preserve"> 3bcm of gas, and additional capacities of 80GW </w:t>
      </w:r>
      <w:r w:rsidR="00D36679">
        <w:rPr>
          <w:rFonts w:ascii="Trebuchet MS" w:hAnsi="Trebuchet MS"/>
          <w:sz w:val="18"/>
          <w:szCs w:val="18"/>
        </w:rPr>
        <w:t xml:space="preserve">should be built </w:t>
      </w:r>
      <w:r w:rsidRPr="00B3061E">
        <w:rPr>
          <w:rFonts w:ascii="Trebuchet MS" w:hAnsi="Trebuchet MS"/>
          <w:sz w:val="18"/>
          <w:szCs w:val="18"/>
        </w:rPr>
        <w:t>by 2030 to accommodate for higher production of renewable hydrogen in EU</w:t>
      </w:r>
      <w:r w:rsidR="00D36679">
        <w:rPr>
          <w:rFonts w:ascii="Trebuchet MS" w:hAnsi="Trebuchet MS"/>
          <w:sz w:val="18"/>
          <w:szCs w:val="18"/>
        </w:rPr>
        <w:t>. In the</w:t>
      </w:r>
      <w:r w:rsidRPr="00B3061E">
        <w:rPr>
          <w:rFonts w:ascii="Trebuchet MS" w:hAnsi="Trebuchet MS"/>
          <w:sz w:val="18"/>
          <w:szCs w:val="18"/>
        </w:rPr>
        <w:t xml:space="preserve"> residential sector</w:t>
      </w:r>
      <w:r w:rsidR="00D36679">
        <w:rPr>
          <w:rFonts w:ascii="Trebuchet MS" w:hAnsi="Trebuchet MS"/>
          <w:sz w:val="18"/>
          <w:szCs w:val="18"/>
        </w:rPr>
        <w:t>,</w:t>
      </w:r>
      <w:r w:rsidRPr="00B3061E">
        <w:rPr>
          <w:rFonts w:ascii="Trebuchet MS" w:hAnsi="Trebuchet MS"/>
          <w:sz w:val="18"/>
          <w:szCs w:val="18"/>
        </w:rPr>
        <w:t xml:space="preserve"> the </w:t>
      </w:r>
      <w:r w:rsidR="00D36679">
        <w:rPr>
          <w:rFonts w:ascii="Trebuchet MS" w:hAnsi="Trebuchet MS"/>
          <w:sz w:val="18"/>
          <w:szCs w:val="18"/>
        </w:rPr>
        <w:t xml:space="preserve">large-scale </w:t>
      </w:r>
      <w:r w:rsidRPr="00B3061E">
        <w:rPr>
          <w:rFonts w:ascii="Trebuchet MS" w:hAnsi="Trebuchet MS"/>
          <w:sz w:val="18"/>
          <w:szCs w:val="18"/>
        </w:rPr>
        <w:t xml:space="preserve">deployment of heat pumps </w:t>
      </w:r>
      <w:r w:rsidR="00D36679">
        <w:rPr>
          <w:rFonts w:ascii="Trebuchet MS" w:hAnsi="Trebuchet MS"/>
          <w:sz w:val="18"/>
          <w:szCs w:val="18"/>
        </w:rPr>
        <w:t>(</w:t>
      </w:r>
      <w:r w:rsidRPr="00B3061E">
        <w:rPr>
          <w:rFonts w:ascii="Trebuchet MS" w:hAnsi="Trebuchet MS"/>
          <w:sz w:val="18"/>
          <w:szCs w:val="18"/>
        </w:rPr>
        <w:t>30 million new installations b</w:t>
      </w:r>
      <w:r w:rsidR="00D36679">
        <w:rPr>
          <w:rFonts w:ascii="Trebuchet MS" w:hAnsi="Trebuchet MS"/>
          <w:sz w:val="18"/>
          <w:szCs w:val="18"/>
        </w:rPr>
        <w:t>y</w:t>
      </w:r>
      <w:r w:rsidRPr="00B3061E">
        <w:rPr>
          <w:rFonts w:ascii="Trebuchet MS" w:hAnsi="Trebuchet MS"/>
          <w:sz w:val="18"/>
          <w:szCs w:val="18"/>
        </w:rPr>
        <w:t xml:space="preserve"> 2030</w:t>
      </w:r>
      <w:r w:rsidR="00D36679">
        <w:rPr>
          <w:rFonts w:ascii="Trebuchet MS" w:hAnsi="Trebuchet MS"/>
          <w:sz w:val="18"/>
          <w:szCs w:val="18"/>
        </w:rPr>
        <w:t>) could s</w:t>
      </w:r>
      <w:r w:rsidRPr="00B3061E">
        <w:rPr>
          <w:rFonts w:ascii="Trebuchet MS" w:hAnsi="Trebuchet MS"/>
          <w:sz w:val="18"/>
          <w:szCs w:val="18"/>
        </w:rPr>
        <w:t>av</w:t>
      </w:r>
      <w:r w:rsidR="00D36679">
        <w:rPr>
          <w:rFonts w:ascii="Trebuchet MS" w:hAnsi="Trebuchet MS"/>
          <w:sz w:val="18"/>
          <w:szCs w:val="18"/>
        </w:rPr>
        <w:t>e</w:t>
      </w:r>
      <w:r w:rsidRPr="00B3061E">
        <w:rPr>
          <w:rFonts w:ascii="Trebuchet MS" w:hAnsi="Trebuchet MS"/>
          <w:sz w:val="18"/>
          <w:szCs w:val="18"/>
        </w:rPr>
        <w:t xml:space="preserve"> 35 </w:t>
      </w:r>
      <w:proofErr w:type="spellStart"/>
      <w:r w:rsidRPr="00B3061E">
        <w:rPr>
          <w:rFonts w:ascii="Trebuchet MS" w:hAnsi="Trebuchet MS"/>
          <w:sz w:val="18"/>
          <w:szCs w:val="18"/>
        </w:rPr>
        <w:t>bcm</w:t>
      </w:r>
      <w:proofErr w:type="spellEnd"/>
      <w:r w:rsidRPr="00B3061E">
        <w:rPr>
          <w:rFonts w:ascii="Trebuchet MS" w:hAnsi="Trebuchet MS"/>
          <w:sz w:val="18"/>
          <w:szCs w:val="18"/>
        </w:rPr>
        <w:t xml:space="preserve"> </w:t>
      </w:r>
      <w:r w:rsidR="00892EC5">
        <w:rPr>
          <w:rFonts w:ascii="Trebuchet MS" w:hAnsi="Trebuchet MS"/>
          <w:sz w:val="18"/>
          <w:szCs w:val="18"/>
        </w:rPr>
        <w:t xml:space="preserve">of gas </w:t>
      </w:r>
      <w:r w:rsidRPr="00B3061E">
        <w:rPr>
          <w:rFonts w:ascii="Trebuchet MS" w:hAnsi="Trebuchet MS"/>
          <w:sz w:val="18"/>
          <w:szCs w:val="18"/>
        </w:rPr>
        <w:t>in 2030</w:t>
      </w:r>
      <w:r w:rsidR="00F06DCD" w:rsidRPr="00B3061E">
        <w:rPr>
          <w:rFonts w:ascii="Trebuchet MS" w:hAnsi="Trebuchet MS"/>
          <w:sz w:val="18"/>
          <w:szCs w:val="18"/>
          <w:vertAlign w:val="superscript"/>
        </w:rPr>
        <w:fldChar w:fldCharType="begin"/>
      </w:r>
      <w:r w:rsidR="00F06DCD" w:rsidRPr="00B3061E">
        <w:rPr>
          <w:rFonts w:ascii="Trebuchet MS" w:hAnsi="Trebuchet MS"/>
          <w:sz w:val="18"/>
          <w:szCs w:val="18"/>
          <w:vertAlign w:val="superscript"/>
        </w:rPr>
        <w:instrText xml:space="preserve"> NOTEREF _Ref103377637 \h  \* MERGEFORMAT </w:instrText>
      </w:r>
      <w:r w:rsidR="00F06DCD" w:rsidRPr="00B3061E">
        <w:rPr>
          <w:rFonts w:ascii="Trebuchet MS" w:hAnsi="Trebuchet MS"/>
          <w:sz w:val="18"/>
          <w:szCs w:val="18"/>
          <w:vertAlign w:val="superscript"/>
        </w:rPr>
      </w:r>
      <w:r w:rsidR="00F06DCD" w:rsidRPr="00B3061E">
        <w:rPr>
          <w:rFonts w:ascii="Trebuchet MS" w:hAnsi="Trebuchet MS"/>
          <w:sz w:val="18"/>
          <w:szCs w:val="18"/>
          <w:vertAlign w:val="superscript"/>
        </w:rPr>
        <w:fldChar w:fldCharType="separate"/>
      </w:r>
      <w:r w:rsidR="00265258">
        <w:rPr>
          <w:rFonts w:ascii="Trebuchet MS" w:hAnsi="Trebuchet MS"/>
          <w:sz w:val="18"/>
          <w:szCs w:val="18"/>
          <w:vertAlign w:val="superscript"/>
        </w:rPr>
        <w:t>21</w:t>
      </w:r>
      <w:r w:rsidR="00F06DCD" w:rsidRPr="00B3061E">
        <w:rPr>
          <w:rFonts w:ascii="Trebuchet MS" w:hAnsi="Trebuchet MS"/>
          <w:sz w:val="18"/>
          <w:szCs w:val="18"/>
          <w:vertAlign w:val="superscript"/>
        </w:rPr>
        <w:fldChar w:fldCharType="end"/>
      </w:r>
      <w:r w:rsidRPr="00B3061E">
        <w:rPr>
          <w:rFonts w:ascii="Trebuchet MS" w:hAnsi="Trebuchet MS"/>
          <w:sz w:val="18"/>
          <w:szCs w:val="18"/>
        </w:rPr>
        <w:t>.</w:t>
      </w:r>
      <w:r w:rsidR="007D07FE" w:rsidRPr="00B3061E">
        <w:rPr>
          <w:rFonts w:ascii="Trebuchet MS" w:hAnsi="Trebuchet MS" w:cstheme="minorHAnsi"/>
          <w:sz w:val="18"/>
          <w:szCs w:val="18"/>
        </w:rPr>
        <w:t xml:space="preserve"> </w:t>
      </w:r>
      <w:r w:rsidR="00D36679">
        <w:rPr>
          <w:rFonts w:ascii="Trebuchet MS" w:hAnsi="Trebuchet MS" w:cstheme="minorHAnsi"/>
          <w:sz w:val="18"/>
          <w:szCs w:val="18"/>
        </w:rPr>
        <w:t xml:space="preserve">According to the </w:t>
      </w:r>
      <w:r w:rsidR="00892EC5">
        <w:rPr>
          <w:rFonts w:ascii="Trebuchet MS" w:hAnsi="Trebuchet MS" w:cstheme="minorHAnsi"/>
          <w:sz w:val="18"/>
          <w:szCs w:val="18"/>
        </w:rPr>
        <w:t>recital t</w:t>
      </w:r>
      <w:r w:rsidR="007F32DB">
        <w:rPr>
          <w:rFonts w:ascii="Trebuchet MS" w:hAnsi="Trebuchet MS" w:cstheme="minorHAnsi"/>
          <w:sz w:val="18"/>
          <w:szCs w:val="18"/>
        </w:rPr>
        <w:t>o</w:t>
      </w:r>
      <w:r w:rsidR="00892EC5">
        <w:rPr>
          <w:rFonts w:ascii="Trebuchet MS" w:hAnsi="Trebuchet MS" w:cstheme="minorHAnsi"/>
          <w:sz w:val="18"/>
          <w:szCs w:val="18"/>
        </w:rPr>
        <w:t xml:space="preserve"> the </w:t>
      </w:r>
      <w:r w:rsidR="007F32DB">
        <w:rPr>
          <w:rFonts w:ascii="Trebuchet MS" w:hAnsi="Trebuchet MS" w:cstheme="minorHAnsi"/>
          <w:sz w:val="18"/>
          <w:szCs w:val="18"/>
        </w:rPr>
        <w:t xml:space="preserve">recast </w:t>
      </w:r>
      <w:r w:rsidR="007D07FE" w:rsidRPr="00B3061E">
        <w:rPr>
          <w:rFonts w:ascii="Trebuchet MS" w:hAnsi="Trebuchet MS" w:cstheme="minorHAnsi"/>
          <w:sz w:val="18"/>
          <w:szCs w:val="18"/>
        </w:rPr>
        <w:t>EU gas directive</w:t>
      </w:r>
      <w:r w:rsidR="00D36679">
        <w:rPr>
          <w:rFonts w:ascii="Trebuchet MS" w:hAnsi="Trebuchet MS" w:cstheme="minorHAnsi"/>
          <w:sz w:val="18"/>
          <w:szCs w:val="18"/>
        </w:rPr>
        <w:t>, h</w:t>
      </w:r>
      <w:r w:rsidR="007D07FE" w:rsidRPr="00B3061E">
        <w:rPr>
          <w:rFonts w:ascii="Trebuchet MS" w:hAnsi="Trebuchet MS" w:cstheme="minorHAnsi"/>
          <w:sz w:val="18"/>
          <w:szCs w:val="18"/>
          <w:shd w:val="clear" w:color="auto" w:fill="FFFFFF"/>
        </w:rPr>
        <w:t>ydrogen is expected to be utilized in energy intensive industries</w:t>
      </w:r>
      <w:r w:rsidR="00D36679">
        <w:rPr>
          <w:rFonts w:ascii="Trebuchet MS" w:hAnsi="Trebuchet MS" w:cstheme="minorHAnsi"/>
          <w:sz w:val="18"/>
          <w:szCs w:val="18"/>
          <w:shd w:val="clear" w:color="auto" w:fill="FFFFFF"/>
        </w:rPr>
        <w:t xml:space="preserve"> and</w:t>
      </w:r>
      <w:r w:rsidR="007D07FE" w:rsidRPr="00B3061E">
        <w:rPr>
          <w:rFonts w:ascii="Trebuchet MS" w:hAnsi="Trebuchet MS" w:cstheme="minorHAnsi"/>
          <w:sz w:val="18"/>
          <w:szCs w:val="18"/>
          <w:shd w:val="clear" w:color="auto" w:fill="FFFFFF"/>
        </w:rPr>
        <w:t xml:space="preserve"> </w:t>
      </w:r>
      <w:r w:rsidR="00344655" w:rsidRPr="00B3061E">
        <w:rPr>
          <w:rFonts w:ascii="Trebuchet MS" w:hAnsi="Trebuchet MS" w:cstheme="minorHAnsi"/>
          <w:sz w:val="18"/>
          <w:szCs w:val="18"/>
          <w:shd w:val="clear" w:color="auto" w:fill="FFFFFF"/>
        </w:rPr>
        <w:t>heavy-duty</w:t>
      </w:r>
      <w:r w:rsidR="007D07FE" w:rsidRPr="00B3061E">
        <w:rPr>
          <w:rFonts w:ascii="Trebuchet MS" w:hAnsi="Trebuchet MS" w:cstheme="minorHAnsi"/>
          <w:sz w:val="18"/>
          <w:szCs w:val="18"/>
          <w:shd w:val="clear" w:color="auto" w:fill="FFFFFF"/>
        </w:rPr>
        <w:t xml:space="preserve"> transport sectors</w:t>
      </w:r>
      <w:r w:rsidR="00D36679">
        <w:rPr>
          <w:rFonts w:ascii="Trebuchet MS" w:hAnsi="Trebuchet MS" w:cstheme="minorHAnsi"/>
          <w:sz w:val="18"/>
          <w:szCs w:val="18"/>
          <w:shd w:val="clear" w:color="auto" w:fill="FFFFFF"/>
        </w:rPr>
        <w:t xml:space="preserve"> </w:t>
      </w:r>
      <w:r w:rsidR="007D07FE" w:rsidRPr="00B3061E">
        <w:rPr>
          <w:rFonts w:ascii="Trebuchet MS" w:hAnsi="Trebuchet MS" w:cstheme="minorHAnsi"/>
          <w:sz w:val="18"/>
          <w:szCs w:val="18"/>
          <w:shd w:val="clear" w:color="auto" w:fill="FFFFFF"/>
        </w:rPr>
        <w:t>and developing a dedicated hydrogen infrastructure is necessary to release the full potential of this energy carrier i</w:t>
      </w:r>
      <w:r w:rsidR="00D36679">
        <w:rPr>
          <w:rFonts w:ascii="Trebuchet MS" w:hAnsi="Trebuchet MS" w:cstheme="minorHAnsi"/>
          <w:sz w:val="18"/>
          <w:szCs w:val="18"/>
          <w:shd w:val="clear" w:color="auto" w:fill="FFFFFF"/>
        </w:rPr>
        <w:t>n</w:t>
      </w:r>
      <w:r w:rsidR="007D07FE" w:rsidRPr="00B3061E">
        <w:rPr>
          <w:rFonts w:ascii="Trebuchet MS" w:hAnsi="Trebuchet MS" w:cstheme="minorHAnsi"/>
          <w:sz w:val="18"/>
          <w:szCs w:val="18"/>
          <w:shd w:val="clear" w:color="auto" w:fill="FFFFFF"/>
        </w:rPr>
        <w:t xml:space="preserve"> specific end-use applications.</w:t>
      </w:r>
    </w:p>
    <w:p w14:paraId="41751E45" w14:textId="4015471D" w:rsidR="000D71B4" w:rsidRPr="00656199" w:rsidRDefault="0024028F" w:rsidP="00656199">
      <w:pPr>
        <w:pStyle w:val="Normal1"/>
        <w:shd w:val="clear" w:color="auto" w:fill="FFFFFF"/>
        <w:spacing w:before="0" w:beforeAutospacing="0" w:after="0" w:afterAutospacing="0" w:line="360" w:lineRule="auto"/>
        <w:ind w:left="540"/>
        <w:jc w:val="both"/>
        <w:textAlignment w:val="baseline"/>
        <w:rPr>
          <w:rFonts w:ascii="Trebuchet MS" w:hAnsi="Trebuchet MS" w:cstheme="minorHAnsi"/>
          <w:color w:val="000000"/>
          <w:sz w:val="18"/>
          <w:szCs w:val="18"/>
        </w:rPr>
      </w:pPr>
      <w:r w:rsidRPr="0024028F">
        <w:rPr>
          <w:rFonts w:ascii="Trebuchet MS" w:hAnsi="Trebuchet MS" w:cstheme="minorHAnsi"/>
          <w:color w:val="000000"/>
          <w:sz w:val="18"/>
          <w:szCs w:val="18"/>
        </w:rPr>
        <w:t xml:space="preserve">According to the Long-Term Strategy scenario 1.5TECH, </w:t>
      </w:r>
      <w:r w:rsidR="002A5474">
        <w:rPr>
          <w:rFonts w:ascii="Trebuchet MS" w:hAnsi="Trebuchet MS" w:cstheme="minorHAnsi"/>
          <w:color w:val="000000"/>
          <w:sz w:val="18"/>
          <w:szCs w:val="18"/>
        </w:rPr>
        <w:t>e</w:t>
      </w:r>
      <w:r w:rsidRPr="0024028F">
        <w:rPr>
          <w:rFonts w:ascii="Trebuchet MS" w:hAnsi="Trebuchet MS" w:cstheme="minorHAnsi"/>
          <w:color w:val="000000"/>
          <w:sz w:val="18"/>
          <w:szCs w:val="18"/>
        </w:rPr>
        <w:t>lectricity w</w:t>
      </w:r>
      <w:r w:rsidR="007F32DB">
        <w:rPr>
          <w:rFonts w:ascii="Trebuchet MS" w:hAnsi="Trebuchet MS" w:cstheme="minorHAnsi"/>
          <w:color w:val="000000"/>
          <w:sz w:val="18"/>
          <w:szCs w:val="18"/>
        </w:rPr>
        <w:t>ould</w:t>
      </w:r>
      <w:r w:rsidRPr="0024028F">
        <w:rPr>
          <w:rFonts w:ascii="Trebuchet MS" w:hAnsi="Trebuchet MS" w:cstheme="minorHAnsi"/>
          <w:color w:val="000000"/>
          <w:sz w:val="18"/>
          <w:szCs w:val="18"/>
        </w:rPr>
        <w:t xml:space="preserve"> account for </w:t>
      </w:r>
      <w:r w:rsidR="002A5474">
        <w:rPr>
          <w:rFonts w:ascii="Trebuchet MS" w:hAnsi="Trebuchet MS" w:cstheme="minorHAnsi"/>
          <w:color w:val="000000"/>
          <w:sz w:val="18"/>
          <w:szCs w:val="18"/>
        </w:rPr>
        <w:t xml:space="preserve">about </w:t>
      </w:r>
      <w:r w:rsidRPr="0024028F">
        <w:rPr>
          <w:rFonts w:ascii="Trebuchet MS" w:hAnsi="Trebuchet MS" w:cstheme="minorHAnsi"/>
          <w:color w:val="000000"/>
          <w:sz w:val="18"/>
          <w:szCs w:val="18"/>
        </w:rPr>
        <w:t>half of EU final energy demand in 2050 (versus 22</w:t>
      </w:r>
      <w:r w:rsidR="002A5474">
        <w:rPr>
          <w:rFonts w:ascii="Trebuchet MS" w:hAnsi="Trebuchet MS" w:cstheme="minorHAnsi"/>
          <w:color w:val="000000"/>
          <w:sz w:val="18"/>
          <w:szCs w:val="18"/>
        </w:rPr>
        <w:t>%</w:t>
      </w:r>
      <w:r w:rsidRPr="0024028F">
        <w:rPr>
          <w:rFonts w:ascii="Trebuchet MS" w:hAnsi="Trebuchet MS" w:cstheme="minorHAnsi"/>
          <w:color w:val="000000"/>
          <w:sz w:val="18"/>
          <w:szCs w:val="18"/>
        </w:rPr>
        <w:t xml:space="preserve"> in 2015), while hydrogen w</w:t>
      </w:r>
      <w:r w:rsidR="002A5474">
        <w:rPr>
          <w:rFonts w:ascii="Trebuchet MS" w:hAnsi="Trebuchet MS" w:cstheme="minorHAnsi"/>
          <w:color w:val="000000"/>
          <w:sz w:val="18"/>
          <w:szCs w:val="18"/>
        </w:rPr>
        <w:t>ould</w:t>
      </w:r>
      <w:r w:rsidRPr="0024028F">
        <w:rPr>
          <w:rFonts w:ascii="Trebuchet MS" w:hAnsi="Trebuchet MS" w:cstheme="minorHAnsi"/>
          <w:color w:val="000000"/>
          <w:sz w:val="18"/>
          <w:szCs w:val="18"/>
        </w:rPr>
        <w:t xml:space="preserve"> account for 10% (approximately 800 TWh), e-gas 7%, and biomass (including biogas and biomethane) 14%,</w:t>
      </w:r>
      <w:r w:rsidR="002A5474">
        <w:rPr>
          <w:rFonts w:ascii="Trebuchet MS" w:hAnsi="Trebuchet MS" w:cstheme="minorHAnsi"/>
          <w:color w:val="000000"/>
          <w:sz w:val="18"/>
          <w:szCs w:val="18"/>
        </w:rPr>
        <w:t xml:space="preserve"> while</w:t>
      </w:r>
      <w:r w:rsidRPr="0024028F">
        <w:rPr>
          <w:rFonts w:ascii="Trebuchet MS" w:hAnsi="Trebuchet MS" w:cstheme="minorHAnsi"/>
          <w:color w:val="000000"/>
          <w:sz w:val="18"/>
          <w:szCs w:val="18"/>
        </w:rPr>
        <w:t xml:space="preserve"> natural gas </w:t>
      </w:r>
      <w:r w:rsidR="002A5474">
        <w:rPr>
          <w:rFonts w:ascii="Trebuchet MS" w:hAnsi="Trebuchet MS" w:cstheme="minorHAnsi"/>
          <w:color w:val="000000"/>
          <w:sz w:val="18"/>
          <w:szCs w:val="18"/>
        </w:rPr>
        <w:t>would be</w:t>
      </w:r>
      <w:r w:rsidRPr="0024028F">
        <w:rPr>
          <w:rFonts w:ascii="Trebuchet MS" w:hAnsi="Trebuchet MS" w:cstheme="minorHAnsi"/>
          <w:color w:val="000000"/>
          <w:sz w:val="18"/>
          <w:szCs w:val="18"/>
        </w:rPr>
        <w:t xml:space="preserve"> the sole fossil fuel left, </w:t>
      </w:r>
      <w:r w:rsidR="002A5474">
        <w:rPr>
          <w:rFonts w:ascii="Trebuchet MS" w:hAnsi="Trebuchet MS" w:cstheme="minorHAnsi"/>
          <w:color w:val="000000"/>
          <w:sz w:val="18"/>
          <w:szCs w:val="18"/>
        </w:rPr>
        <w:t xml:space="preserve">with a share </w:t>
      </w:r>
      <w:r w:rsidRPr="0024028F">
        <w:rPr>
          <w:rFonts w:ascii="Trebuchet MS" w:hAnsi="Trebuchet MS" w:cstheme="minorHAnsi"/>
          <w:color w:val="000000"/>
          <w:sz w:val="18"/>
          <w:szCs w:val="18"/>
        </w:rPr>
        <w:t>limited to 2% of total final demand</w:t>
      </w:r>
      <w:r w:rsidR="008D0225" w:rsidRPr="008D0225">
        <w:rPr>
          <w:rFonts w:ascii="Trebuchet MS" w:hAnsi="Trebuchet MS" w:cstheme="minorHAnsi"/>
          <w:color w:val="000000"/>
          <w:sz w:val="18"/>
          <w:szCs w:val="18"/>
          <w:vertAlign w:val="superscript"/>
        </w:rPr>
        <w:fldChar w:fldCharType="begin"/>
      </w:r>
      <w:r w:rsidR="008D0225" w:rsidRPr="008D0225">
        <w:rPr>
          <w:rFonts w:ascii="Trebuchet MS" w:hAnsi="Trebuchet MS" w:cstheme="minorHAnsi"/>
          <w:color w:val="000000"/>
          <w:sz w:val="18"/>
          <w:szCs w:val="18"/>
          <w:vertAlign w:val="superscript"/>
        </w:rPr>
        <w:instrText xml:space="preserve"> NOTEREF _Ref104730596 \h </w:instrText>
      </w:r>
      <w:r w:rsidR="008D0225">
        <w:rPr>
          <w:rFonts w:ascii="Trebuchet MS" w:hAnsi="Trebuchet MS" w:cstheme="minorHAnsi"/>
          <w:color w:val="000000"/>
          <w:sz w:val="18"/>
          <w:szCs w:val="18"/>
          <w:vertAlign w:val="superscript"/>
        </w:rPr>
        <w:instrText xml:space="preserve"> \* MERGEFORMAT </w:instrText>
      </w:r>
      <w:r w:rsidR="008D0225" w:rsidRPr="008D0225">
        <w:rPr>
          <w:rFonts w:ascii="Trebuchet MS" w:hAnsi="Trebuchet MS" w:cstheme="minorHAnsi"/>
          <w:color w:val="000000"/>
          <w:sz w:val="18"/>
          <w:szCs w:val="18"/>
          <w:vertAlign w:val="superscript"/>
        </w:rPr>
      </w:r>
      <w:r w:rsidR="008D0225" w:rsidRPr="008D0225">
        <w:rPr>
          <w:rFonts w:ascii="Trebuchet MS" w:hAnsi="Trebuchet MS" w:cstheme="minorHAnsi"/>
          <w:color w:val="000000"/>
          <w:sz w:val="18"/>
          <w:szCs w:val="18"/>
          <w:vertAlign w:val="superscript"/>
        </w:rPr>
        <w:fldChar w:fldCharType="separate"/>
      </w:r>
      <w:r w:rsidR="00265258">
        <w:rPr>
          <w:rFonts w:ascii="Trebuchet MS" w:hAnsi="Trebuchet MS" w:cstheme="minorHAnsi"/>
          <w:color w:val="000000"/>
          <w:sz w:val="18"/>
          <w:szCs w:val="18"/>
          <w:vertAlign w:val="superscript"/>
        </w:rPr>
        <w:t>25</w:t>
      </w:r>
      <w:r w:rsidR="008D0225" w:rsidRPr="008D0225">
        <w:rPr>
          <w:rFonts w:ascii="Trebuchet MS" w:hAnsi="Trebuchet MS" w:cstheme="minorHAnsi"/>
          <w:color w:val="000000"/>
          <w:sz w:val="18"/>
          <w:szCs w:val="18"/>
          <w:vertAlign w:val="superscript"/>
        </w:rPr>
        <w:fldChar w:fldCharType="end"/>
      </w:r>
      <w:r w:rsidR="002A5474">
        <w:rPr>
          <w:rFonts w:ascii="Trebuchet MS" w:hAnsi="Trebuchet MS" w:cstheme="minorHAnsi"/>
          <w:color w:val="000000"/>
          <w:sz w:val="18"/>
          <w:szCs w:val="18"/>
        </w:rPr>
        <w:t xml:space="preserve">. </w:t>
      </w:r>
    </w:p>
    <w:p w14:paraId="60560B7E" w14:textId="695E2383" w:rsidR="009C7A5D" w:rsidRPr="006300CB" w:rsidRDefault="009C7A5D" w:rsidP="00474B71">
      <w:pPr>
        <w:pStyle w:val="Kop2"/>
        <w:ind w:left="1134" w:hanging="567"/>
        <w:rPr>
          <w:color w:val="005962" w:themeColor="accent1"/>
        </w:rPr>
      </w:pPr>
      <w:bookmarkStart w:id="78" w:name="_Toc104738350"/>
      <w:bookmarkStart w:id="79" w:name="_Toc114565054"/>
      <w:r w:rsidRPr="006300CB">
        <w:rPr>
          <w:color w:val="005962" w:themeColor="accent1"/>
        </w:rPr>
        <w:t>Baltic and Finnish</w:t>
      </w:r>
      <w:r w:rsidR="007138A3" w:rsidRPr="006300CB">
        <w:rPr>
          <w:color w:val="005962" w:themeColor="accent1"/>
        </w:rPr>
        <w:t xml:space="preserve"> national </w:t>
      </w:r>
      <w:r w:rsidR="00594739" w:rsidRPr="006300CB">
        <w:rPr>
          <w:color w:val="005962" w:themeColor="accent1"/>
        </w:rPr>
        <w:t xml:space="preserve">energy and climate </w:t>
      </w:r>
      <w:r w:rsidRPr="006300CB">
        <w:rPr>
          <w:color w:val="005962" w:themeColor="accent1"/>
        </w:rPr>
        <w:t>targets</w:t>
      </w:r>
      <w:bookmarkEnd w:id="78"/>
      <w:bookmarkEnd w:id="79"/>
    </w:p>
    <w:p w14:paraId="7A0DDFFC" w14:textId="3A77AC8E" w:rsidR="007A520D" w:rsidRDefault="002D0DF5" w:rsidP="00CB7002">
      <w:pPr>
        <w:spacing w:after="240"/>
        <w:ind w:left="539"/>
        <w:jc w:val="both"/>
        <w:rPr>
          <w:color w:val="B2CECD" w:themeColor="accent3"/>
        </w:rPr>
      </w:pPr>
      <w:r w:rsidRPr="002B614F">
        <w:t>The National Energy and Climate plans</w:t>
      </w:r>
      <w:r>
        <w:t xml:space="preserve"> (NECP)</w:t>
      </w:r>
      <w:r w:rsidRPr="002B614F">
        <w:t xml:space="preserve"> and National </w:t>
      </w:r>
      <w:r w:rsidR="00594739">
        <w:t>D</w:t>
      </w:r>
      <w:r w:rsidRPr="002B614F">
        <w:t xml:space="preserve">evelopment </w:t>
      </w:r>
      <w:r w:rsidR="00594739">
        <w:t>P</w:t>
      </w:r>
      <w:r w:rsidRPr="002B614F">
        <w:t>lans</w:t>
      </w:r>
      <w:r>
        <w:t xml:space="preserve"> (NDP)</w:t>
      </w:r>
      <w:r w:rsidRPr="002B614F">
        <w:t xml:space="preserve"> of Estonia, Latvia, Lithuania and Finland for 2030 provide the target</w:t>
      </w:r>
      <w:r w:rsidR="003C6299">
        <w:t>s</w:t>
      </w:r>
      <w:r w:rsidRPr="002B614F">
        <w:t xml:space="preserve"> for the share of renewable energy in final energy </w:t>
      </w:r>
      <w:r w:rsidRPr="002B614F">
        <w:lastRenderedPageBreak/>
        <w:t>consumption</w:t>
      </w:r>
      <w:r w:rsidR="003C6299">
        <w:t>, as</w:t>
      </w:r>
      <w:r w:rsidRPr="002B614F">
        <w:t xml:space="preserve"> shown in the </w:t>
      </w:r>
      <w:r w:rsidR="000E4592">
        <w:rPr>
          <w:color w:val="000000" w:themeColor="text1"/>
        </w:rPr>
        <w:t>following figure.</w:t>
      </w:r>
      <w:r w:rsidRPr="002B614F">
        <w:rPr>
          <w:color w:val="B2CECD" w:themeColor="accent3"/>
        </w:rPr>
        <w:t xml:space="preserve"> </w:t>
      </w:r>
      <w:r w:rsidRPr="00940EC7">
        <w:t xml:space="preserve">To meet the targets and specifically to reduce the natural gas consumption, </w:t>
      </w:r>
      <w:r w:rsidRPr="002B614F">
        <w:t>specific measure</w:t>
      </w:r>
      <w:r w:rsidR="003C6299">
        <w:t>s</w:t>
      </w:r>
      <w:r w:rsidRPr="002B614F">
        <w:t xml:space="preserve"> for the deployment of renewable/low carbon gases </w:t>
      </w:r>
      <w:r w:rsidRPr="000E4592">
        <w:rPr>
          <w:color w:val="000000" w:themeColor="text1"/>
        </w:rPr>
        <w:t xml:space="preserve">in </w:t>
      </w:r>
      <w:r w:rsidR="00594739">
        <w:rPr>
          <w:color w:val="000000" w:themeColor="text1"/>
        </w:rPr>
        <w:t>specific</w:t>
      </w:r>
      <w:r w:rsidRPr="000E4592">
        <w:rPr>
          <w:color w:val="000000" w:themeColor="text1"/>
        </w:rPr>
        <w:t xml:space="preserve"> sectors are provided with the relevant plans and policy measures. Not all </w:t>
      </w:r>
      <w:r w:rsidR="00594739">
        <w:rPr>
          <w:color w:val="000000" w:themeColor="text1"/>
        </w:rPr>
        <w:t>four</w:t>
      </w:r>
      <w:r w:rsidR="003C6299">
        <w:rPr>
          <w:color w:val="000000" w:themeColor="text1"/>
        </w:rPr>
        <w:t xml:space="preserve"> </w:t>
      </w:r>
      <w:r w:rsidRPr="000E4592">
        <w:rPr>
          <w:color w:val="000000" w:themeColor="text1"/>
        </w:rPr>
        <w:t>countries have specific targets for renewable fuels for each sector</w:t>
      </w:r>
      <w:r w:rsidR="003C6299">
        <w:rPr>
          <w:color w:val="000000" w:themeColor="text1"/>
        </w:rPr>
        <w:t>; the most relevant information is</w:t>
      </w:r>
      <w:r w:rsidRPr="000E4592">
        <w:rPr>
          <w:color w:val="000000" w:themeColor="text1"/>
        </w:rPr>
        <w:t xml:space="preserve"> </w:t>
      </w:r>
      <w:r w:rsidR="00594739">
        <w:rPr>
          <w:color w:val="000000" w:themeColor="text1"/>
        </w:rPr>
        <w:t>summarised</w:t>
      </w:r>
      <w:r w:rsidRPr="000E4592">
        <w:rPr>
          <w:color w:val="000000" w:themeColor="text1"/>
        </w:rPr>
        <w:t xml:space="preserve"> in the </w:t>
      </w:r>
      <w:r w:rsidR="000E4592" w:rsidRPr="000E4592">
        <w:rPr>
          <w:color w:val="000000" w:themeColor="text1"/>
        </w:rPr>
        <w:t>following table.</w:t>
      </w:r>
    </w:p>
    <w:p w14:paraId="70930400" w14:textId="4907D04C" w:rsidR="0079747A" w:rsidRPr="00FB049B" w:rsidRDefault="00BC36F0" w:rsidP="00CB7002">
      <w:pPr>
        <w:pStyle w:val="Bijschrift"/>
        <w:spacing w:line="360" w:lineRule="auto"/>
      </w:pPr>
      <w:r>
        <w:t xml:space="preserve">Figure </w:t>
      </w:r>
      <w:r w:rsidR="006D12F8">
        <w:fldChar w:fldCharType="begin"/>
      </w:r>
      <w:r w:rsidR="006D12F8">
        <w:instrText xml:space="preserve"> STYLEREF 1 \s </w:instrText>
      </w:r>
      <w:r w:rsidR="006D12F8">
        <w:fldChar w:fldCharType="separate"/>
      </w:r>
      <w:r w:rsidR="00265258">
        <w:rPr>
          <w:noProof/>
        </w:rPr>
        <w:t>4</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w:t>
      </w:r>
      <w:r w:rsidR="006D12F8">
        <w:rPr>
          <w:noProof/>
        </w:rPr>
        <w:fldChar w:fldCharType="end"/>
      </w:r>
      <w:r>
        <w:t>.</w:t>
      </w:r>
      <w:r w:rsidR="003B7F8A">
        <w:t xml:space="preserve"> </w:t>
      </w:r>
      <w:r w:rsidR="003C6299">
        <w:t xml:space="preserve">National targets for </w:t>
      </w:r>
      <w:r w:rsidR="009124E1">
        <w:t>RE</w:t>
      </w:r>
      <w:r w:rsidR="003C6299">
        <w:t>S share</w:t>
      </w:r>
      <w:r w:rsidR="00A94B0D">
        <w:t xml:space="preserve"> (%)</w:t>
      </w:r>
      <w:r w:rsidR="003C6299">
        <w:t xml:space="preserve"> in </w:t>
      </w:r>
      <w:r w:rsidR="00FB049B">
        <w:t>Final Energy Consumption by 2030</w:t>
      </w:r>
    </w:p>
    <w:p w14:paraId="376F90AB" w14:textId="4E0DB0DC" w:rsidR="00D03AAB" w:rsidRDefault="00D03AAB" w:rsidP="00CB7002">
      <w:pPr>
        <w:spacing w:after="240"/>
        <w:ind w:left="539"/>
        <w:jc w:val="center"/>
      </w:pPr>
      <w:r>
        <w:rPr>
          <w:noProof/>
        </w:rPr>
        <w:drawing>
          <wp:inline distT="0" distB="0" distL="0" distR="0" wp14:anchorId="7E46BF5C" wp14:editId="71A4240A">
            <wp:extent cx="2683289" cy="2628900"/>
            <wp:effectExtent l="0" t="0" r="3175" b="0"/>
            <wp:docPr id="29" name="Picture 29"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dark&#10;&#10;Description automatically generated"/>
                    <pic:cNvPicPr/>
                  </pic:nvPicPr>
                  <pic:blipFill>
                    <a:blip r:embed="rId41"/>
                    <a:stretch>
                      <a:fillRect/>
                    </a:stretch>
                  </pic:blipFill>
                  <pic:spPr>
                    <a:xfrm>
                      <a:off x="0" y="0"/>
                      <a:ext cx="2701454" cy="2646697"/>
                    </a:xfrm>
                    <a:prstGeom prst="rect">
                      <a:avLst/>
                    </a:prstGeom>
                  </pic:spPr>
                </pic:pic>
              </a:graphicData>
            </a:graphic>
          </wp:inline>
        </w:drawing>
      </w:r>
    </w:p>
    <w:p w14:paraId="0EA01BDD" w14:textId="439B49EB" w:rsidR="003E2A1B" w:rsidRDefault="003E2A1B" w:rsidP="00F94283">
      <w:pPr>
        <w:spacing w:after="120"/>
        <w:ind w:left="539"/>
        <w:jc w:val="both"/>
      </w:pPr>
      <w:r w:rsidRPr="000E2E41">
        <w:t>The NECP</w:t>
      </w:r>
      <w:r w:rsidR="00A958B9">
        <w:t>s</w:t>
      </w:r>
      <w:r w:rsidRPr="000E2E41">
        <w:t xml:space="preserve"> and NDP</w:t>
      </w:r>
      <w:r w:rsidR="00A958B9">
        <w:t>s</w:t>
      </w:r>
      <w:r w:rsidRPr="000E2E41">
        <w:t xml:space="preserve"> are detailed and strategic frameworks that help </w:t>
      </w:r>
      <w:r w:rsidR="002726B4">
        <w:t>public and private operators</w:t>
      </w:r>
      <w:r w:rsidRPr="000E2E41">
        <w:t xml:space="preserve"> for </w:t>
      </w:r>
      <w:r w:rsidR="002726B4">
        <w:t>planning their investment and operational decisions. The plans provide indications of the impacts of the different considered policies and measures on the energy and climate objectives</w:t>
      </w:r>
      <w:r w:rsidR="00604DBF">
        <w:t xml:space="preserve">, including the </w:t>
      </w:r>
      <w:r w:rsidRPr="000E2E41">
        <w:t xml:space="preserve">greenhouse gas emissions </w:t>
      </w:r>
      <w:r w:rsidR="00604DBF">
        <w:t xml:space="preserve">reduction. </w:t>
      </w:r>
      <w:r w:rsidRPr="000E2E41">
        <w:t xml:space="preserve">The following table </w:t>
      </w:r>
      <w:r w:rsidR="00604DBF">
        <w:t>provides an overview of</w:t>
      </w:r>
      <w:r w:rsidRPr="000E2E41">
        <w:t xml:space="preserve"> the specific targets of </w:t>
      </w:r>
      <w:r w:rsidR="00604DBF">
        <w:t xml:space="preserve">the four </w:t>
      </w:r>
      <w:r w:rsidRPr="000E2E41">
        <w:t>countries</w:t>
      </w:r>
      <w:r>
        <w:t>.</w:t>
      </w:r>
    </w:p>
    <w:p w14:paraId="79B19E75" w14:textId="63BE4A4A" w:rsidR="007A520D" w:rsidRDefault="00D6032E" w:rsidP="00F94283">
      <w:pPr>
        <w:pStyle w:val="Bijschrift"/>
      </w:pPr>
      <w:r>
        <w:t>Table</w:t>
      </w:r>
      <w:r w:rsidR="00510074">
        <w:t xml:space="preserve"> </w:t>
      </w:r>
      <w:r w:rsidR="006D12F8">
        <w:fldChar w:fldCharType="begin"/>
      </w:r>
      <w:r w:rsidR="006D12F8">
        <w:instrText xml:space="preserve"> STYLEREF 1 \s </w:instrText>
      </w:r>
      <w:r w:rsidR="006D12F8">
        <w:fldChar w:fldCharType="separate"/>
      </w:r>
      <w:r w:rsidR="00265258">
        <w:rPr>
          <w:noProof/>
        </w:rPr>
        <w:t>4</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w:t>
      </w:r>
      <w:r w:rsidR="006D12F8">
        <w:rPr>
          <w:noProof/>
        </w:rPr>
        <w:fldChar w:fldCharType="end"/>
      </w:r>
      <w:r w:rsidR="00510074">
        <w:t>.</w:t>
      </w:r>
      <w:r>
        <w:t xml:space="preserve"> </w:t>
      </w:r>
      <w:r w:rsidR="00604DBF">
        <w:t>National energy and climate t</w:t>
      </w:r>
      <w:r w:rsidR="00206080">
        <w:t xml:space="preserve">argets </w:t>
      </w:r>
      <w:r w:rsidR="00604DBF">
        <w:t>mentioned in</w:t>
      </w:r>
      <w:r w:rsidR="00206080">
        <w:t xml:space="preserve"> NECPs </w:t>
      </w:r>
      <w:r w:rsidR="00604DBF">
        <w:t>or</w:t>
      </w:r>
      <w:r w:rsidR="00206080">
        <w:t xml:space="preserve"> NDPs</w:t>
      </w:r>
    </w:p>
    <w:tbl>
      <w:tblPr>
        <w:tblStyle w:val="Tabelraster"/>
        <w:tblW w:w="8505" w:type="dxa"/>
        <w:tblInd w:w="562" w:type="dxa"/>
        <w:tblLook w:val="04A0" w:firstRow="1" w:lastRow="0" w:firstColumn="1" w:lastColumn="0" w:noHBand="0" w:noVBand="1"/>
      </w:tblPr>
      <w:tblGrid>
        <w:gridCol w:w="1683"/>
        <w:gridCol w:w="6822"/>
      </w:tblGrid>
      <w:tr w:rsidR="008367C9" w14:paraId="7C7F131C" w14:textId="77777777" w:rsidTr="007B6C99">
        <w:trPr>
          <w:tblHeader/>
        </w:trPr>
        <w:tc>
          <w:tcPr>
            <w:tcW w:w="1683" w:type="dxa"/>
            <w:shd w:val="clear" w:color="auto" w:fill="005962" w:themeFill="accent1"/>
            <w:vAlign w:val="center"/>
          </w:tcPr>
          <w:p w14:paraId="44ADE3BF" w14:textId="17B14452" w:rsidR="008367C9" w:rsidRPr="00656199" w:rsidRDefault="008367C9" w:rsidP="008F189B">
            <w:pPr>
              <w:ind w:left="0"/>
              <w:jc w:val="both"/>
              <w:rPr>
                <w:color w:val="FFFFFF" w:themeColor="background1"/>
                <w:sz w:val="20"/>
                <w:szCs w:val="20"/>
              </w:rPr>
            </w:pPr>
            <w:r w:rsidRPr="00656199">
              <w:rPr>
                <w:b/>
                <w:color w:val="FFFFFF" w:themeColor="background1"/>
                <w:sz w:val="20"/>
                <w:szCs w:val="20"/>
              </w:rPr>
              <w:t>Country</w:t>
            </w:r>
          </w:p>
        </w:tc>
        <w:tc>
          <w:tcPr>
            <w:tcW w:w="6822" w:type="dxa"/>
            <w:shd w:val="clear" w:color="auto" w:fill="005962" w:themeFill="accent1"/>
            <w:vAlign w:val="center"/>
          </w:tcPr>
          <w:p w14:paraId="5E06F4F2" w14:textId="1BDFFBDE" w:rsidR="008367C9" w:rsidRPr="00656199" w:rsidRDefault="008367C9" w:rsidP="008F189B">
            <w:pPr>
              <w:ind w:left="0"/>
              <w:jc w:val="center"/>
              <w:rPr>
                <w:color w:val="FFFFFF" w:themeColor="background1"/>
                <w:sz w:val="20"/>
                <w:szCs w:val="20"/>
              </w:rPr>
            </w:pPr>
            <w:r w:rsidRPr="00656199">
              <w:rPr>
                <w:b/>
                <w:color w:val="FFFFFF" w:themeColor="background1"/>
                <w:sz w:val="20"/>
                <w:szCs w:val="20"/>
              </w:rPr>
              <w:t xml:space="preserve">Targets from NECP </w:t>
            </w:r>
            <w:r w:rsidR="00604DBF">
              <w:rPr>
                <w:b/>
                <w:color w:val="FFFFFF" w:themeColor="background1"/>
                <w:sz w:val="20"/>
                <w:szCs w:val="20"/>
              </w:rPr>
              <w:t>or</w:t>
            </w:r>
            <w:r w:rsidRPr="00656199">
              <w:rPr>
                <w:b/>
                <w:color w:val="FFFFFF" w:themeColor="background1"/>
                <w:sz w:val="20"/>
                <w:szCs w:val="20"/>
              </w:rPr>
              <w:t xml:space="preserve"> NDPs</w:t>
            </w:r>
          </w:p>
        </w:tc>
      </w:tr>
      <w:tr w:rsidR="008367C9" w14:paraId="33ED5B4B" w14:textId="77777777" w:rsidTr="00C74E95">
        <w:tc>
          <w:tcPr>
            <w:tcW w:w="1683" w:type="dxa"/>
            <w:vAlign w:val="center"/>
          </w:tcPr>
          <w:p w14:paraId="647AC44B" w14:textId="49B4D247" w:rsidR="008367C9" w:rsidRDefault="008367C9" w:rsidP="008F189B">
            <w:pPr>
              <w:ind w:left="0"/>
              <w:jc w:val="both"/>
              <w:rPr>
                <w:b/>
              </w:rPr>
            </w:pPr>
            <w:r w:rsidRPr="008F189B">
              <w:rPr>
                <w:b/>
                <w:bCs/>
              </w:rPr>
              <w:t>Estonia</w:t>
            </w:r>
            <w:bookmarkStart w:id="80" w:name="_Ref103385630"/>
            <w:r w:rsidRPr="008F189B">
              <w:rPr>
                <w:rStyle w:val="Voetnootmarkering"/>
                <w:bCs/>
              </w:rPr>
              <w:footnoteReference w:id="35"/>
            </w:r>
            <w:bookmarkEnd w:id="80"/>
          </w:p>
        </w:tc>
        <w:tc>
          <w:tcPr>
            <w:tcW w:w="6822" w:type="dxa"/>
            <w:vAlign w:val="center"/>
          </w:tcPr>
          <w:p w14:paraId="7AC5A8F4" w14:textId="4A5B9914" w:rsidR="008367C9" w:rsidRPr="008F189B" w:rsidRDefault="008367C9" w:rsidP="008F189B">
            <w:pPr>
              <w:spacing w:after="60"/>
              <w:ind w:left="0" w:right="288"/>
              <w:jc w:val="both"/>
              <w:rPr>
                <w:rFonts w:cstheme="minorHAnsi"/>
                <w:szCs w:val="22"/>
              </w:rPr>
            </w:pPr>
            <w:bookmarkStart w:id="81" w:name="_Hlk112879993"/>
            <w:r w:rsidRPr="008F189B">
              <w:rPr>
                <w:rFonts w:cstheme="minorHAnsi"/>
                <w:szCs w:val="22"/>
              </w:rPr>
              <w:t>-</w:t>
            </w:r>
            <w:r w:rsidR="00AA6E59">
              <w:rPr>
                <w:rFonts w:cstheme="minorHAnsi"/>
                <w:szCs w:val="22"/>
              </w:rPr>
              <w:t xml:space="preserve"> </w:t>
            </w:r>
            <w:r w:rsidR="001662C8" w:rsidRPr="00604DBF">
              <w:rPr>
                <w:rFonts w:cstheme="minorHAnsi"/>
                <w:b/>
                <w:bCs/>
                <w:szCs w:val="22"/>
              </w:rPr>
              <w:t>Overall</w:t>
            </w:r>
            <w:r w:rsidR="00604DBF" w:rsidRPr="00604DBF">
              <w:rPr>
                <w:rFonts w:cstheme="minorHAnsi"/>
                <w:b/>
                <w:bCs/>
                <w:szCs w:val="22"/>
              </w:rPr>
              <w:t xml:space="preserve"> </w:t>
            </w:r>
            <w:r w:rsidR="00AA6E59">
              <w:rPr>
                <w:rFonts w:cstheme="minorHAnsi"/>
                <w:b/>
                <w:bCs/>
                <w:szCs w:val="22"/>
              </w:rPr>
              <w:t xml:space="preserve">RES </w:t>
            </w:r>
            <w:r w:rsidR="00604DBF" w:rsidRPr="00604DBF">
              <w:rPr>
                <w:rFonts w:cstheme="minorHAnsi"/>
                <w:b/>
                <w:bCs/>
                <w:szCs w:val="22"/>
              </w:rPr>
              <w:t>target</w:t>
            </w:r>
            <w:r w:rsidR="00604DBF">
              <w:rPr>
                <w:rFonts w:cstheme="minorHAnsi"/>
                <w:szCs w:val="22"/>
              </w:rPr>
              <w:t>: s</w:t>
            </w:r>
            <w:r w:rsidRPr="008F189B">
              <w:rPr>
                <w:rFonts w:cstheme="minorHAnsi"/>
                <w:szCs w:val="22"/>
              </w:rPr>
              <w:t xml:space="preserve">hare of renewable energy in total final consumption must be 42% - 50% </w:t>
            </w:r>
            <w:r w:rsidR="00604DBF">
              <w:rPr>
                <w:rFonts w:cstheme="minorHAnsi"/>
                <w:szCs w:val="22"/>
              </w:rPr>
              <w:t>(</w:t>
            </w:r>
            <w:r w:rsidRPr="008F189B">
              <w:rPr>
                <w:rFonts w:cstheme="minorHAnsi"/>
                <w:szCs w:val="22"/>
              </w:rPr>
              <w:t>around 32 TWh</w:t>
            </w:r>
            <w:r w:rsidR="00604DBF">
              <w:rPr>
                <w:rFonts w:cstheme="minorHAnsi"/>
                <w:szCs w:val="22"/>
              </w:rPr>
              <w:t xml:space="preserve">) </w:t>
            </w:r>
            <w:r w:rsidRPr="008F189B">
              <w:rPr>
                <w:rFonts w:cstheme="minorHAnsi"/>
                <w:szCs w:val="22"/>
              </w:rPr>
              <w:t>by 2030.</w:t>
            </w:r>
          </w:p>
          <w:p w14:paraId="0BEF85AA" w14:textId="2B6FD675" w:rsidR="008367C9" w:rsidRPr="008F189B" w:rsidRDefault="008367C9" w:rsidP="008F189B">
            <w:pPr>
              <w:spacing w:after="60"/>
              <w:ind w:left="0" w:right="288"/>
              <w:jc w:val="both"/>
              <w:rPr>
                <w:rFonts w:cstheme="minorHAnsi"/>
                <w:szCs w:val="22"/>
              </w:rPr>
            </w:pPr>
            <w:r w:rsidRPr="008F189B">
              <w:rPr>
                <w:rFonts w:cstheme="minorHAnsi"/>
                <w:b/>
                <w:bCs/>
                <w:szCs w:val="22"/>
              </w:rPr>
              <w:t>-</w:t>
            </w:r>
            <w:r w:rsidR="00AA6E59">
              <w:rPr>
                <w:rFonts w:cstheme="minorHAnsi"/>
                <w:b/>
                <w:bCs/>
                <w:szCs w:val="22"/>
              </w:rPr>
              <w:t xml:space="preserve"> </w:t>
            </w:r>
            <w:r w:rsidRPr="008F189B">
              <w:rPr>
                <w:rFonts w:cstheme="minorHAnsi"/>
                <w:b/>
                <w:bCs/>
                <w:szCs w:val="22"/>
              </w:rPr>
              <w:t>Transport</w:t>
            </w:r>
            <w:r w:rsidR="00604DBF">
              <w:rPr>
                <w:rFonts w:cstheme="minorHAnsi"/>
                <w:b/>
                <w:bCs/>
                <w:szCs w:val="22"/>
              </w:rPr>
              <w:t>:</w:t>
            </w:r>
            <w:r w:rsidRPr="008F189B">
              <w:rPr>
                <w:rFonts w:cstheme="minorHAnsi"/>
                <w:szCs w:val="22"/>
              </w:rPr>
              <w:t xml:space="preserve"> 14% of renewables in final energy consumption by 2030 and 340 GWh of biomethane and 395 GWh 2</w:t>
            </w:r>
            <w:r w:rsidRPr="008F189B">
              <w:rPr>
                <w:rFonts w:cstheme="minorHAnsi"/>
                <w:szCs w:val="22"/>
                <w:vertAlign w:val="superscript"/>
              </w:rPr>
              <w:t>nd</w:t>
            </w:r>
            <w:r w:rsidRPr="008F189B">
              <w:rPr>
                <w:rFonts w:cstheme="minorHAnsi"/>
                <w:szCs w:val="22"/>
              </w:rPr>
              <w:t xml:space="preserve"> generation biofuels by 2030. Fuel consumption of vehicles in 2030 </w:t>
            </w:r>
            <w:r w:rsidR="00344655">
              <w:rPr>
                <w:rFonts w:cstheme="minorHAnsi"/>
                <w:szCs w:val="22"/>
              </w:rPr>
              <w:t xml:space="preserve">should </w:t>
            </w:r>
            <w:r w:rsidR="00344655" w:rsidRPr="008F189B">
              <w:rPr>
                <w:rFonts w:cstheme="minorHAnsi"/>
                <w:szCs w:val="22"/>
              </w:rPr>
              <w:t>not</w:t>
            </w:r>
            <w:r w:rsidRPr="008F189B">
              <w:rPr>
                <w:rFonts w:cstheme="minorHAnsi"/>
                <w:szCs w:val="22"/>
              </w:rPr>
              <w:t xml:space="preserve"> exceed the </w:t>
            </w:r>
            <w:r w:rsidR="00604DBF">
              <w:rPr>
                <w:rFonts w:cstheme="minorHAnsi"/>
                <w:szCs w:val="22"/>
              </w:rPr>
              <w:t xml:space="preserve">2012 </w:t>
            </w:r>
            <w:r w:rsidRPr="008F189B">
              <w:rPr>
                <w:rFonts w:cstheme="minorHAnsi"/>
                <w:szCs w:val="22"/>
              </w:rPr>
              <w:t>level (8.3 TWh).</w:t>
            </w:r>
          </w:p>
          <w:p w14:paraId="7CE6FE41" w14:textId="3B76FB59" w:rsidR="008F189B" w:rsidRPr="008F189B" w:rsidRDefault="008367C9" w:rsidP="008F189B">
            <w:pPr>
              <w:spacing w:after="60"/>
              <w:ind w:left="0"/>
              <w:jc w:val="both"/>
              <w:rPr>
                <w:rFonts w:cstheme="minorHAnsi"/>
                <w:szCs w:val="22"/>
              </w:rPr>
            </w:pPr>
            <w:r w:rsidRPr="008F189B">
              <w:rPr>
                <w:rFonts w:cstheme="minorHAnsi"/>
                <w:b/>
                <w:bCs/>
                <w:szCs w:val="22"/>
              </w:rPr>
              <w:t>-</w:t>
            </w:r>
            <w:r w:rsidR="00AA6E59">
              <w:rPr>
                <w:rFonts w:cstheme="minorHAnsi"/>
                <w:b/>
                <w:bCs/>
                <w:szCs w:val="22"/>
              </w:rPr>
              <w:t xml:space="preserve"> </w:t>
            </w:r>
            <w:r w:rsidRPr="008F189B">
              <w:rPr>
                <w:rFonts w:cstheme="minorHAnsi"/>
                <w:b/>
                <w:bCs/>
                <w:szCs w:val="22"/>
              </w:rPr>
              <w:t>Electricity production</w:t>
            </w:r>
            <w:r w:rsidR="00604DBF">
              <w:rPr>
                <w:rFonts w:cstheme="minorHAnsi"/>
                <w:b/>
                <w:bCs/>
                <w:szCs w:val="22"/>
              </w:rPr>
              <w:t>:</w:t>
            </w:r>
            <w:r w:rsidRPr="008F189B">
              <w:rPr>
                <w:rFonts w:cstheme="minorHAnsi"/>
                <w:szCs w:val="22"/>
              </w:rPr>
              <w:t xml:space="preserve"> By 2030, the share of renewables must be 40% of gross final consumption and domestic primary energy consumption </w:t>
            </w:r>
            <w:r w:rsidR="00AA6E59">
              <w:rPr>
                <w:rFonts w:cstheme="minorHAnsi"/>
                <w:szCs w:val="22"/>
              </w:rPr>
              <w:t xml:space="preserve">should be </w:t>
            </w:r>
            <w:r w:rsidRPr="008F189B">
              <w:rPr>
                <w:rFonts w:cstheme="minorHAnsi"/>
                <w:szCs w:val="22"/>
              </w:rPr>
              <w:t>10% lower than 2012</w:t>
            </w:r>
            <w:r w:rsidR="00AA6E59">
              <w:rPr>
                <w:rFonts w:cstheme="minorHAnsi"/>
                <w:szCs w:val="22"/>
              </w:rPr>
              <w:t xml:space="preserve"> level.</w:t>
            </w:r>
          </w:p>
          <w:p w14:paraId="54C969CE" w14:textId="248CC87D" w:rsidR="008367C9" w:rsidRPr="000845C8" w:rsidRDefault="00AA6E59" w:rsidP="008F189B">
            <w:pPr>
              <w:spacing w:after="60"/>
              <w:ind w:left="0"/>
              <w:jc w:val="both"/>
              <w:rPr>
                <w:rFonts w:asciiTheme="minorHAnsi" w:hAnsiTheme="minorHAnsi" w:cstheme="minorHAnsi"/>
                <w:szCs w:val="22"/>
              </w:rPr>
            </w:pPr>
            <w:r>
              <w:rPr>
                <w:rFonts w:cstheme="minorHAnsi"/>
                <w:b/>
                <w:bCs/>
                <w:szCs w:val="22"/>
              </w:rPr>
              <w:t>- Gas supply:</w:t>
            </w:r>
            <w:r w:rsidR="008367C9" w:rsidRPr="008F189B">
              <w:rPr>
                <w:rFonts w:cstheme="minorHAnsi"/>
                <w:szCs w:val="22"/>
              </w:rPr>
              <w:t xml:space="preserve"> The share of the largest supply source and largest gas </w:t>
            </w:r>
            <w:r>
              <w:rPr>
                <w:rFonts w:cstheme="minorHAnsi"/>
                <w:szCs w:val="22"/>
              </w:rPr>
              <w:t xml:space="preserve">supplier </w:t>
            </w:r>
            <w:r w:rsidR="008367C9" w:rsidRPr="008F189B">
              <w:rPr>
                <w:rFonts w:cstheme="minorHAnsi"/>
                <w:szCs w:val="22"/>
              </w:rPr>
              <w:t xml:space="preserve">in Estonia’s gas market </w:t>
            </w:r>
            <w:r>
              <w:rPr>
                <w:rFonts w:cstheme="minorHAnsi"/>
                <w:szCs w:val="22"/>
              </w:rPr>
              <w:t>should</w:t>
            </w:r>
            <w:r w:rsidR="008367C9" w:rsidRPr="008F189B">
              <w:rPr>
                <w:rFonts w:cstheme="minorHAnsi"/>
                <w:szCs w:val="22"/>
              </w:rPr>
              <w:t xml:space="preserve"> not exceed 70% and 32%</w:t>
            </w:r>
            <w:r w:rsidR="006D059A">
              <w:rPr>
                <w:rFonts w:cstheme="minorHAnsi"/>
                <w:szCs w:val="22"/>
              </w:rPr>
              <w:t xml:space="preserve"> respectively</w:t>
            </w:r>
            <w:r w:rsidR="008367C9" w:rsidRPr="008F189B">
              <w:rPr>
                <w:rFonts w:cstheme="minorHAnsi"/>
                <w:szCs w:val="22"/>
              </w:rPr>
              <w:t xml:space="preserve">. </w:t>
            </w:r>
            <w:bookmarkEnd w:id="81"/>
          </w:p>
        </w:tc>
      </w:tr>
      <w:tr w:rsidR="008367C9" w14:paraId="415E989B" w14:textId="77777777" w:rsidTr="00C74E95">
        <w:tc>
          <w:tcPr>
            <w:tcW w:w="1683" w:type="dxa"/>
            <w:vAlign w:val="center"/>
          </w:tcPr>
          <w:p w14:paraId="713962F2" w14:textId="7D422DF3" w:rsidR="008367C9" w:rsidRDefault="008367C9" w:rsidP="008F189B">
            <w:pPr>
              <w:ind w:left="0"/>
              <w:jc w:val="both"/>
              <w:rPr>
                <w:b/>
              </w:rPr>
            </w:pPr>
            <w:r w:rsidRPr="008F189B">
              <w:rPr>
                <w:b/>
                <w:bCs/>
              </w:rPr>
              <w:t>Latvia</w:t>
            </w:r>
            <w:bookmarkStart w:id="82" w:name="_Ref103616338"/>
            <w:r w:rsidRPr="008F189B">
              <w:rPr>
                <w:rStyle w:val="Voetnootmarkering"/>
                <w:bCs/>
              </w:rPr>
              <w:footnoteReference w:id="36"/>
            </w:r>
            <w:bookmarkEnd w:id="82"/>
          </w:p>
        </w:tc>
        <w:tc>
          <w:tcPr>
            <w:tcW w:w="6822" w:type="dxa"/>
            <w:vAlign w:val="center"/>
          </w:tcPr>
          <w:p w14:paraId="1625D83A" w14:textId="76330D96" w:rsidR="008367C9" w:rsidRPr="008F189B" w:rsidRDefault="008367C9" w:rsidP="008F189B">
            <w:pPr>
              <w:spacing w:after="60"/>
              <w:ind w:left="0" w:right="288"/>
              <w:jc w:val="both"/>
              <w:rPr>
                <w:rFonts w:cstheme="minorHAnsi"/>
                <w:szCs w:val="22"/>
              </w:rPr>
            </w:pPr>
            <w:r w:rsidRPr="008F189B">
              <w:rPr>
                <w:rFonts w:cstheme="minorHAnsi"/>
                <w:szCs w:val="22"/>
              </w:rPr>
              <w:t>-</w:t>
            </w:r>
            <w:r w:rsidR="00AA6E59" w:rsidRPr="00604DBF">
              <w:rPr>
                <w:rFonts w:cstheme="minorHAnsi"/>
                <w:b/>
                <w:bCs/>
                <w:szCs w:val="22"/>
              </w:rPr>
              <w:t xml:space="preserve"> </w:t>
            </w:r>
            <w:r w:rsidR="001662C8" w:rsidRPr="00604DBF">
              <w:rPr>
                <w:rFonts w:cstheme="minorHAnsi"/>
                <w:b/>
                <w:bCs/>
                <w:szCs w:val="22"/>
              </w:rPr>
              <w:t>Overall</w:t>
            </w:r>
            <w:r w:rsidR="00AA6E59" w:rsidRPr="00604DBF">
              <w:rPr>
                <w:rFonts w:cstheme="minorHAnsi"/>
                <w:b/>
                <w:bCs/>
                <w:szCs w:val="22"/>
              </w:rPr>
              <w:t xml:space="preserve"> </w:t>
            </w:r>
            <w:r w:rsidR="00AA6E59">
              <w:rPr>
                <w:rFonts w:cstheme="minorHAnsi"/>
                <w:b/>
                <w:bCs/>
                <w:szCs w:val="22"/>
              </w:rPr>
              <w:t xml:space="preserve">RES </w:t>
            </w:r>
            <w:r w:rsidR="00AA6E59" w:rsidRPr="00604DBF">
              <w:rPr>
                <w:rFonts w:cstheme="minorHAnsi"/>
                <w:b/>
                <w:bCs/>
                <w:szCs w:val="22"/>
              </w:rPr>
              <w:t>target</w:t>
            </w:r>
            <w:r w:rsidR="00AA6E59">
              <w:rPr>
                <w:rFonts w:cstheme="minorHAnsi"/>
                <w:szCs w:val="22"/>
              </w:rPr>
              <w:t xml:space="preserve">: </w:t>
            </w:r>
            <w:r w:rsidRPr="008F189B">
              <w:rPr>
                <w:rFonts w:cstheme="minorHAnsi"/>
                <w:szCs w:val="22"/>
              </w:rPr>
              <w:t>RE</w:t>
            </w:r>
            <w:r w:rsidR="006D059A">
              <w:rPr>
                <w:rFonts w:cstheme="minorHAnsi"/>
                <w:szCs w:val="22"/>
              </w:rPr>
              <w:t>S</w:t>
            </w:r>
            <w:r w:rsidRPr="008F189B">
              <w:rPr>
                <w:rFonts w:cstheme="minorHAnsi"/>
                <w:szCs w:val="22"/>
              </w:rPr>
              <w:t xml:space="preserve"> share </w:t>
            </w:r>
            <w:r w:rsidR="00246056">
              <w:rPr>
                <w:rFonts w:cstheme="minorHAnsi"/>
                <w:szCs w:val="22"/>
              </w:rPr>
              <w:t>in</w:t>
            </w:r>
            <w:r w:rsidRPr="008F189B">
              <w:rPr>
                <w:rFonts w:cstheme="minorHAnsi"/>
                <w:szCs w:val="22"/>
              </w:rPr>
              <w:t xml:space="preserve"> final energy consumption must be at least 45 % by 2030.</w:t>
            </w:r>
          </w:p>
          <w:p w14:paraId="44E4F0ED" w14:textId="264E8D46" w:rsidR="008367C9" w:rsidRPr="008F189B" w:rsidRDefault="008367C9" w:rsidP="008F189B">
            <w:pPr>
              <w:autoSpaceDE w:val="0"/>
              <w:autoSpaceDN w:val="0"/>
              <w:adjustRightInd w:val="0"/>
              <w:ind w:left="0"/>
              <w:jc w:val="both"/>
              <w:rPr>
                <w:rFonts w:cstheme="minorHAnsi"/>
                <w:color w:val="000000"/>
                <w:szCs w:val="22"/>
                <w:lang w:val="en-US"/>
              </w:rPr>
            </w:pPr>
            <w:r w:rsidRPr="008F189B">
              <w:rPr>
                <w:rFonts w:cstheme="minorHAnsi"/>
              </w:rPr>
              <w:t>-</w:t>
            </w:r>
            <w:r w:rsidRPr="008F189B">
              <w:rPr>
                <w:rFonts w:cstheme="minorHAnsi"/>
                <w:color w:val="000000"/>
                <w:szCs w:val="22"/>
                <w:lang w:val="en-US"/>
              </w:rPr>
              <w:t xml:space="preserve"> </w:t>
            </w:r>
            <w:r w:rsidR="00AA6E59" w:rsidRPr="00AA6E59">
              <w:rPr>
                <w:rFonts w:cstheme="minorHAnsi"/>
                <w:b/>
                <w:bCs/>
                <w:color w:val="000000"/>
                <w:szCs w:val="22"/>
                <w:lang w:val="en-US"/>
              </w:rPr>
              <w:t>B</w:t>
            </w:r>
            <w:r w:rsidRPr="00AA6E59">
              <w:rPr>
                <w:rFonts w:cstheme="minorHAnsi"/>
                <w:b/>
                <w:bCs/>
                <w:color w:val="000000"/>
                <w:szCs w:val="22"/>
                <w:lang w:val="en-US"/>
              </w:rPr>
              <w:t>iomethane</w:t>
            </w:r>
            <w:r w:rsidRPr="008F189B">
              <w:rPr>
                <w:rFonts w:cstheme="minorHAnsi"/>
                <w:color w:val="000000"/>
                <w:szCs w:val="22"/>
                <w:lang w:val="en-US"/>
              </w:rPr>
              <w:t xml:space="preserve"> production </w:t>
            </w:r>
            <w:r w:rsidR="00AA6E59">
              <w:rPr>
                <w:rFonts w:cstheme="minorHAnsi"/>
                <w:color w:val="000000"/>
                <w:szCs w:val="22"/>
                <w:lang w:val="en-US"/>
              </w:rPr>
              <w:t xml:space="preserve">will be stimulated </w:t>
            </w:r>
            <w:r w:rsidRPr="008F189B">
              <w:rPr>
                <w:rFonts w:cstheme="minorHAnsi"/>
                <w:color w:val="000000"/>
                <w:szCs w:val="22"/>
                <w:lang w:val="en-US"/>
              </w:rPr>
              <w:t xml:space="preserve">(biogas </w:t>
            </w:r>
            <w:r w:rsidR="00AA6E59">
              <w:rPr>
                <w:rFonts w:cstheme="minorHAnsi"/>
                <w:color w:val="000000"/>
                <w:szCs w:val="22"/>
                <w:lang w:val="en-US"/>
              </w:rPr>
              <w:t>upgrading</w:t>
            </w:r>
            <w:r w:rsidRPr="008F189B">
              <w:rPr>
                <w:rFonts w:cstheme="minorHAnsi"/>
                <w:color w:val="000000"/>
                <w:szCs w:val="22"/>
                <w:lang w:val="en-US"/>
              </w:rPr>
              <w:t>)</w:t>
            </w:r>
          </w:p>
          <w:p w14:paraId="1DFB955B" w14:textId="6742AD9A" w:rsidR="008367C9" w:rsidRPr="008F189B" w:rsidRDefault="008367C9" w:rsidP="008F189B">
            <w:pPr>
              <w:spacing w:after="60"/>
              <w:ind w:left="0" w:right="288"/>
              <w:jc w:val="both"/>
              <w:rPr>
                <w:rFonts w:cstheme="minorHAnsi"/>
                <w:szCs w:val="22"/>
              </w:rPr>
            </w:pPr>
            <w:r w:rsidRPr="008F189B">
              <w:rPr>
                <w:rFonts w:cstheme="minorHAnsi"/>
                <w:b/>
                <w:bCs/>
                <w:szCs w:val="22"/>
              </w:rPr>
              <w:t>-</w:t>
            </w:r>
            <w:r w:rsidR="00AA6E59">
              <w:rPr>
                <w:rFonts w:cstheme="minorHAnsi"/>
                <w:b/>
                <w:bCs/>
                <w:szCs w:val="22"/>
              </w:rPr>
              <w:t xml:space="preserve"> </w:t>
            </w:r>
            <w:r w:rsidRPr="008F189B">
              <w:rPr>
                <w:rFonts w:cstheme="minorHAnsi"/>
                <w:b/>
                <w:bCs/>
                <w:szCs w:val="22"/>
              </w:rPr>
              <w:t>Heating</w:t>
            </w:r>
            <w:r w:rsidR="006D059A">
              <w:rPr>
                <w:rFonts w:cstheme="minorHAnsi"/>
                <w:b/>
                <w:bCs/>
                <w:szCs w:val="22"/>
              </w:rPr>
              <w:t>:</w:t>
            </w:r>
            <w:r w:rsidRPr="008F189B">
              <w:rPr>
                <w:rFonts w:cstheme="minorHAnsi"/>
                <w:szCs w:val="22"/>
              </w:rPr>
              <w:t xml:space="preserve"> RE</w:t>
            </w:r>
            <w:r w:rsidR="00246056">
              <w:rPr>
                <w:rFonts w:cstheme="minorHAnsi"/>
                <w:szCs w:val="22"/>
              </w:rPr>
              <w:t>S</w:t>
            </w:r>
            <w:r w:rsidRPr="008F189B">
              <w:rPr>
                <w:rFonts w:cstheme="minorHAnsi"/>
                <w:szCs w:val="22"/>
              </w:rPr>
              <w:t xml:space="preserve"> share in the heating sector is at least 57.5% in 2030.</w:t>
            </w:r>
          </w:p>
          <w:p w14:paraId="579D950E" w14:textId="205FF4EF" w:rsidR="008367C9" w:rsidRPr="008F189B" w:rsidRDefault="008367C9" w:rsidP="008F189B">
            <w:pPr>
              <w:spacing w:after="60"/>
              <w:ind w:left="0" w:right="288"/>
              <w:jc w:val="both"/>
              <w:rPr>
                <w:rFonts w:cstheme="minorHAnsi"/>
                <w:szCs w:val="22"/>
              </w:rPr>
            </w:pPr>
            <w:r w:rsidRPr="008F189B">
              <w:rPr>
                <w:rFonts w:cstheme="minorHAnsi"/>
                <w:b/>
                <w:bCs/>
                <w:szCs w:val="22"/>
              </w:rPr>
              <w:lastRenderedPageBreak/>
              <w:t>-</w:t>
            </w:r>
            <w:r w:rsidR="006D059A">
              <w:rPr>
                <w:rFonts w:cstheme="minorHAnsi"/>
                <w:b/>
                <w:bCs/>
                <w:szCs w:val="22"/>
              </w:rPr>
              <w:t xml:space="preserve"> </w:t>
            </w:r>
            <w:r w:rsidRPr="008F189B">
              <w:rPr>
                <w:rFonts w:cstheme="minorHAnsi"/>
                <w:b/>
                <w:bCs/>
                <w:szCs w:val="22"/>
              </w:rPr>
              <w:t>Transport</w:t>
            </w:r>
            <w:r w:rsidR="006D059A">
              <w:rPr>
                <w:rFonts w:cstheme="minorHAnsi"/>
                <w:b/>
                <w:bCs/>
                <w:szCs w:val="22"/>
              </w:rPr>
              <w:t>:</w:t>
            </w:r>
            <w:r w:rsidRPr="008F189B">
              <w:rPr>
                <w:rFonts w:cstheme="minorHAnsi"/>
                <w:szCs w:val="22"/>
              </w:rPr>
              <w:t xml:space="preserve"> 14% of RE</w:t>
            </w:r>
            <w:r w:rsidR="006D059A">
              <w:rPr>
                <w:rFonts w:cstheme="minorHAnsi"/>
                <w:szCs w:val="22"/>
              </w:rPr>
              <w:t>S</w:t>
            </w:r>
            <w:r w:rsidRPr="008F189B">
              <w:rPr>
                <w:rFonts w:cstheme="minorHAnsi"/>
                <w:szCs w:val="22"/>
              </w:rPr>
              <w:t xml:space="preserve"> in final energy consumption plus advanced biofuels to be 3.5% of RE</w:t>
            </w:r>
            <w:r w:rsidR="00246056">
              <w:rPr>
                <w:rFonts w:cstheme="minorHAnsi"/>
                <w:szCs w:val="22"/>
              </w:rPr>
              <w:t>S</w:t>
            </w:r>
            <w:r w:rsidRPr="008F189B">
              <w:rPr>
                <w:rFonts w:cstheme="minorHAnsi"/>
                <w:szCs w:val="22"/>
              </w:rPr>
              <w:t xml:space="preserve"> in 2030. </w:t>
            </w:r>
            <w:r w:rsidR="00DC3403">
              <w:rPr>
                <w:rFonts w:cstheme="minorHAnsi"/>
                <w:szCs w:val="22"/>
              </w:rPr>
              <w:t>B</w:t>
            </w:r>
            <w:proofErr w:type="spellStart"/>
            <w:r w:rsidRPr="008F189B">
              <w:rPr>
                <w:rFonts w:cstheme="minorHAnsi"/>
                <w:color w:val="000000"/>
                <w:szCs w:val="22"/>
                <w:lang w:val="en-US"/>
              </w:rPr>
              <w:t>iogas</w:t>
            </w:r>
            <w:proofErr w:type="spellEnd"/>
            <w:r w:rsidRPr="008F189B">
              <w:rPr>
                <w:rFonts w:cstheme="minorHAnsi"/>
                <w:color w:val="000000"/>
                <w:szCs w:val="22"/>
                <w:lang w:val="en-US"/>
              </w:rPr>
              <w:t xml:space="preserve"> </w:t>
            </w:r>
            <w:r w:rsidR="00246056">
              <w:rPr>
                <w:rFonts w:cstheme="minorHAnsi"/>
                <w:color w:val="000000"/>
                <w:szCs w:val="22"/>
                <w:lang w:val="en-US"/>
              </w:rPr>
              <w:t xml:space="preserve">use </w:t>
            </w:r>
            <w:r w:rsidRPr="008F189B">
              <w:rPr>
                <w:rFonts w:cstheme="minorHAnsi"/>
                <w:color w:val="000000"/>
                <w:szCs w:val="22"/>
                <w:lang w:val="en-US"/>
              </w:rPr>
              <w:t>in the transport sector is 0.62 PJ by 2030. Consumption of alternative fuels (CNG, LNG, biofuel, biogas, and electricity) in road transport is increasing and amounts to 4.4 PJ in 2030. It corresponds to about 11.8 % of the total consumption in the transport sector.</w:t>
            </w:r>
          </w:p>
          <w:p w14:paraId="4195C816" w14:textId="694B911C" w:rsidR="008367C9" w:rsidRPr="000845C8" w:rsidRDefault="006D059A" w:rsidP="008F189B">
            <w:pPr>
              <w:ind w:left="0"/>
              <w:jc w:val="both"/>
              <w:rPr>
                <w:rFonts w:asciiTheme="minorHAnsi" w:hAnsiTheme="minorHAnsi" w:cstheme="minorHAnsi"/>
                <w:szCs w:val="22"/>
              </w:rPr>
            </w:pPr>
            <w:r>
              <w:rPr>
                <w:rFonts w:cstheme="minorHAnsi"/>
                <w:b/>
                <w:bCs/>
                <w:szCs w:val="22"/>
              </w:rPr>
              <w:t xml:space="preserve">- </w:t>
            </w:r>
            <w:r w:rsidR="008367C9" w:rsidRPr="008F189B">
              <w:rPr>
                <w:rFonts w:cstheme="minorHAnsi"/>
                <w:b/>
                <w:bCs/>
                <w:szCs w:val="22"/>
              </w:rPr>
              <w:t>Electricity Production</w:t>
            </w:r>
            <w:r>
              <w:rPr>
                <w:rFonts w:cstheme="minorHAnsi"/>
                <w:b/>
                <w:bCs/>
                <w:szCs w:val="22"/>
              </w:rPr>
              <w:t>:</w:t>
            </w:r>
            <w:r w:rsidR="008367C9" w:rsidRPr="008F189B">
              <w:rPr>
                <w:rFonts w:cstheme="minorHAnsi"/>
                <w:b/>
                <w:bCs/>
                <w:szCs w:val="22"/>
              </w:rPr>
              <w:t xml:space="preserve"> </w:t>
            </w:r>
            <w:r w:rsidRPr="006D059A">
              <w:rPr>
                <w:rFonts w:cstheme="minorHAnsi"/>
                <w:szCs w:val="22"/>
              </w:rPr>
              <w:t>Share</w:t>
            </w:r>
            <w:r w:rsidR="008367C9" w:rsidRPr="008F189B">
              <w:rPr>
                <w:rFonts w:cstheme="minorHAnsi"/>
                <w:szCs w:val="22"/>
              </w:rPr>
              <w:t xml:space="preserve"> of </w:t>
            </w:r>
            <w:r>
              <w:rPr>
                <w:rFonts w:cstheme="minorHAnsi"/>
                <w:szCs w:val="22"/>
              </w:rPr>
              <w:t xml:space="preserve">electricity </w:t>
            </w:r>
            <w:r w:rsidR="008367C9" w:rsidRPr="008F189B">
              <w:rPr>
                <w:rFonts w:cstheme="minorHAnsi"/>
                <w:szCs w:val="22"/>
              </w:rPr>
              <w:t xml:space="preserve">produced from RES in total final energy consumption </w:t>
            </w:r>
            <w:r>
              <w:rPr>
                <w:rFonts w:cstheme="minorHAnsi"/>
                <w:szCs w:val="22"/>
              </w:rPr>
              <w:t xml:space="preserve">should reach </w:t>
            </w:r>
            <w:r w:rsidR="008367C9" w:rsidRPr="008F189B">
              <w:rPr>
                <w:rFonts w:cstheme="minorHAnsi"/>
                <w:szCs w:val="22"/>
              </w:rPr>
              <w:t xml:space="preserve">47.5% in 2027 </w:t>
            </w:r>
            <w:r>
              <w:rPr>
                <w:rFonts w:cstheme="minorHAnsi"/>
                <w:szCs w:val="22"/>
              </w:rPr>
              <w:t>compared to</w:t>
            </w:r>
            <w:r w:rsidR="008367C9" w:rsidRPr="008F189B">
              <w:rPr>
                <w:rFonts w:cstheme="minorHAnsi"/>
                <w:szCs w:val="22"/>
              </w:rPr>
              <w:t xml:space="preserve"> 39.02% in 2017. </w:t>
            </w:r>
          </w:p>
        </w:tc>
      </w:tr>
      <w:tr w:rsidR="008367C9" w14:paraId="2D042004" w14:textId="77777777" w:rsidTr="00C74E95">
        <w:tc>
          <w:tcPr>
            <w:tcW w:w="1683" w:type="dxa"/>
            <w:vAlign w:val="center"/>
          </w:tcPr>
          <w:p w14:paraId="0161B0EA" w14:textId="764D855C" w:rsidR="008367C9" w:rsidRDefault="008367C9" w:rsidP="008F189B">
            <w:pPr>
              <w:ind w:left="0"/>
              <w:jc w:val="both"/>
              <w:rPr>
                <w:b/>
              </w:rPr>
            </w:pPr>
            <w:r w:rsidRPr="008F189B">
              <w:rPr>
                <w:b/>
                <w:bCs/>
              </w:rPr>
              <w:lastRenderedPageBreak/>
              <w:t>Lithuania</w:t>
            </w:r>
            <w:r w:rsidRPr="008F189B">
              <w:rPr>
                <w:rStyle w:val="Voetnootmarkering"/>
                <w:bCs/>
              </w:rPr>
              <w:footnoteReference w:id="37"/>
            </w:r>
          </w:p>
        </w:tc>
        <w:tc>
          <w:tcPr>
            <w:tcW w:w="6822" w:type="dxa"/>
            <w:vAlign w:val="center"/>
          </w:tcPr>
          <w:p w14:paraId="44267C14" w14:textId="1F9D210A" w:rsidR="008367C9" w:rsidRPr="008F189B" w:rsidRDefault="008367C9" w:rsidP="00DB7B12">
            <w:pPr>
              <w:spacing w:after="60"/>
              <w:ind w:left="0" w:right="288"/>
              <w:jc w:val="both"/>
              <w:rPr>
                <w:rFonts w:cstheme="minorHAnsi"/>
                <w:szCs w:val="22"/>
              </w:rPr>
            </w:pPr>
            <w:r w:rsidRPr="008F189B">
              <w:rPr>
                <w:rFonts w:cstheme="minorHAnsi"/>
                <w:szCs w:val="22"/>
              </w:rPr>
              <w:t>-</w:t>
            </w:r>
            <w:r w:rsidR="00AA6E59" w:rsidRPr="00604DBF">
              <w:rPr>
                <w:rFonts w:cstheme="minorHAnsi"/>
                <w:b/>
                <w:bCs/>
                <w:szCs w:val="22"/>
              </w:rPr>
              <w:t xml:space="preserve"> </w:t>
            </w:r>
            <w:r w:rsidR="001662C8" w:rsidRPr="00604DBF">
              <w:rPr>
                <w:rFonts w:cstheme="minorHAnsi"/>
                <w:b/>
                <w:bCs/>
                <w:szCs w:val="22"/>
              </w:rPr>
              <w:t>Overall</w:t>
            </w:r>
            <w:r w:rsidR="00AA6E59" w:rsidRPr="00604DBF">
              <w:rPr>
                <w:rFonts w:cstheme="minorHAnsi"/>
                <w:b/>
                <w:bCs/>
                <w:szCs w:val="22"/>
              </w:rPr>
              <w:t xml:space="preserve"> </w:t>
            </w:r>
            <w:r w:rsidR="00AA6E59">
              <w:rPr>
                <w:rFonts w:cstheme="minorHAnsi"/>
                <w:b/>
                <w:bCs/>
                <w:szCs w:val="22"/>
              </w:rPr>
              <w:t xml:space="preserve">RES </w:t>
            </w:r>
            <w:r w:rsidR="00AA6E59" w:rsidRPr="00604DBF">
              <w:rPr>
                <w:rFonts w:cstheme="minorHAnsi"/>
                <w:b/>
                <w:bCs/>
                <w:szCs w:val="22"/>
              </w:rPr>
              <w:t>target</w:t>
            </w:r>
            <w:r w:rsidR="00AA6E59">
              <w:rPr>
                <w:rFonts w:cstheme="minorHAnsi"/>
                <w:szCs w:val="22"/>
              </w:rPr>
              <w:t>:</w:t>
            </w:r>
            <w:r w:rsidR="006D059A">
              <w:rPr>
                <w:rFonts w:cstheme="minorHAnsi"/>
                <w:szCs w:val="22"/>
              </w:rPr>
              <w:t xml:space="preserve"> </w:t>
            </w:r>
            <w:r w:rsidRPr="008F189B">
              <w:rPr>
                <w:rFonts w:cstheme="minorHAnsi"/>
                <w:szCs w:val="22"/>
              </w:rPr>
              <w:t>RE</w:t>
            </w:r>
            <w:r w:rsidR="006D059A">
              <w:rPr>
                <w:rFonts w:cstheme="minorHAnsi"/>
                <w:szCs w:val="22"/>
              </w:rPr>
              <w:t>S</w:t>
            </w:r>
            <w:r w:rsidRPr="008F189B">
              <w:rPr>
                <w:rFonts w:cstheme="minorHAnsi"/>
                <w:szCs w:val="22"/>
              </w:rPr>
              <w:t xml:space="preserve"> share in gross final energy consumption must be at least 45% by 2030.</w:t>
            </w:r>
          </w:p>
          <w:p w14:paraId="1372F3B8" w14:textId="11E0B6FD" w:rsidR="008367C9" w:rsidRPr="008F189B" w:rsidRDefault="008367C9" w:rsidP="00DB7B12">
            <w:pPr>
              <w:spacing w:after="60"/>
              <w:ind w:left="0" w:right="288"/>
              <w:jc w:val="both"/>
              <w:rPr>
                <w:rFonts w:cstheme="minorHAnsi"/>
                <w:szCs w:val="22"/>
              </w:rPr>
            </w:pPr>
            <w:r w:rsidRPr="008F189B">
              <w:rPr>
                <w:rFonts w:cstheme="minorHAnsi"/>
                <w:b/>
                <w:bCs/>
                <w:szCs w:val="22"/>
              </w:rPr>
              <w:t>-</w:t>
            </w:r>
            <w:r w:rsidR="006D059A">
              <w:rPr>
                <w:rFonts w:cstheme="minorHAnsi"/>
                <w:b/>
                <w:bCs/>
                <w:szCs w:val="22"/>
              </w:rPr>
              <w:t xml:space="preserve"> </w:t>
            </w:r>
            <w:r w:rsidRPr="008F189B">
              <w:rPr>
                <w:rFonts w:cstheme="minorHAnsi"/>
                <w:b/>
                <w:bCs/>
                <w:szCs w:val="22"/>
              </w:rPr>
              <w:t>Buildings</w:t>
            </w:r>
            <w:r w:rsidR="006D059A">
              <w:rPr>
                <w:rFonts w:cstheme="minorHAnsi"/>
                <w:b/>
                <w:bCs/>
                <w:szCs w:val="22"/>
              </w:rPr>
              <w:t xml:space="preserve">: </w:t>
            </w:r>
            <w:r w:rsidRPr="008F189B">
              <w:rPr>
                <w:rFonts w:cstheme="minorHAnsi"/>
                <w:szCs w:val="22"/>
              </w:rPr>
              <w:t>By 2030, the</w:t>
            </w:r>
            <w:r w:rsidRPr="008F189B">
              <w:rPr>
                <w:rFonts w:cstheme="minorHAnsi"/>
                <w:b/>
                <w:bCs/>
                <w:szCs w:val="22"/>
              </w:rPr>
              <w:t xml:space="preserve"> s</w:t>
            </w:r>
            <w:r w:rsidRPr="008F189B">
              <w:rPr>
                <w:rFonts w:cstheme="minorHAnsi"/>
                <w:szCs w:val="22"/>
              </w:rPr>
              <w:t>hare of RE</w:t>
            </w:r>
            <w:r w:rsidR="006D059A">
              <w:rPr>
                <w:rFonts w:cstheme="minorHAnsi"/>
                <w:szCs w:val="22"/>
              </w:rPr>
              <w:t>S</w:t>
            </w:r>
            <w:r w:rsidRPr="008F189B">
              <w:rPr>
                <w:rFonts w:cstheme="minorHAnsi"/>
                <w:szCs w:val="22"/>
              </w:rPr>
              <w:t xml:space="preserve"> in H&amp;C </w:t>
            </w:r>
            <w:r w:rsidR="006D059A">
              <w:rPr>
                <w:rFonts w:cstheme="minorHAnsi"/>
                <w:szCs w:val="22"/>
              </w:rPr>
              <w:t>should be</w:t>
            </w:r>
            <w:r w:rsidRPr="008F189B">
              <w:rPr>
                <w:rFonts w:cstheme="minorHAnsi"/>
                <w:szCs w:val="22"/>
              </w:rPr>
              <w:t xml:space="preserve"> 67.2% and 90% in district heating.</w:t>
            </w:r>
          </w:p>
          <w:p w14:paraId="3BFC9543" w14:textId="00C34E9A" w:rsidR="008367C9" w:rsidRPr="008F189B" w:rsidRDefault="008367C9" w:rsidP="008F189B">
            <w:pPr>
              <w:spacing w:after="60"/>
              <w:ind w:left="0" w:right="288"/>
              <w:jc w:val="both"/>
              <w:rPr>
                <w:rFonts w:cstheme="minorHAnsi"/>
                <w:szCs w:val="22"/>
              </w:rPr>
            </w:pPr>
            <w:r w:rsidRPr="008F189B">
              <w:rPr>
                <w:rFonts w:cstheme="minorHAnsi"/>
                <w:b/>
                <w:bCs/>
                <w:szCs w:val="22"/>
              </w:rPr>
              <w:t>-</w:t>
            </w:r>
            <w:r w:rsidR="006D059A">
              <w:rPr>
                <w:rFonts w:cstheme="minorHAnsi"/>
                <w:b/>
                <w:bCs/>
                <w:szCs w:val="22"/>
              </w:rPr>
              <w:t xml:space="preserve"> </w:t>
            </w:r>
            <w:r w:rsidRPr="008F189B">
              <w:rPr>
                <w:rFonts w:cstheme="minorHAnsi"/>
                <w:b/>
                <w:bCs/>
                <w:szCs w:val="22"/>
              </w:rPr>
              <w:t>Transport</w:t>
            </w:r>
            <w:r w:rsidR="006D059A">
              <w:rPr>
                <w:rFonts w:cstheme="minorHAnsi"/>
                <w:b/>
                <w:bCs/>
                <w:szCs w:val="22"/>
              </w:rPr>
              <w:t>:</w:t>
            </w:r>
            <w:r w:rsidRPr="008F189B">
              <w:rPr>
                <w:rFonts w:cstheme="minorHAnsi"/>
                <w:szCs w:val="22"/>
              </w:rPr>
              <w:t xml:space="preserve"> RE</w:t>
            </w:r>
            <w:r w:rsidR="006D059A">
              <w:rPr>
                <w:rFonts w:cstheme="minorHAnsi"/>
                <w:szCs w:val="22"/>
              </w:rPr>
              <w:t>S</w:t>
            </w:r>
            <w:r w:rsidRPr="008F189B">
              <w:rPr>
                <w:rFonts w:cstheme="minorHAnsi"/>
                <w:szCs w:val="22"/>
              </w:rPr>
              <w:t xml:space="preserve"> share in final energy consumption in transport sector must be 15% by 2030 and 50% by 2050. </w:t>
            </w:r>
            <w:r w:rsidR="00246056">
              <w:rPr>
                <w:rFonts w:cstheme="minorHAnsi"/>
                <w:szCs w:val="22"/>
              </w:rPr>
              <w:t>Use</w:t>
            </w:r>
            <w:r w:rsidRPr="008F189B">
              <w:rPr>
                <w:rFonts w:cstheme="minorHAnsi"/>
                <w:szCs w:val="22"/>
                <w:lang w:val="en-US"/>
              </w:rPr>
              <w:t xml:space="preserve"> of biomethane gas </w:t>
            </w:r>
            <w:r w:rsidR="00246056">
              <w:rPr>
                <w:rFonts w:cstheme="minorHAnsi"/>
                <w:szCs w:val="22"/>
                <w:lang w:val="en-US"/>
              </w:rPr>
              <w:t>in</w:t>
            </w:r>
            <w:r w:rsidRPr="008F189B">
              <w:rPr>
                <w:rFonts w:cstheme="minorHAnsi"/>
                <w:szCs w:val="22"/>
                <w:lang w:val="en-US"/>
              </w:rPr>
              <w:t xml:space="preserve"> the transport sector </w:t>
            </w:r>
            <w:r w:rsidR="006D059A">
              <w:rPr>
                <w:rFonts w:cstheme="minorHAnsi"/>
                <w:szCs w:val="22"/>
                <w:lang w:val="en-US"/>
              </w:rPr>
              <w:t xml:space="preserve">should reach </w:t>
            </w:r>
            <w:r w:rsidRPr="008F189B">
              <w:rPr>
                <w:rFonts w:cstheme="minorHAnsi"/>
                <w:szCs w:val="22"/>
                <w:lang w:val="en-US"/>
              </w:rPr>
              <w:t xml:space="preserve">81.5 </w:t>
            </w:r>
            <w:proofErr w:type="spellStart"/>
            <w:r w:rsidRPr="008F189B">
              <w:rPr>
                <w:rFonts w:cstheme="minorHAnsi"/>
                <w:szCs w:val="22"/>
                <w:lang w:val="en-US"/>
              </w:rPr>
              <w:t>ktoe</w:t>
            </w:r>
            <w:proofErr w:type="spellEnd"/>
            <w:r w:rsidRPr="008F189B">
              <w:rPr>
                <w:rFonts w:cstheme="minorHAnsi"/>
                <w:szCs w:val="22"/>
                <w:lang w:val="en-US"/>
              </w:rPr>
              <w:t xml:space="preserve"> by 2030</w:t>
            </w:r>
            <w:r w:rsidR="006D059A">
              <w:rPr>
                <w:rFonts w:cstheme="minorHAnsi"/>
                <w:szCs w:val="22"/>
                <w:lang w:val="en-US"/>
              </w:rPr>
              <w:t>.</w:t>
            </w:r>
          </w:p>
          <w:p w14:paraId="1BCC9FA8" w14:textId="42DF468C" w:rsidR="008367C9" w:rsidRPr="000845C8" w:rsidRDefault="008367C9" w:rsidP="008F189B">
            <w:pPr>
              <w:ind w:left="0"/>
              <w:jc w:val="both"/>
              <w:rPr>
                <w:rFonts w:asciiTheme="minorHAnsi" w:hAnsiTheme="minorHAnsi" w:cstheme="minorHAnsi"/>
                <w:szCs w:val="22"/>
              </w:rPr>
            </w:pPr>
            <w:r w:rsidRPr="008F189B">
              <w:rPr>
                <w:rFonts w:cstheme="minorHAnsi"/>
                <w:b/>
                <w:bCs/>
                <w:szCs w:val="22"/>
              </w:rPr>
              <w:t>-</w:t>
            </w:r>
            <w:r w:rsidR="006D059A">
              <w:rPr>
                <w:rFonts w:cstheme="minorHAnsi"/>
                <w:b/>
                <w:bCs/>
                <w:szCs w:val="22"/>
              </w:rPr>
              <w:t xml:space="preserve"> </w:t>
            </w:r>
            <w:r w:rsidRPr="008F189B">
              <w:rPr>
                <w:rFonts w:cstheme="minorHAnsi"/>
                <w:b/>
                <w:bCs/>
                <w:szCs w:val="22"/>
              </w:rPr>
              <w:t>Electricity Production</w:t>
            </w:r>
            <w:r w:rsidR="006D059A">
              <w:rPr>
                <w:rFonts w:cstheme="minorHAnsi"/>
                <w:b/>
                <w:bCs/>
                <w:szCs w:val="22"/>
              </w:rPr>
              <w:t>:</w:t>
            </w:r>
            <w:r w:rsidRPr="008F189B">
              <w:rPr>
                <w:rFonts w:cstheme="minorHAnsi"/>
                <w:szCs w:val="22"/>
              </w:rPr>
              <w:t xml:space="preserve"> RE</w:t>
            </w:r>
            <w:r w:rsidR="006D059A">
              <w:rPr>
                <w:rFonts w:cstheme="minorHAnsi"/>
                <w:szCs w:val="22"/>
              </w:rPr>
              <w:t>S</w:t>
            </w:r>
            <w:r w:rsidRPr="008F189B">
              <w:rPr>
                <w:rFonts w:cstheme="minorHAnsi"/>
                <w:szCs w:val="22"/>
              </w:rPr>
              <w:t xml:space="preserve"> share in final energy consumption in electricity sector </w:t>
            </w:r>
            <w:r w:rsidR="006D059A">
              <w:rPr>
                <w:rFonts w:cstheme="minorHAnsi"/>
                <w:szCs w:val="22"/>
              </w:rPr>
              <w:t xml:space="preserve">should </w:t>
            </w:r>
            <w:r w:rsidR="00246056">
              <w:rPr>
                <w:rFonts w:cstheme="minorHAnsi"/>
                <w:szCs w:val="22"/>
              </w:rPr>
              <w:t>reach</w:t>
            </w:r>
            <w:r w:rsidRPr="008F189B">
              <w:rPr>
                <w:rFonts w:cstheme="minorHAnsi"/>
                <w:szCs w:val="22"/>
              </w:rPr>
              <w:t xml:space="preserve"> 45% by 2030 and 100% by 2050.</w:t>
            </w:r>
            <w:r w:rsidRPr="008F189B">
              <w:rPr>
                <w:rFonts w:cstheme="minorHAnsi"/>
                <w:b/>
                <w:bCs/>
                <w:szCs w:val="22"/>
              </w:rPr>
              <w:t xml:space="preserve"> </w:t>
            </w:r>
            <w:r w:rsidRPr="008F189B">
              <w:rPr>
                <w:rFonts w:cstheme="minorHAnsi"/>
                <w:szCs w:val="22"/>
              </w:rPr>
              <w:t xml:space="preserve">Biofuel power plants between 47.5 and 50.1 </w:t>
            </w:r>
            <w:proofErr w:type="spellStart"/>
            <w:r w:rsidR="007F32DB">
              <w:rPr>
                <w:rFonts w:cstheme="minorHAnsi"/>
                <w:szCs w:val="22"/>
              </w:rPr>
              <w:t>ktoe</w:t>
            </w:r>
            <w:proofErr w:type="spellEnd"/>
            <w:r w:rsidR="007F32DB">
              <w:rPr>
                <w:rFonts w:cstheme="minorHAnsi"/>
                <w:szCs w:val="22"/>
              </w:rPr>
              <w:t xml:space="preserve"> </w:t>
            </w:r>
            <w:r w:rsidRPr="008F189B">
              <w:rPr>
                <w:rFonts w:cstheme="minorHAnsi"/>
                <w:szCs w:val="22"/>
              </w:rPr>
              <w:t xml:space="preserve">and biogas plants 10.9 </w:t>
            </w:r>
            <w:proofErr w:type="spellStart"/>
            <w:r w:rsidRPr="008F189B">
              <w:rPr>
                <w:rFonts w:cstheme="minorHAnsi"/>
                <w:szCs w:val="22"/>
              </w:rPr>
              <w:t>ktoe</w:t>
            </w:r>
            <w:proofErr w:type="spellEnd"/>
            <w:r w:rsidRPr="008F189B">
              <w:rPr>
                <w:rFonts w:cstheme="minorHAnsi"/>
                <w:szCs w:val="22"/>
              </w:rPr>
              <w:t xml:space="preserve"> by 2030.</w:t>
            </w:r>
          </w:p>
        </w:tc>
      </w:tr>
      <w:tr w:rsidR="008367C9" w14:paraId="666E0D2F" w14:textId="77777777" w:rsidTr="00C74E95">
        <w:tc>
          <w:tcPr>
            <w:tcW w:w="1683" w:type="dxa"/>
            <w:vAlign w:val="center"/>
          </w:tcPr>
          <w:p w14:paraId="09202992" w14:textId="16CAE4AB" w:rsidR="008367C9" w:rsidRDefault="008367C9" w:rsidP="008F189B">
            <w:pPr>
              <w:ind w:left="0"/>
              <w:jc w:val="both"/>
              <w:rPr>
                <w:b/>
              </w:rPr>
            </w:pPr>
            <w:r w:rsidRPr="008F189B">
              <w:rPr>
                <w:b/>
                <w:bCs/>
              </w:rPr>
              <w:t>Finland</w:t>
            </w:r>
            <w:bookmarkStart w:id="83" w:name="_Ref108112042"/>
            <w:r w:rsidRPr="008F189B">
              <w:rPr>
                <w:rStyle w:val="Voetnootmarkering"/>
                <w:bCs/>
              </w:rPr>
              <w:footnoteReference w:id="38"/>
            </w:r>
            <w:bookmarkEnd w:id="83"/>
          </w:p>
        </w:tc>
        <w:tc>
          <w:tcPr>
            <w:tcW w:w="6822" w:type="dxa"/>
            <w:vAlign w:val="center"/>
          </w:tcPr>
          <w:p w14:paraId="7838D9C1" w14:textId="0AA22F4C" w:rsidR="008367C9" w:rsidRPr="008F189B" w:rsidRDefault="008367C9" w:rsidP="008F189B">
            <w:pPr>
              <w:spacing w:after="60"/>
              <w:ind w:left="0" w:right="288"/>
              <w:jc w:val="both"/>
              <w:rPr>
                <w:rFonts w:cstheme="minorHAnsi"/>
                <w:szCs w:val="22"/>
              </w:rPr>
            </w:pPr>
            <w:r w:rsidRPr="008F189B">
              <w:rPr>
                <w:rFonts w:cstheme="minorHAnsi"/>
                <w:szCs w:val="22"/>
              </w:rPr>
              <w:t>-</w:t>
            </w:r>
            <w:r w:rsidR="00AA6E59" w:rsidRPr="00604DBF">
              <w:rPr>
                <w:rFonts w:cstheme="minorHAnsi"/>
                <w:b/>
                <w:bCs/>
                <w:szCs w:val="22"/>
              </w:rPr>
              <w:t xml:space="preserve"> </w:t>
            </w:r>
            <w:r w:rsidR="001662C8" w:rsidRPr="00604DBF">
              <w:rPr>
                <w:rFonts w:cstheme="minorHAnsi"/>
                <w:b/>
                <w:bCs/>
                <w:szCs w:val="22"/>
              </w:rPr>
              <w:t>Overall</w:t>
            </w:r>
            <w:r w:rsidR="00AA6E59" w:rsidRPr="00604DBF">
              <w:rPr>
                <w:rFonts w:cstheme="minorHAnsi"/>
                <w:b/>
                <w:bCs/>
                <w:szCs w:val="22"/>
              </w:rPr>
              <w:t xml:space="preserve"> </w:t>
            </w:r>
            <w:r w:rsidR="00AA6E59">
              <w:rPr>
                <w:rFonts w:cstheme="minorHAnsi"/>
                <w:b/>
                <w:bCs/>
                <w:szCs w:val="22"/>
              </w:rPr>
              <w:t xml:space="preserve">RES </w:t>
            </w:r>
            <w:r w:rsidR="00AA6E59" w:rsidRPr="00604DBF">
              <w:rPr>
                <w:rFonts w:cstheme="minorHAnsi"/>
                <w:b/>
                <w:bCs/>
                <w:szCs w:val="22"/>
              </w:rPr>
              <w:t>target</w:t>
            </w:r>
            <w:r w:rsidR="00AA6E59">
              <w:rPr>
                <w:rFonts w:cstheme="minorHAnsi"/>
                <w:szCs w:val="22"/>
              </w:rPr>
              <w:t>:</w:t>
            </w:r>
            <w:r w:rsidR="006D059A">
              <w:rPr>
                <w:rFonts w:cstheme="minorHAnsi"/>
                <w:szCs w:val="22"/>
              </w:rPr>
              <w:t xml:space="preserve"> </w:t>
            </w:r>
            <w:r w:rsidRPr="008F189B">
              <w:rPr>
                <w:rFonts w:cstheme="minorHAnsi"/>
                <w:szCs w:val="22"/>
              </w:rPr>
              <w:t>RE</w:t>
            </w:r>
            <w:r w:rsidR="006D059A">
              <w:rPr>
                <w:rFonts w:cstheme="minorHAnsi"/>
                <w:szCs w:val="22"/>
              </w:rPr>
              <w:t>S</w:t>
            </w:r>
            <w:r w:rsidRPr="008F189B">
              <w:rPr>
                <w:rFonts w:cstheme="minorHAnsi"/>
                <w:szCs w:val="22"/>
              </w:rPr>
              <w:t xml:space="preserve"> share target is 51% for the year 2030.</w:t>
            </w:r>
          </w:p>
          <w:p w14:paraId="3806B601" w14:textId="0AFD2033" w:rsidR="008367C9" w:rsidRPr="008F189B" w:rsidRDefault="008367C9" w:rsidP="008F189B">
            <w:pPr>
              <w:spacing w:after="60"/>
              <w:ind w:left="0"/>
              <w:jc w:val="both"/>
              <w:rPr>
                <w:rFonts w:cstheme="minorHAnsi"/>
                <w:szCs w:val="22"/>
              </w:rPr>
            </w:pPr>
            <w:r w:rsidRPr="008F189B">
              <w:rPr>
                <w:rFonts w:cstheme="minorHAnsi"/>
                <w:b/>
                <w:bCs/>
                <w:szCs w:val="22"/>
              </w:rPr>
              <w:t>-</w:t>
            </w:r>
            <w:r w:rsidR="005A2CD4">
              <w:rPr>
                <w:rFonts w:cstheme="minorHAnsi"/>
                <w:b/>
                <w:bCs/>
                <w:szCs w:val="22"/>
              </w:rPr>
              <w:t xml:space="preserve"> </w:t>
            </w:r>
            <w:r w:rsidRPr="008F189B">
              <w:rPr>
                <w:rFonts w:cstheme="minorHAnsi"/>
                <w:b/>
                <w:bCs/>
                <w:szCs w:val="22"/>
              </w:rPr>
              <w:t>Agriculture</w:t>
            </w:r>
            <w:r w:rsidR="005A2CD4">
              <w:rPr>
                <w:rFonts w:cstheme="minorHAnsi"/>
                <w:b/>
                <w:bCs/>
                <w:szCs w:val="22"/>
              </w:rPr>
              <w:t xml:space="preserve">: </w:t>
            </w:r>
            <w:r w:rsidRPr="008F189B">
              <w:rPr>
                <w:rFonts w:cstheme="minorHAnsi"/>
                <w:szCs w:val="22"/>
              </w:rPr>
              <w:t xml:space="preserve">The use of forest chips and pulpwood </w:t>
            </w:r>
            <w:r w:rsidR="007F32DB">
              <w:rPr>
                <w:rFonts w:cstheme="minorHAnsi"/>
                <w:szCs w:val="22"/>
              </w:rPr>
              <w:t>for</w:t>
            </w:r>
            <w:r w:rsidRPr="008F189B">
              <w:rPr>
                <w:rFonts w:cstheme="minorHAnsi"/>
                <w:szCs w:val="22"/>
              </w:rPr>
              <w:t xml:space="preserve"> electricity and heat production is 29-34 TWh and for making biofuels is 7-19 TWh</w:t>
            </w:r>
            <w:r w:rsidR="008A147A">
              <w:rPr>
                <w:rFonts w:cstheme="minorHAnsi"/>
                <w:szCs w:val="22"/>
              </w:rPr>
              <w:t xml:space="preserve"> by 2030</w:t>
            </w:r>
            <w:r w:rsidRPr="008F189B">
              <w:rPr>
                <w:rFonts w:cstheme="minorHAnsi"/>
                <w:szCs w:val="22"/>
              </w:rPr>
              <w:t>.</w:t>
            </w:r>
          </w:p>
          <w:p w14:paraId="74811129" w14:textId="72A8382D" w:rsidR="008367C9" w:rsidRPr="008F189B" w:rsidRDefault="008367C9" w:rsidP="008F189B">
            <w:pPr>
              <w:spacing w:after="60"/>
              <w:ind w:left="-15" w:right="288"/>
              <w:jc w:val="both"/>
              <w:rPr>
                <w:rFonts w:cstheme="minorHAnsi"/>
                <w:szCs w:val="22"/>
              </w:rPr>
            </w:pPr>
            <w:r w:rsidRPr="008F189B">
              <w:rPr>
                <w:rFonts w:cstheme="minorHAnsi"/>
                <w:b/>
                <w:bCs/>
                <w:szCs w:val="22"/>
              </w:rPr>
              <w:t>-</w:t>
            </w:r>
            <w:r w:rsidR="005A2CD4">
              <w:rPr>
                <w:rFonts w:cstheme="minorHAnsi"/>
                <w:b/>
                <w:bCs/>
                <w:szCs w:val="22"/>
              </w:rPr>
              <w:t xml:space="preserve"> </w:t>
            </w:r>
            <w:r w:rsidRPr="008F189B">
              <w:rPr>
                <w:rFonts w:cstheme="minorHAnsi"/>
                <w:b/>
                <w:bCs/>
                <w:szCs w:val="22"/>
              </w:rPr>
              <w:t>Heating</w:t>
            </w:r>
            <w:r w:rsidR="005A2CD4">
              <w:rPr>
                <w:rFonts w:cstheme="minorHAnsi"/>
                <w:b/>
                <w:bCs/>
                <w:szCs w:val="22"/>
              </w:rPr>
              <w:t xml:space="preserve">: </w:t>
            </w:r>
            <w:r w:rsidRPr="008F189B">
              <w:rPr>
                <w:rFonts w:cstheme="minorHAnsi"/>
                <w:szCs w:val="22"/>
              </w:rPr>
              <w:t>R</w:t>
            </w:r>
            <w:r w:rsidR="005A2CD4">
              <w:rPr>
                <w:rFonts w:cstheme="minorHAnsi"/>
                <w:szCs w:val="22"/>
              </w:rPr>
              <w:t>ES share must by 2030 reach</w:t>
            </w:r>
            <w:r w:rsidRPr="008F189B">
              <w:rPr>
                <w:rFonts w:cstheme="minorHAnsi"/>
                <w:szCs w:val="22"/>
              </w:rPr>
              <w:t xml:space="preserve"> 61% of gross final energy consumption. Heating energy use is 54 TWh for 2030 except saunas. Total </w:t>
            </w:r>
            <w:r w:rsidR="005A2CD4">
              <w:rPr>
                <w:rFonts w:cstheme="minorHAnsi"/>
                <w:szCs w:val="22"/>
              </w:rPr>
              <w:t xml:space="preserve">GHG </w:t>
            </w:r>
            <w:r w:rsidRPr="008F189B">
              <w:rPr>
                <w:rFonts w:cstheme="minorHAnsi"/>
                <w:szCs w:val="22"/>
              </w:rPr>
              <w:t>emissions reduction</w:t>
            </w:r>
            <w:r w:rsidR="005A2CD4">
              <w:rPr>
                <w:rFonts w:cstheme="minorHAnsi"/>
                <w:szCs w:val="22"/>
              </w:rPr>
              <w:t xml:space="preserve"> would be</w:t>
            </w:r>
            <w:r w:rsidRPr="008F189B">
              <w:rPr>
                <w:rFonts w:cstheme="minorHAnsi"/>
                <w:szCs w:val="22"/>
              </w:rPr>
              <w:t xml:space="preserve"> 62% in 2030.</w:t>
            </w:r>
          </w:p>
          <w:p w14:paraId="167C5911" w14:textId="05064B7C" w:rsidR="008F189B" w:rsidRPr="008F189B" w:rsidRDefault="008367C9" w:rsidP="008F189B">
            <w:pPr>
              <w:spacing w:after="60"/>
              <w:ind w:left="0" w:right="288"/>
              <w:jc w:val="both"/>
              <w:rPr>
                <w:rFonts w:cstheme="minorHAnsi"/>
                <w:szCs w:val="22"/>
              </w:rPr>
            </w:pPr>
            <w:r w:rsidRPr="008F189B">
              <w:rPr>
                <w:rFonts w:cstheme="minorHAnsi"/>
                <w:b/>
                <w:bCs/>
                <w:szCs w:val="22"/>
              </w:rPr>
              <w:t>-</w:t>
            </w:r>
            <w:r w:rsidR="005A2CD4">
              <w:rPr>
                <w:rFonts w:cstheme="minorHAnsi"/>
                <w:b/>
                <w:bCs/>
                <w:szCs w:val="22"/>
              </w:rPr>
              <w:t xml:space="preserve"> </w:t>
            </w:r>
            <w:r w:rsidRPr="00003568">
              <w:rPr>
                <w:rFonts w:cstheme="minorHAnsi"/>
                <w:b/>
                <w:bCs/>
                <w:color w:val="000000" w:themeColor="text1"/>
                <w:szCs w:val="22"/>
              </w:rPr>
              <w:t>Transport</w:t>
            </w:r>
            <w:r w:rsidR="005A2CD4" w:rsidRPr="00003568">
              <w:rPr>
                <w:rFonts w:cstheme="minorHAnsi"/>
                <w:b/>
                <w:bCs/>
                <w:color w:val="000000" w:themeColor="text1"/>
                <w:szCs w:val="22"/>
              </w:rPr>
              <w:t>:</w:t>
            </w:r>
            <w:r w:rsidRPr="00003568">
              <w:rPr>
                <w:rFonts w:cstheme="minorHAnsi"/>
                <w:color w:val="000000" w:themeColor="text1"/>
                <w:szCs w:val="22"/>
              </w:rPr>
              <w:t xml:space="preserve"> By 2030, the number of electric cars </w:t>
            </w:r>
            <w:r w:rsidR="005A2CD4" w:rsidRPr="00003568">
              <w:rPr>
                <w:rFonts w:cstheme="minorHAnsi"/>
                <w:color w:val="000000" w:themeColor="text1"/>
                <w:szCs w:val="22"/>
              </w:rPr>
              <w:t>should be</w:t>
            </w:r>
            <w:r w:rsidRPr="00003568">
              <w:rPr>
                <w:rFonts w:cstheme="minorHAnsi"/>
                <w:color w:val="000000" w:themeColor="text1"/>
                <w:szCs w:val="22"/>
              </w:rPr>
              <w:t xml:space="preserve"> at least 250,000 </w:t>
            </w:r>
            <w:r w:rsidR="00321628" w:rsidRPr="00003568">
              <w:rPr>
                <w:rFonts w:cstheme="minorHAnsi"/>
                <w:color w:val="000000" w:themeColor="text1"/>
                <w:szCs w:val="22"/>
              </w:rPr>
              <w:t>next to minimum 50,000</w:t>
            </w:r>
            <w:r w:rsidRPr="00003568">
              <w:rPr>
                <w:rFonts w:cstheme="minorHAnsi"/>
                <w:color w:val="000000" w:themeColor="text1"/>
                <w:szCs w:val="22"/>
              </w:rPr>
              <w:t xml:space="preserve"> gas-powered cars</w:t>
            </w:r>
            <w:r w:rsidR="00321628" w:rsidRPr="00003568">
              <w:rPr>
                <w:rFonts w:cstheme="minorHAnsi"/>
                <w:color w:val="000000" w:themeColor="text1"/>
                <w:szCs w:val="22"/>
              </w:rPr>
              <w:t>. Share of</w:t>
            </w:r>
            <w:r w:rsidRPr="00003568">
              <w:rPr>
                <w:rFonts w:cstheme="minorHAnsi"/>
                <w:color w:val="000000" w:themeColor="text1"/>
                <w:szCs w:val="22"/>
              </w:rPr>
              <w:t xml:space="preserve"> biofuel in all transport fuels consumed in Finland </w:t>
            </w:r>
            <w:r w:rsidR="00321628" w:rsidRPr="00003568">
              <w:rPr>
                <w:rFonts w:cstheme="minorHAnsi"/>
                <w:color w:val="000000" w:themeColor="text1"/>
                <w:szCs w:val="22"/>
              </w:rPr>
              <w:t xml:space="preserve">should </w:t>
            </w:r>
            <w:r w:rsidRPr="00003568">
              <w:rPr>
                <w:rFonts w:cstheme="minorHAnsi"/>
                <w:color w:val="000000" w:themeColor="text1"/>
                <w:szCs w:val="22"/>
              </w:rPr>
              <w:t>be 30%.</w:t>
            </w:r>
          </w:p>
          <w:p w14:paraId="31E78AF9" w14:textId="42B99AB9" w:rsidR="008367C9" w:rsidRPr="000845C8" w:rsidRDefault="008367C9" w:rsidP="008F189B">
            <w:pPr>
              <w:spacing w:after="60"/>
              <w:ind w:left="0" w:right="288"/>
              <w:jc w:val="both"/>
              <w:rPr>
                <w:rFonts w:asciiTheme="minorHAnsi" w:hAnsiTheme="minorHAnsi" w:cstheme="minorHAnsi"/>
                <w:szCs w:val="22"/>
              </w:rPr>
            </w:pPr>
            <w:r w:rsidRPr="008F189B">
              <w:rPr>
                <w:rFonts w:cstheme="minorHAnsi"/>
                <w:b/>
                <w:bCs/>
                <w:szCs w:val="22"/>
              </w:rPr>
              <w:t>-</w:t>
            </w:r>
            <w:r w:rsidR="00321628">
              <w:rPr>
                <w:rFonts w:cstheme="minorHAnsi"/>
                <w:b/>
                <w:bCs/>
                <w:szCs w:val="22"/>
              </w:rPr>
              <w:t xml:space="preserve"> </w:t>
            </w:r>
            <w:r w:rsidRPr="008F189B">
              <w:rPr>
                <w:rFonts w:cstheme="minorHAnsi"/>
                <w:b/>
                <w:bCs/>
                <w:szCs w:val="22"/>
              </w:rPr>
              <w:t>Electricity Production</w:t>
            </w:r>
            <w:r w:rsidR="00321628">
              <w:rPr>
                <w:rFonts w:cstheme="minorHAnsi"/>
                <w:b/>
                <w:bCs/>
                <w:szCs w:val="22"/>
              </w:rPr>
              <w:t xml:space="preserve">: </w:t>
            </w:r>
            <w:r w:rsidR="00321628" w:rsidRPr="00321628">
              <w:rPr>
                <w:rFonts w:cstheme="minorHAnsi"/>
                <w:szCs w:val="22"/>
              </w:rPr>
              <w:t>RES share of</w:t>
            </w:r>
            <w:r w:rsidR="00321628">
              <w:rPr>
                <w:rFonts w:cstheme="minorHAnsi"/>
                <w:b/>
                <w:bCs/>
                <w:szCs w:val="22"/>
              </w:rPr>
              <w:t xml:space="preserve"> </w:t>
            </w:r>
            <w:r w:rsidRPr="008F189B">
              <w:rPr>
                <w:rFonts w:cstheme="minorHAnsi"/>
                <w:szCs w:val="22"/>
              </w:rPr>
              <w:t xml:space="preserve">53% </w:t>
            </w:r>
            <w:r w:rsidR="00321628">
              <w:rPr>
                <w:rFonts w:cstheme="minorHAnsi"/>
                <w:szCs w:val="22"/>
              </w:rPr>
              <w:t>of</w:t>
            </w:r>
            <w:r w:rsidRPr="008F189B">
              <w:rPr>
                <w:rFonts w:cstheme="minorHAnsi"/>
                <w:szCs w:val="22"/>
              </w:rPr>
              <w:t xml:space="preserve"> gross final energy consumption by 2030. </w:t>
            </w:r>
          </w:p>
        </w:tc>
      </w:tr>
    </w:tbl>
    <w:p w14:paraId="21A90178" w14:textId="56C83C94" w:rsidR="00DB2556" w:rsidRPr="001C23E7" w:rsidRDefault="00BA7350" w:rsidP="00A874E9">
      <w:pPr>
        <w:spacing w:before="240" w:after="120"/>
        <w:jc w:val="both"/>
        <w:rPr>
          <w:rFonts w:cstheme="minorHAnsi"/>
          <w:szCs w:val="22"/>
        </w:rPr>
      </w:pPr>
      <w:r>
        <w:rPr>
          <w:rFonts w:cstheme="minorHAnsi"/>
          <w:szCs w:val="22"/>
        </w:rPr>
        <w:t xml:space="preserve">Additional relevant information is hereafter summarised, based on the </w:t>
      </w:r>
      <w:r w:rsidR="00DB2556" w:rsidRPr="001C23E7">
        <w:rPr>
          <w:rFonts w:cstheme="minorHAnsi"/>
          <w:szCs w:val="22"/>
        </w:rPr>
        <w:t xml:space="preserve">National </w:t>
      </w:r>
      <w:r w:rsidR="00AF381B" w:rsidRPr="001C23E7">
        <w:rPr>
          <w:rFonts w:cstheme="minorHAnsi"/>
          <w:szCs w:val="22"/>
        </w:rPr>
        <w:t>E</w:t>
      </w:r>
      <w:r w:rsidR="00911E9E" w:rsidRPr="001C23E7">
        <w:rPr>
          <w:rFonts w:cstheme="minorHAnsi"/>
          <w:szCs w:val="22"/>
        </w:rPr>
        <w:t xml:space="preserve">nergy and </w:t>
      </w:r>
      <w:r w:rsidR="00DB2556" w:rsidRPr="001C23E7">
        <w:rPr>
          <w:rFonts w:cstheme="minorHAnsi"/>
          <w:szCs w:val="22"/>
        </w:rPr>
        <w:t>Climate</w:t>
      </w:r>
      <w:r w:rsidR="00911E9E" w:rsidRPr="001C23E7">
        <w:rPr>
          <w:rFonts w:cstheme="minorHAnsi"/>
          <w:szCs w:val="22"/>
        </w:rPr>
        <w:t xml:space="preserve"> plans and National development plans</w:t>
      </w:r>
      <w:r w:rsidR="001C23E7" w:rsidRPr="001C23E7">
        <w:rPr>
          <w:rFonts w:cstheme="minorHAnsi"/>
          <w:szCs w:val="22"/>
        </w:rPr>
        <w:t>.</w:t>
      </w:r>
      <w:r w:rsidR="00DB2556" w:rsidRPr="001C23E7">
        <w:rPr>
          <w:rFonts w:cstheme="minorHAnsi"/>
          <w:szCs w:val="22"/>
        </w:rPr>
        <w:t xml:space="preserve"> </w:t>
      </w:r>
    </w:p>
    <w:p w14:paraId="39664640" w14:textId="05989CF5" w:rsidR="00EF6CD6" w:rsidRDefault="00DB7B12" w:rsidP="00A874E9">
      <w:pPr>
        <w:spacing w:before="120" w:after="120"/>
        <w:jc w:val="both"/>
      </w:pPr>
      <w:r w:rsidRPr="002B4530">
        <w:rPr>
          <w:rFonts w:cstheme="minorHAnsi"/>
          <w:b/>
          <w:bCs/>
          <w:szCs w:val="22"/>
        </w:rPr>
        <w:t>Estonia</w:t>
      </w:r>
      <w:r w:rsidRPr="00DB7B12">
        <w:rPr>
          <w:rFonts w:cstheme="minorHAnsi"/>
          <w:szCs w:val="22"/>
        </w:rPr>
        <w:t xml:space="preserve"> has </w:t>
      </w:r>
      <w:r w:rsidR="00321628">
        <w:rPr>
          <w:rFonts w:cstheme="minorHAnsi"/>
          <w:szCs w:val="22"/>
        </w:rPr>
        <w:t xml:space="preserve">set </w:t>
      </w:r>
      <w:r w:rsidRPr="00DB7B12">
        <w:rPr>
          <w:rFonts w:cstheme="minorHAnsi"/>
          <w:szCs w:val="22"/>
        </w:rPr>
        <w:t>the target of producing 380 GWh per year of biomethane by 2030</w:t>
      </w:r>
      <w:r w:rsidR="009A2E0C">
        <w:rPr>
          <w:rFonts w:cstheme="minorHAnsi"/>
          <w:szCs w:val="22"/>
        </w:rPr>
        <w:t>; the majority (</w:t>
      </w:r>
      <w:r w:rsidRPr="00DB7B12">
        <w:rPr>
          <w:rFonts w:cstheme="minorHAnsi"/>
          <w:szCs w:val="22"/>
        </w:rPr>
        <w:t>340 GWh</w:t>
      </w:r>
      <w:r w:rsidR="009A2E0C">
        <w:rPr>
          <w:rFonts w:cstheme="minorHAnsi"/>
          <w:szCs w:val="22"/>
        </w:rPr>
        <w:t xml:space="preserve">) would </w:t>
      </w:r>
      <w:r w:rsidRPr="00DB7B12">
        <w:rPr>
          <w:rFonts w:cstheme="minorHAnsi"/>
          <w:szCs w:val="22"/>
        </w:rPr>
        <w:t xml:space="preserve">be used in </w:t>
      </w:r>
      <w:r w:rsidR="009A2E0C">
        <w:rPr>
          <w:rFonts w:cstheme="minorHAnsi"/>
          <w:szCs w:val="22"/>
        </w:rPr>
        <w:t xml:space="preserve">the </w:t>
      </w:r>
      <w:r w:rsidRPr="00DB7B12">
        <w:rPr>
          <w:rFonts w:cstheme="minorHAnsi"/>
          <w:szCs w:val="22"/>
        </w:rPr>
        <w:t>transport sector</w:t>
      </w:r>
      <w:r w:rsidR="004F49CE" w:rsidRPr="004F49CE">
        <w:rPr>
          <w:vertAlign w:val="superscript"/>
        </w:rPr>
        <w:fldChar w:fldCharType="begin"/>
      </w:r>
      <w:r w:rsidR="004F49CE" w:rsidRPr="004F49CE">
        <w:rPr>
          <w:vertAlign w:val="superscript"/>
        </w:rPr>
        <w:instrText xml:space="preserve"> NOTEREF _Ref103385630 \h </w:instrText>
      </w:r>
      <w:r w:rsidR="004F49CE">
        <w:rPr>
          <w:vertAlign w:val="superscript"/>
        </w:rPr>
        <w:instrText xml:space="preserve"> \* MERGEFORMAT </w:instrText>
      </w:r>
      <w:r w:rsidR="004F49CE" w:rsidRPr="004F49CE">
        <w:rPr>
          <w:vertAlign w:val="superscript"/>
        </w:rPr>
      </w:r>
      <w:r w:rsidR="004F49CE" w:rsidRPr="004F49CE">
        <w:rPr>
          <w:vertAlign w:val="superscript"/>
        </w:rPr>
        <w:fldChar w:fldCharType="separate"/>
      </w:r>
      <w:r w:rsidR="00265258">
        <w:rPr>
          <w:vertAlign w:val="superscript"/>
        </w:rPr>
        <w:t>34</w:t>
      </w:r>
      <w:r w:rsidR="004F49CE" w:rsidRPr="004F49CE">
        <w:rPr>
          <w:vertAlign w:val="superscript"/>
        </w:rPr>
        <w:fldChar w:fldCharType="end"/>
      </w:r>
      <w:r w:rsidR="00595D51" w:rsidRPr="00DB7B12">
        <w:t>.</w:t>
      </w:r>
      <w:r w:rsidR="00595D51">
        <w:t xml:space="preserve"> </w:t>
      </w:r>
      <w:r w:rsidR="00595D51" w:rsidRPr="008B0A36">
        <w:rPr>
          <w:color w:val="000000" w:themeColor="text1"/>
        </w:rPr>
        <w:t>R</w:t>
      </w:r>
      <w:r w:rsidRPr="008B0A36">
        <w:rPr>
          <w:color w:val="000000" w:themeColor="text1"/>
        </w:rPr>
        <w:t xml:space="preserve">ecent studies on </w:t>
      </w:r>
      <w:r w:rsidR="009A2E0C" w:rsidRPr="008B0A36">
        <w:rPr>
          <w:color w:val="000000" w:themeColor="text1"/>
        </w:rPr>
        <w:t xml:space="preserve">the </w:t>
      </w:r>
      <w:r w:rsidRPr="008B0A36">
        <w:rPr>
          <w:color w:val="000000" w:themeColor="text1"/>
        </w:rPr>
        <w:t xml:space="preserve">hydrogen potential and hydrogen roadmap consultations </w:t>
      </w:r>
      <w:r w:rsidR="009A2E0C" w:rsidRPr="008B0A36">
        <w:rPr>
          <w:color w:val="000000" w:themeColor="text1"/>
        </w:rPr>
        <w:t xml:space="preserve">in Estonia </w:t>
      </w:r>
      <w:r w:rsidRPr="008B0A36">
        <w:rPr>
          <w:color w:val="000000" w:themeColor="text1"/>
        </w:rPr>
        <w:t>c</w:t>
      </w:r>
      <w:r w:rsidR="009A2E0C" w:rsidRPr="008B0A36">
        <w:rPr>
          <w:color w:val="000000" w:themeColor="text1"/>
        </w:rPr>
        <w:t xml:space="preserve">ould be used to set a national </w:t>
      </w:r>
      <w:r w:rsidRPr="008B0A36">
        <w:rPr>
          <w:color w:val="000000" w:themeColor="text1"/>
        </w:rPr>
        <w:t xml:space="preserve">target, but </w:t>
      </w:r>
      <w:r w:rsidR="009A2E0C" w:rsidRPr="008B0A36">
        <w:rPr>
          <w:color w:val="000000" w:themeColor="text1"/>
        </w:rPr>
        <w:t xml:space="preserve">up to now </w:t>
      </w:r>
      <w:r w:rsidRPr="008B0A36">
        <w:rPr>
          <w:color w:val="000000" w:themeColor="text1"/>
        </w:rPr>
        <w:t xml:space="preserve">targets for hydrogen </w:t>
      </w:r>
      <w:r w:rsidR="004F49CE" w:rsidRPr="008B0A36">
        <w:rPr>
          <w:color w:val="000000" w:themeColor="text1"/>
        </w:rPr>
        <w:t>deployment have</w:t>
      </w:r>
      <w:r w:rsidRPr="008B0A36">
        <w:rPr>
          <w:color w:val="000000" w:themeColor="text1"/>
        </w:rPr>
        <w:t xml:space="preserve"> </w:t>
      </w:r>
      <w:r w:rsidR="00595D51" w:rsidRPr="008B0A36">
        <w:rPr>
          <w:color w:val="000000" w:themeColor="text1"/>
        </w:rPr>
        <w:t xml:space="preserve">not yet </w:t>
      </w:r>
      <w:r w:rsidRPr="008B0A36">
        <w:rPr>
          <w:color w:val="000000" w:themeColor="text1"/>
        </w:rPr>
        <w:t xml:space="preserve">been </w:t>
      </w:r>
      <w:r w:rsidR="00595D51" w:rsidRPr="008B0A36">
        <w:rPr>
          <w:color w:val="000000" w:themeColor="text1"/>
        </w:rPr>
        <w:t xml:space="preserve">published </w:t>
      </w:r>
      <w:r w:rsidRPr="008B0A36">
        <w:rPr>
          <w:color w:val="000000" w:themeColor="text1"/>
        </w:rPr>
        <w:t xml:space="preserve">by the state government. </w:t>
      </w:r>
    </w:p>
    <w:p w14:paraId="577E772B" w14:textId="4676D6BA" w:rsidR="004F34D7" w:rsidRPr="00EF6CD6" w:rsidRDefault="002B4530" w:rsidP="00C74E95">
      <w:pPr>
        <w:spacing w:after="120"/>
        <w:ind w:left="539"/>
        <w:jc w:val="both"/>
      </w:pPr>
      <w:r w:rsidRPr="00CA0F37">
        <w:rPr>
          <w:b/>
          <w:bCs/>
          <w:color w:val="0E101A"/>
        </w:rPr>
        <w:t>Latvia</w:t>
      </w:r>
      <w:r>
        <w:rPr>
          <w:color w:val="0E101A"/>
        </w:rPr>
        <w:t xml:space="preserve"> </w:t>
      </w:r>
      <w:r w:rsidR="00807048" w:rsidRPr="00EF6CD6">
        <w:rPr>
          <w:color w:val="0E101A"/>
        </w:rPr>
        <w:t>foresees</w:t>
      </w:r>
      <w:r w:rsidR="00EF6CD6" w:rsidRPr="00EF6CD6">
        <w:rPr>
          <w:color w:val="0E101A"/>
        </w:rPr>
        <w:t xml:space="preserve"> to </w:t>
      </w:r>
      <w:r w:rsidR="00BA7350">
        <w:rPr>
          <w:color w:val="0E101A"/>
        </w:rPr>
        <w:t>take</w:t>
      </w:r>
      <w:r w:rsidR="00EF6CD6" w:rsidRPr="00EF6CD6">
        <w:rPr>
          <w:color w:val="0E101A"/>
        </w:rPr>
        <w:t xml:space="preserve"> regulatory measures t</w:t>
      </w:r>
      <w:r>
        <w:rPr>
          <w:color w:val="0E101A"/>
        </w:rPr>
        <w:t>o</w:t>
      </w:r>
      <w:r w:rsidR="00EF6CD6" w:rsidRPr="00EF6CD6">
        <w:rPr>
          <w:color w:val="0E101A"/>
        </w:rPr>
        <w:t xml:space="preserve"> increase biomethane usage in transport</w:t>
      </w:r>
      <w:r w:rsidR="00EF6CD6">
        <w:rPr>
          <w:color w:val="0E101A"/>
        </w:rPr>
        <w:t xml:space="preserve">. </w:t>
      </w:r>
      <w:r w:rsidR="00EF6CD6" w:rsidRPr="00EF6CD6">
        <w:t xml:space="preserve">There are </w:t>
      </w:r>
      <w:r>
        <w:t xml:space="preserve">in Latvia not yet </w:t>
      </w:r>
      <w:r w:rsidR="00BA7350">
        <w:t>specific</w:t>
      </w:r>
      <w:r w:rsidR="00EF6CD6" w:rsidRPr="00EF6CD6">
        <w:t xml:space="preserve"> targets </w:t>
      </w:r>
      <w:r>
        <w:t xml:space="preserve">regarding </w:t>
      </w:r>
      <w:r w:rsidR="00EF6CD6" w:rsidRPr="00EF6CD6">
        <w:t xml:space="preserve">hydrogen production </w:t>
      </w:r>
      <w:r>
        <w:t>and use</w:t>
      </w:r>
      <w:r w:rsidR="004F49CE" w:rsidRPr="004F49CE">
        <w:rPr>
          <w:vertAlign w:val="superscript"/>
        </w:rPr>
        <w:fldChar w:fldCharType="begin"/>
      </w:r>
      <w:r w:rsidR="004F49CE" w:rsidRPr="004F49CE">
        <w:rPr>
          <w:vertAlign w:val="superscript"/>
        </w:rPr>
        <w:instrText xml:space="preserve"> NOTEREF _Ref103616338 \h </w:instrText>
      </w:r>
      <w:r w:rsidR="004F49CE">
        <w:rPr>
          <w:vertAlign w:val="superscript"/>
        </w:rPr>
        <w:instrText xml:space="preserve"> \* MERGEFORMAT </w:instrText>
      </w:r>
      <w:r w:rsidR="004F49CE" w:rsidRPr="004F49CE">
        <w:rPr>
          <w:vertAlign w:val="superscript"/>
        </w:rPr>
      </w:r>
      <w:r w:rsidR="004F49CE" w:rsidRPr="004F49CE">
        <w:rPr>
          <w:vertAlign w:val="superscript"/>
        </w:rPr>
        <w:fldChar w:fldCharType="separate"/>
      </w:r>
      <w:r w:rsidR="00265258">
        <w:rPr>
          <w:vertAlign w:val="superscript"/>
        </w:rPr>
        <w:t>35</w:t>
      </w:r>
      <w:r w:rsidR="004F49CE" w:rsidRPr="004F49CE">
        <w:rPr>
          <w:vertAlign w:val="superscript"/>
        </w:rPr>
        <w:fldChar w:fldCharType="end"/>
      </w:r>
      <w:r w:rsidR="00EF6CD6" w:rsidRPr="00EF6CD6">
        <w:t>.</w:t>
      </w:r>
    </w:p>
    <w:p w14:paraId="46FAFB4D" w14:textId="7A452205" w:rsidR="00343AD6" w:rsidRPr="00882522" w:rsidRDefault="002B4530" w:rsidP="00882522">
      <w:pPr>
        <w:spacing w:after="120"/>
        <w:ind w:left="539"/>
        <w:jc w:val="both"/>
        <w:rPr>
          <w:color w:val="0E101A"/>
        </w:rPr>
      </w:pPr>
      <w:r>
        <w:rPr>
          <w:rFonts w:cstheme="minorHAnsi"/>
          <w:color w:val="000000"/>
          <w:szCs w:val="22"/>
          <w:lang w:val="en-US"/>
        </w:rPr>
        <w:t xml:space="preserve">In </w:t>
      </w:r>
      <w:r w:rsidRPr="002B4530">
        <w:rPr>
          <w:rFonts w:cstheme="minorHAnsi"/>
          <w:b/>
          <w:bCs/>
          <w:color w:val="000000"/>
          <w:szCs w:val="22"/>
          <w:lang w:val="en-US"/>
        </w:rPr>
        <w:t>Lithuania</w:t>
      </w:r>
      <w:r>
        <w:rPr>
          <w:rFonts w:cstheme="minorHAnsi"/>
          <w:color w:val="000000"/>
          <w:szCs w:val="22"/>
          <w:lang w:val="en-US"/>
        </w:rPr>
        <w:t xml:space="preserve">, </w:t>
      </w:r>
      <w:r w:rsidR="00EF6CD6" w:rsidRPr="00EF6CD6">
        <w:rPr>
          <w:rFonts w:cstheme="minorHAnsi"/>
          <w:color w:val="000000"/>
          <w:szCs w:val="22"/>
          <w:lang w:val="en-US"/>
        </w:rPr>
        <w:t xml:space="preserve">biogas production facilities </w:t>
      </w:r>
      <w:r>
        <w:rPr>
          <w:rFonts w:cstheme="minorHAnsi"/>
          <w:color w:val="000000"/>
          <w:szCs w:val="22"/>
          <w:lang w:val="en-US"/>
        </w:rPr>
        <w:t xml:space="preserve">are </w:t>
      </w:r>
      <w:r w:rsidR="00C43153">
        <w:rPr>
          <w:rFonts w:cstheme="minorHAnsi"/>
          <w:color w:val="000000"/>
          <w:szCs w:val="22"/>
          <w:lang w:val="en-US"/>
        </w:rPr>
        <w:t xml:space="preserve">at present </w:t>
      </w:r>
      <w:r w:rsidR="00EF6CD6" w:rsidRPr="00EF6CD6">
        <w:rPr>
          <w:rFonts w:cstheme="minorHAnsi"/>
          <w:color w:val="000000"/>
          <w:szCs w:val="22"/>
          <w:lang w:val="en-US"/>
        </w:rPr>
        <w:t xml:space="preserve">intended for electricity and heat production, and to maximize the potential </w:t>
      </w:r>
      <w:r w:rsidR="00C43153">
        <w:rPr>
          <w:rFonts w:cstheme="minorHAnsi"/>
          <w:color w:val="000000"/>
          <w:szCs w:val="22"/>
          <w:lang w:val="en-US"/>
        </w:rPr>
        <w:t xml:space="preserve">use </w:t>
      </w:r>
      <w:r w:rsidR="00EF6CD6" w:rsidRPr="00EF6CD6">
        <w:rPr>
          <w:rFonts w:cstheme="minorHAnsi"/>
          <w:color w:val="000000"/>
          <w:szCs w:val="22"/>
          <w:lang w:val="en-US"/>
        </w:rPr>
        <w:t xml:space="preserve">of biogas, re-orientation of biogas use for electricity and heat production towards biogas treatment </w:t>
      </w:r>
      <w:r>
        <w:rPr>
          <w:rFonts w:cstheme="minorHAnsi"/>
          <w:color w:val="000000"/>
          <w:szCs w:val="22"/>
          <w:lang w:val="en-US"/>
        </w:rPr>
        <w:t xml:space="preserve">and upgrade to biomethane for injection into the </w:t>
      </w:r>
      <w:r w:rsidR="00EF6CD6" w:rsidRPr="00EF6CD6">
        <w:rPr>
          <w:rFonts w:cstheme="minorHAnsi"/>
          <w:color w:val="000000"/>
          <w:szCs w:val="22"/>
          <w:lang w:val="en-US"/>
        </w:rPr>
        <w:t xml:space="preserve">natural gas networks will be proposed. Such a measure would allow the fastest possible deployment of </w:t>
      </w:r>
      <w:r w:rsidR="00C43153">
        <w:rPr>
          <w:rFonts w:cstheme="minorHAnsi"/>
          <w:color w:val="000000"/>
          <w:szCs w:val="22"/>
          <w:lang w:val="en-US"/>
        </w:rPr>
        <w:t xml:space="preserve">the biomass potential using </w:t>
      </w:r>
      <w:r w:rsidR="00EF6CD6" w:rsidRPr="00EF6CD6">
        <w:rPr>
          <w:rFonts w:cstheme="minorHAnsi"/>
          <w:color w:val="000000"/>
          <w:szCs w:val="22"/>
          <w:lang w:val="en-US"/>
        </w:rPr>
        <w:lastRenderedPageBreak/>
        <w:t xml:space="preserve">existing infrastructure and the expected emergence of biomethane gas on the Lithuanian market in 2022. </w:t>
      </w:r>
      <w:r w:rsidR="00EF6CD6" w:rsidRPr="00EF6CD6">
        <w:rPr>
          <w:color w:val="0E101A"/>
        </w:rPr>
        <w:t xml:space="preserve">The Lithuanian government foresees the biomethane production to reach </w:t>
      </w:r>
      <w:r w:rsidR="00807048">
        <w:rPr>
          <w:color w:val="0E101A"/>
        </w:rPr>
        <w:t xml:space="preserve">1 TWh </w:t>
      </w:r>
      <w:r w:rsidR="00EF6CD6" w:rsidRPr="00EF6CD6">
        <w:rPr>
          <w:color w:val="0E101A"/>
        </w:rPr>
        <w:t xml:space="preserve">by 2030 with the help of shifting the existing biogas production subsidies to biomethane production. </w:t>
      </w:r>
      <w:r w:rsidR="00EF6CD6" w:rsidRPr="00EF6CD6">
        <w:t xml:space="preserve">There </w:t>
      </w:r>
      <w:r w:rsidR="00C43153">
        <w:t xml:space="preserve">is no specific information available </w:t>
      </w:r>
      <w:r w:rsidR="00EF6CD6" w:rsidRPr="00EF6CD6">
        <w:t xml:space="preserve">on the </w:t>
      </w:r>
      <w:r w:rsidR="00C43153">
        <w:t xml:space="preserve">expected (or targeted) </w:t>
      </w:r>
      <w:r w:rsidR="00EF6CD6" w:rsidRPr="00EF6CD6">
        <w:t xml:space="preserve">hydrogen production volumes </w:t>
      </w:r>
      <w:r w:rsidR="00C43153">
        <w:t xml:space="preserve">in </w:t>
      </w:r>
      <w:r w:rsidR="00EF6CD6" w:rsidRPr="00EF6CD6">
        <w:t xml:space="preserve">Lithuania. The Alternative Fuels Law was adopted by the </w:t>
      </w:r>
      <w:r w:rsidR="00C43153">
        <w:t xml:space="preserve">Lithuanian </w:t>
      </w:r>
      <w:r w:rsidR="00EF6CD6" w:rsidRPr="00EF6CD6">
        <w:t xml:space="preserve">Parliament in March 2021. Lithuania </w:t>
      </w:r>
      <w:r w:rsidR="00546E15">
        <w:t>considers that there is a (</w:t>
      </w:r>
      <w:r w:rsidR="00EF6CD6" w:rsidRPr="00EF6CD6">
        <w:t>big</w:t>
      </w:r>
      <w:r w:rsidR="00546E15">
        <w:t>)</w:t>
      </w:r>
      <w:r w:rsidR="00EF6CD6" w:rsidRPr="00EF6CD6">
        <w:t xml:space="preserve"> potential </w:t>
      </w:r>
      <w:r w:rsidR="00546E15">
        <w:t xml:space="preserve">for </w:t>
      </w:r>
      <w:r w:rsidR="00EF6CD6" w:rsidRPr="00EF6CD6">
        <w:t xml:space="preserve">biomethane and hydrogen gas </w:t>
      </w:r>
      <w:r w:rsidR="00684399">
        <w:t xml:space="preserve">use </w:t>
      </w:r>
      <w:r w:rsidR="00546E15">
        <w:t xml:space="preserve">in the transport sector, </w:t>
      </w:r>
      <w:r w:rsidR="00EF6CD6" w:rsidRPr="00EF6CD6">
        <w:t xml:space="preserve">and </w:t>
      </w:r>
      <w:r w:rsidR="00546E15">
        <w:t xml:space="preserve">projects that </w:t>
      </w:r>
      <w:r w:rsidR="00EF6CD6" w:rsidRPr="00EF6CD6">
        <w:t>the alternative fuels (</w:t>
      </w:r>
      <w:r w:rsidR="00546E15">
        <w:t>b</w:t>
      </w:r>
      <w:r w:rsidR="00EF6CD6" w:rsidRPr="00EF6CD6">
        <w:t xml:space="preserve">iomethane, hydrogen and syngas) </w:t>
      </w:r>
      <w:r w:rsidR="00546E15">
        <w:t xml:space="preserve">could </w:t>
      </w:r>
      <w:r w:rsidR="00EF6CD6" w:rsidRPr="00EF6CD6">
        <w:t>account for at least 5% of final energy consumption in the transport sector by 2030</w:t>
      </w:r>
      <w:bookmarkStart w:id="84" w:name="_Ref103385637"/>
      <w:r w:rsidR="004F34D7">
        <w:rPr>
          <w:rStyle w:val="Voetnootmarkering"/>
        </w:rPr>
        <w:footnoteReference w:id="39"/>
      </w:r>
      <w:bookmarkEnd w:id="84"/>
      <w:r w:rsidR="004F34D7">
        <w:t>.</w:t>
      </w:r>
    </w:p>
    <w:p w14:paraId="79D92631" w14:textId="3BA73FF7" w:rsidR="00343AD6" w:rsidRDefault="00EF6CD6" w:rsidP="00DE2F26">
      <w:pPr>
        <w:spacing w:after="240"/>
        <w:ind w:left="539"/>
        <w:jc w:val="both"/>
      </w:pPr>
      <w:r w:rsidRPr="002B4530">
        <w:rPr>
          <w:rFonts w:cstheme="minorHAnsi"/>
          <w:b/>
          <w:bCs/>
          <w:szCs w:val="22"/>
        </w:rPr>
        <w:t>Finland</w:t>
      </w:r>
      <w:r w:rsidRPr="00EF6CD6">
        <w:rPr>
          <w:rFonts w:cstheme="minorHAnsi"/>
          <w:b/>
          <w:bCs/>
          <w:szCs w:val="22"/>
        </w:rPr>
        <w:t xml:space="preserve"> </w:t>
      </w:r>
      <w:r w:rsidR="00546E15" w:rsidRPr="00546E15">
        <w:rPr>
          <w:rFonts w:cstheme="minorHAnsi"/>
          <w:szCs w:val="22"/>
        </w:rPr>
        <w:t xml:space="preserve">is </w:t>
      </w:r>
      <w:r w:rsidR="00546E15">
        <w:rPr>
          <w:rFonts w:cstheme="minorHAnsi"/>
          <w:szCs w:val="22"/>
        </w:rPr>
        <w:t>stimulating the use of</w:t>
      </w:r>
      <w:r w:rsidRPr="00EF6CD6">
        <w:rPr>
          <w:rFonts w:cstheme="minorHAnsi"/>
          <w:szCs w:val="22"/>
          <w:lang w:val="en-US"/>
        </w:rPr>
        <w:t xml:space="preserve"> biogas in road transport, electricity and heat production and agriculture sectors by 2030</w:t>
      </w:r>
      <w:r w:rsidR="00DB2556" w:rsidRPr="00DB2556">
        <w:rPr>
          <w:rFonts w:cstheme="minorHAnsi"/>
          <w:szCs w:val="22"/>
          <w:vertAlign w:val="superscript"/>
          <w:lang w:val="en-US"/>
        </w:rPr>
        <w:fldChar w:fldCharType="begin"/>
      </w:r>
      <w:r w:rsidR="00DB2556" w:rsidRPr="00DB2556">
        <w:rPr>
          <w:rFonts w:cstheme="minorHAnsi"/>
          <w:szCs w:val="22"/>
          <w:vertAlign w:val="superscript"/>
          <w:lang w:val="en-US"/>
        </w:rPr>
        <w:instrText xml:space="preserve"> NOTEREF _Ref108112042 \h  \* MERGEFORMAT </w:instrText>
      </w:r>
      <w:r w:rsidR="00DB2556" w:rsidRPr="00DB2556">
        <w:rPr>
          <w:rFonts w:cstheme="minorHAnsi"/>
          <w:szCs w:val="22"/>
          <w:vertAlign w:val="superscript"/>
          <w:lang w:val="en-US"/>
        </w:rPr>
      </w:r>
      <w:r w:rsidR="00DB2556" w:rsidRPr="00DB2556">
        <w:rPr>
          <w:rFonts w:cstheme="minorHAnsi"/>
          <w:szCs w:val="22"/>
          <w:vertAlign w:val="superscript"/>
          <w:lang w:val="en-US"/>
        </w:rPr>
        <w:fldChar w:fldCharType="separate"/>
      </w:r>
      <w:r w:rsidR="00265258">
        <w:rPr>
          <w:rFonts w:cstheme="minorHAnsi"/>
          <w:szCs w:val="22"/>
          <w:vertAlign w:val="superscript"/>
          <w:lang w:val="en-US"/>
        </w:rPr>
        <w:t>37</w:t>
      </w:r>
      <w:r w:rsidR="00DB2556" w:rsidRPr="00DB2556">
        <w:rPr>
          <w:rFonts w:cstheme="minorHAnsi"/>
          <w:szCs w:val="22"/>
          <w:vertAlign w:val="superscript"/>
          <w:lang w:val="en-US"/>
        </w:rPr>
        <w:fldChar w:fldCharType="end"/>
      </w:r>
      <w:r w:rsidRPr="00EF6CD6">
        <w:rPr>
          <w:rFonts w:cstheme="minorHAnsi"/>
          <w:szCs w:val="22"/>
          <w:lang w:val="en-US"/>
        </w:rPr>
        <w:t>.</w:t>
      </w:r>
      <w:r w:rsidR="00627B51" w:rsidRPr="00627B51">
        <w:t xml:space="preserve"> </w:t>
      </w:r>
      <w:r w:rsidR="00907744">
        <w:t>I</w:t>
      </w:r>
      <w:r w:rsidR="00627B51" w:rsidRPr="00CC7790">
        <w:t>t is estimated that the techno-economical biogas production potential is about 1</w:t>
      </w:r>
      <w:r w:rsidR="00807048">
        <w:t>1</w:t>
      </w:r>
      <w:r w:rsidR="00627B51" w:rsidRPr="00CC7790">
        <w:t xml:space="preserve"> TWh, and the theoretical production potential is up to 25 TWh. By 2030 the biogas production </w:t>
      </w:r>
      <w:r w:rsidR="00627B51">
        <w:t>w</w:t>
      </w:r>
      <w:r w:rsidR="00627B51" w:rsidRPr="00CC7790">
        <w:t>ould be about 4 TWh</w:t>
      </w:r>
      <w:r w:rsidR="00627B51">
        <w:rPr>
          <w:rStyle w:val="Voetnootmarkering"/>
        </w:rPr>
        <w:footnoteReference w:id="40"/>
      </w:r>
      <w:r w:rsidR="00627B51" w:rsidRPr="00CC7790">
        <w:t>.</w:t>
      </w:r>
      <w:r w:rsidRPr="00EF6CD6">
        <w:rPr>
          <w:rFonts w:cstheme="minorHAnsi"/>
          <w:szCs w:val="22"/>
          <w:lang w:val="en-US"/>
        </w:rPr>
        <w:t xml:space="preserve"> SSAB</w:t>
      </w:r>
      <w:r w:rsidRPr="00EF6CD6">
        <w:t xml:space="preserve"> (Swedish steel company) has communicated </w:t>
      </w:r>
      <w:r w:rsidR="005139CD">
        <w:t>its</w:t>
      </w:r>
      <w:r w:rsidRPr="00EF6CD6">
        <w:t xml:space="preserve"> plan t</w:t>
      </w:r>
      <w:r w:rsidR="005139CD">
        <w:t xml:space="preserve">o replace its </w:t>
      </w:r>
      <w:r w:rsidRPr="00EF6CD6">
        <w:t>blast furnaces in Rahe Steel mill</w:t>
      </w:r>
      <w:r w:rsidR="005139CD">
        <w:t xml:space="preserve"> with</w:t>
      </w:r>
      <w:r w:rsidRPr="00EF6CD6">
        <w:t xml:space="preserve"> electric arc furnaces (H2-DRI) </w:t>
      </w:r>
      <w:r w:rsidR="008D403B">
        <w:t>by</w:t>
      </w:r>
      <w:r w:rsidRPr="00EF6CD6">
        <w:t xml:space="preserve"> 2030. </w:t>
      </w:r>
      <w:r w:rsidR="005139CD">
        <w:t xml:space="preserve">The Finnish industry could consider a similar initiative. </w:t>
      </w:r>
      <w:r w:rsidRPr="00EF6CD6">
        <w:t xml:space="preserve">The industrial hydrogen consumption in Finland is estimated in </w:t>
      </w:r>
      <w:r w:rsidR="005139CD">
        <w:t xml:space="preserve">the national </w:t>
      </w:r>
      <w:r w:rsidRPr="00EF6CD6">
        <w:t>hydrogen roadmap a</w:t>
      </w:r>
      <w:r w:rsidR="005139CD">
        <w:t>t</w:t>
      </w:r>
      <w:r w:rsidRPr="00EF6CD6">
        <w:t xml:space="preserve"> 180000 t/a (6 TWh) by 2030 (mainly due to the increased industrial activity) and 310000 t/a (10.33 TWh) from 2030 onwards (with the replacement of blast furnaces in </w:t>
      </w:r>
      <w:r w:rsidR="00907744">
        <w:t xml:space="preserve">the </w:t>
      </w:r>
      <w:r w:rsidRPr="00EF6CD6">
        <w:t xml:space="preserve">steel industry). </w:t>
      </w:r>
      <w:r w:rsidR="00CE7702">
        <w:t>Finland h</w:t>
      </w:r>
      <w:r w:rsidRPr="00EF6CD6">
        <w:t xml:space="preserve">as </w:t>
      </w:r>
      <w:r w:rsidR="00CE7702">
        <w:t>also the intention</w:t>
      </w:r>
      <w:r w:rsidRPr="00EF6CD6">
        <w:t xml:space="preserve"> to start power-to-X </w:t>
      </w:r>
      <w:r w:rsidR="00CE7702">
        <w:t>projects</w:t>
      </w:r>
      <w:r w:rsidRPr="00EF6CD6">
        <w:t xml:space="preserve"> well before 2030. This could also enhance Finland’s hydrogen consumption levels</w:t>
      </w:r>
      <w:r w:rsidR="00177028">
        <w:t xml:space="preserve"> in the future</w:t>
      </w:r>
      <w:r w:rsidRPr="00EF6CD6">
        <w:t xml:space="preserve">. The increased consumption levels with new industrial activity prospects will most probably </w:t>
      </w:r>
      <w:r w:rsidR="00CE7702">
        <w:t xml:space="preserve">be met </w:t>
      </w:r>
      <w:r w:rsidRPr="00EF6CD6">
        <w:t>by green hydrogen. But within the Finnish hydrogen roadmap, there are no clear targets on the replacement of the current SMR based fossil hydrogen</w:t>
      </w:r>
      <w:r w:rsidR="004F34D7">
        <w:rPr>
          <w:rStyle w:val="Voetnootmarkering"/>
        </w:rPr>
        <w:footnoteReference w:id="41"/>
      </w:r>
      <w:r w:rsidRPr="00EF6CD6">
        <w:t>.</w:t>
      </w:r>
    </w:p>
    <w:p w14:paraId="5C161338" w14:textId="7E5D133B" w:rsidR="00D9359D" w:rsidRPr="0022145C" w:rsidRDefault="00D9359D" w:rsidP="0095127D">
      <w:pPr>
        <w:pStyle w:val="Kop1"/>
        <w:tabs>
          <w:tab w:val="clear" w:pos="851"/>
          <w:tab w:val="left" w:pos="993"/>
        </w:tabs>
        <w:jc w:val="both"/>
        <w:rPr>
          <w:sz w:val="36"/>
          <w:szCs w:val="16"/>
          <w:bdr w:val="none" w:sz="0" w:space="0" w:color="auto" w:frame="1"/>
          <w:shd w:val="clear" w:color="auto" w:fill="FFFFFF"/>
          <w:lang w:val="en-CA"/>
        </w:rPr>
      </w:pPr>
      <w:bookmarkStart w:id="85" w:name="_Toc103282312"/>
      <w:bookmarkStart w:id="86" w:name="_Toc114565055"/>
      <w:r w:rsidRPr="0022145C">
        <w:rPr>
          <w:sz w:val="36"/>
          <w:szCs w:val="16"/>
          <w:bdr w:val="none" w:sz="0" w:space="0" w:color="auto" w:frame="1"/>
          <w:shd w:val="clear" w:color="auto" w:fill="FFFFFF"/>
          <w:lang w:val="en-CA"/>
        </w:rPr>
        <w:t xml:space="preserve">Local potential for </w:t>
      </w:r>
      <w:bookmarkEnd w:id="85"/>
      <w:r w:rsidR="0022145C" w:rsidRPr="0022145C">
        <w:rPr>
          <w:sz w:val="36"/>
          <w:szCs w:val="16"/>
          <w:bdr w:val="none" w:sz="0" w:space="0" w:color="auto" w:frame="1"/>
          <w:shd w:val="clear" w:color="auto" w:fill="FFFFFF"/>
          <w:lang w:val="en-CA"/>
        </w:rPr>
        <w:t>renewable gas production</w:t>
      </w:r>
      <w:bookmarkEnd w:id="86"/>
    </w:p>
    <w:p w14:paraId="55EC4015" w14:textId="77777777" w:rsidR="00D9359D" w:rsidRPr="00474B71" w:rsidRDefault="00D9359D" w:rsidP="00474B71">
      <w:pPr>
        <w:pStyle w:val="Kop2"/>
        <w:ind w:left="1134" w:hanging="567"/>
        <w:rPr>
          <w:color w:val="005962" w:themeColor="accent1"/>
        </w:rPr>
      </w:pPr>
      <w:bookmarkStart w:id="87" w:name="_Ref108513441"/>
      <w:bookmarkStart w:id="88" w:name="_Toc114565056"/>
      <w:r w:rsidRPr="00474B71">
        <w:rPr>
          <w:color w:val="005962" w:themeColor="accent1"/>
        </w:rPr>
        <w:t>Technical potential of biogas/biomethane in the Baltic-Finnish region</w:t>
      </w:r>
      <w:bookmarkEnd w:id="87"/>
      <w:bookmarkEnd w:id="88"/>
    </w:p>
    <w:p w14:paraId="63633F51" w14:textId="686F035C" w:rsidR="00D9359D" w:rsidRPr="00AC7B74" w:rsidRDefault="00D9359D" w:rsidP="00D9359D">
      <w:pPr>
        <w:spacing w:after="120"/>
        <w:jc w:val="both"/>
        <w:rPr>
          <w:color w:val="000000"/>
          <w:szCs w:val="22"/>
          <w:shd w:val="clear" w:color="auto" w:fill="FFFFFF"/>
        </w:rPr>
      </w:pPr>
      <w:r w:rsidRPr="00AC7B74">
        <w:t>The term technical potential</w:t>
      </w:r>
      <w:r>
        <w:t xml:space="preserve"> </w:t>
      </w:r>
      <w:r w:rsidRPr="00AC7B74">
        <w:t xml:space="preserve">assumes that all bioenergy </w:t>
      </w:r>
      <w:r w:rsidR="002215A7">
        <w:t xml:space="preserve">which are </w:t>
      </w:r>
      <w:r w:rsidRPr="00AC7B74">
        <w:t xml:space="preserve">not </w:t>
      </w:r>
      <w:r w:rsidR="00FE04EE">
        <w:t xml:space="preserve">fully </w:t>
      </w:r>
      <w:r w:rsidRPr="00AC7B74">
        <w:t>used today is available for biogas/biomethane production</w:t>
      </w:r>
      <w:r w:rsidR="00F954E4">
        <w:t xml:space="preserve"> in the future</w:t>
      </w:r>
      <w:r w:rsidR="007958D6">
        <w:t>,</w:t>
      </w:r>
      <w:r w:rsidR="00F954E4">
        <w:t xml:space="preserve"> considering all relevant</w:t>
      </w:r>
      <w:r w:rsidR="006C2CB4">
        <w:t xml:space="preserve"> regulatory</w:t>
      </w:r>
      <w:r w:rsidR="00F954E4">
        <w:t xml:space="preserve"> </w:t>
      </w:r>
      <w:r w:rsidR="006C2CB4">
        <w:t>limitations especially about food security</w:t>
      </w:r>
      <w:r w:rsidR="00F87C79">
        <w:t xml:space="preserve"> priorities</w:t>
      </w:r>
      <w:r w:rsidRPr="00AC7B74">
        <w:t xml:space="preserve">. There is a lack of detailed, bottom-up technical potential data by </w:t>
      </w:r>
      <w:r>
        <w:t xml:space="preserve">EU </w:t>
      </w:r>
      <w:r w:rsidRPr="00AC7B74">
        <w:t>Member State and by feedstock</w:t>
      </w:r>
      <w:r>
        <w:t xml:space="preserve"> and</w:t>
      </w:r>
      <w:r w:rsidRPr="00AC7B74">
        <w:t xml:space="preserve"> most studies </w:t>
      </w:r>
      <w:r w:rsidR="00177028">
        <w:t xml:space="preserve">only present data </w:t>
      </w:r>
      <w:r w:rsidRPr="00AC7B74">
        <w:t>at the EU2</w:t>
      </w:r>
      <w:r w:rsidR="00807048">
        <w:t>7</w:t>
      </w:r>
      <w:r w:rsidR="00AC0123">
        <w:t xml:space="preserve"> </w:t>
      </w:r>
      <w:r w:rsidR="00177028">
        <w:t xml:space="preserve">level </w:t>
      </w:r>
      <w:r>
        <w:t>(</w:t>
      </w:r>
      <w:r w:rsidRPr="00AC7B74">
        <w:t>as a whole</w:t>
      </w:r>
      <w:r>
        <w:t>)</w:t>
      </w:r>
      <w:r w:rsidRPr="00AC7B74">
        <w:t xml:space="preserve">. </w:t>
      </w:r>
      <w:r w:rsidR="006A4995">
        <w:t>In</w:t>
      </w:r>
      <w:r w:rsidR="00907E36">
        <w:t xml:space="preserve"> 2017 </w:t>
      </w:r>
      <w:r w:rsidR="00907E36" w:rsidRPr="00AC7B74">
        <w:rPr>
          <w:szCs w:val="22"/>
        </w:rPr>
        <w:t xml:space="preserve">CE </w:t>
      </w:r>
      <w:r w:rsidR="00907E36" w:rsidRPr="00546EC8">
        <w:rPr>
          <w:szCs w:val="22"/>
        </w:rPr>
        <w:t xml:space="preserve">Delft </w:t>
      </w:r>
      <w:r w:rsidRPr="00546EC8">
        <w:rPr>
          <w:szCs w:val="22"/>
        </w:rPr>
        <w:t xml:space="preserve">conducted </w:t>
      </w:r>
      <w:r w:rsidR="00386CFC" w:rsidRPr="00546EC8">
        <w:rPr>
          <w:szCs w:val="22"/>
        </w:rPr>
        <w:t>an analysis</w:t>
      </w:r>
      <w:r w:rsidR="00907E36">
        <w:rPr>
          <w:szCs w:val="22"/>
        </w:rPr>
        <w:t xml:space="preserve"> </w:t>
      </w:r>
      <w:r w:rsidRPr="00AC7B74">
        <w:t xml:space="preserve">on </w:t>
      </w:r>
      <w:r w:rsidR="00907E36">
        <w:t xml:space="preserve">the </w:t>
      </w:r>
      <w:r w:rsidRPr="00AC7B74">
        <w:t>technical potential of biomethane for each Member State</w:t>
      </w:r>
      <w:r w:rsidRPr="00AC7B74">
        <w:rPr>
          <w:szCs w:val="22"/>
          <w:vertAlign w:val="superscript"/>
        </w:rPr>
        <w:footnoteReference w:id="42"/>
      </w:r>
      <w:r w:rsidR="00297AB1">
        <w:rPr>
          <w:szCs w:val="22"/>
        </w:rPr>
        <w:t>.</w:t>
      </w:r>
      <w:r w:rsidR="00932DCB">
        <w:rPr>
          <w:szCs w:val="22"/>
        </w:rPr>
        <w:t xml:space="preserve"> </w:t>
      </w:r>
      <w:r w:rsidR="00C21F7F">
        <w:rPr>
          <w:szCs w:val="22"/>
        </w:rPr>
        <w:t>Also</w:t>
      </w:r>
      <w:r w:rsidR="00AD1D80">
        <w:rPr>
          <w:szCs w:val="22"/>
        </w:rPr>
        <w:t>,</w:t>
      </w:r>
      <w:r w:rsidRPr="00AC7B74">
        <w:rPr>
          <w:szCs w:val="22"/>
        </w:rPr>
        <w:t xml:space="preserve"> </w:t>
      </w:r>
      <w:proofErr w:type="spellStart"/>
      <w:r w:rsidRPr="00AC7B74">
        <w:rPr>
          <w:szCs w:val="22"/>
        </w:rPr>
        <w:t>GreenGasGrids</w:t>
      </w:r>
      <w:proofErr w:type="spellEnd"/>
      <w:r w:rsidRPr="00AC7B74">
        <w:rPr>
          <w:szCs w:val="22"/>
        </w:rPr>
        <w:t xml:space="preserve"> and BIOSURF projects have published extensive analyses </w:t>
      </w:r>
      <w:r w:rsidR="00907E36">
        <w:rPr>
          <w:szCs w:val="22"/>
        </w:rPr>
        <w:t xml:space="preserve">for </w:t>
      </w:r>
      <w:r w:rsidRPr="00AC7B74">
        <w:rPr>
          <w:szCs w:val="22"/>
        </w:rPr>
        <w:t>a significant number of Member States, but not all</w:t>
      </w:r>
      <w:r>
        <w:rPr>
          <w:szCs w:val="22"/>
        </w:rPr>
        <w:t xml:space="preserve"> </w:t>
      </w:r>
      <w:r w:rsidR="00B502AB">
        <w:rPr>
          <w:szCs w:val="22"/>
        </w:rPr>
        <w:t>M</w:t>
      </w:r>
      <w:r>
        <w:rPr>
          <w:szCs w:val="22"/>
        </w:rPr>
        <w:t xml:space="preserve">ember </w:t>
      </w:r>
      <w:r w:rsidR="00B502AB">
        <w:rPr>
          <w:szCs w:val="22"/>
        </w:rPr>
        <w:t>S</w:t>
      </w:r>
      <w:r>
        <w:rPr>
          <w:szCs w:val="22"/>
        </w:rPr>
        <w:t xml:space="preserve">tates were </w:t>
      </w:r>
      <w:r w:rsidR="006D5D68">
        <w:rPr>
          <w:szCs w:val="22"/>
        </w:rPr>
        <w:t>included in the scope</w:t>
      </w:r>
      <w:r w:rsidRPr="00AC7B74">
        <w:rPr>
          <w:szCs w:val="22"/>
          <w:vertAlign w:val="superscript"/>
        </w:rPr>
        <w:footnoteReference w:id="43"/>
      </w:r>
      <w:r w:rsidRPr="00AC7B74">
        <w:rPr>
          <w:szCs w:val="22"/>
        </w:rPr>
        <w:t xml:space="preserve">. </w:t>
      </w:r>
      <w:proofErr w:type="spellStart"/>
      <w:r w:rsidRPr="00AC7B74">
        <w:rPr>
          <w:szCs w:val="22"/>
        </w:rPr>
        <w:t>Scarlat</w:t>
      </w:r>
      <w:proofErr w:type="spellEnd"/>
      <w:r w:rsidRPr="00AC7B74">
        <w:rPr>
          <w:szCs w:val="22"/>
        </w:rPr>
        <w:t>, N. et al. 2018</w:t>
      </w:r>
      <w:r w:rsidRPr="00AC7B74">
        <w:rPr>
          <w:szCs w:val="22"/>
          <w:vertAlign w:val="superscript"/>
        </w:rPr>
        <w:footnoteReference w:id="44"/>
      </w:r>
      <w:r w:rsidRPr="00AC7B74">
        <w:rPr>
          <w:szCs w:val="22"/>
        </w:rPr>
        <w:t xml:space="preserve"> conducted a detailed study </w:t>
      </w:r>
      <w:r w:rsidR="006D5D68">
        <w:rPr>
          <w:szCs w:val="22"/>
        </w:rPr>
        <w:t xml:space="preserve">per country </w:t>
      </w:r>
      <w:r w:rsidRPr="00AC7B74">
        <w:rPr>
          <w:szCs w:val="22"/>
        </w:rPr>
        <w:t xml:space="preserve">for manure, which </w:t>
      </w:r>
      <w:r w:rsidR="006D5D68">
        <w:rPr>
          <w:szCs w:val="22"/>
        </w:rPr>
        <w:t>represents</w:t>
      </w:r>
      <w:r w:rsidRPr="00AC7B74">
        <w:rPr>
          <w:szCs w:val="22"/>
        </w:rPr>
        <w:t xml:space="preserve"> a modest contribution to the techn</w:t>
      </w:r>
      <w:r w:rsidR="006D5D68">
        <w:rPr>
          <w:szCs w:val="22"/>
        </w:rPr>
        <w:t>ical</w:t>
      </w:r>
      <w:r w:rsidRPr="00AC7B74">
        <w:rPr>
          <w:szCs w:val="22"/>
        </w:rPr>
        <w:t xml:space="preserve"> potential.</w:t>
      </w:r>
      <w:r w:rsidRPr="00AC7B74">
        <w:rPr>
          <w:color w:val="000000"/>
          <w:szCs w:val="22"/>
          <w:shd w:val="clear" w:color="auto" w:fill="FFFFFF"/>
        </w:rPr>
        <w:t xml:space="preserve"> </w:t>
      </w:r>
    </w:p>
    <w:p w14:paraId="7180F086" w14:textId="5418D5C3" w:rsidR="00D9359D" w:rsidRDefault="00D9359D" w:rsidP="00D9359D">
      <w:pPr>
        <w:spacing w:after="120"/>
        <w:ind w:left="539"/>
        <w:jc w:val="both"/>
      </w:pPr>
      <w:r w:rsidRPr="00CC7790">
        <w:t xml:space="preserve">The </w:t>
      </w:r>
      <w:r>
        <w:t xml:space="preserve">historical data for Estonia shows a slight annual increase in biogas production. The regulatory framework and schemes are supportive for biogas/biomethane production in Estonia. </w:t>
      </w:r>
      <w:r w:rsidR="006D5D68">
        <w:t xml:space="preserve">In Latvia, </w:t>
      </w:r>
      <w:r w:rsidRPr="00CC7790">
        <w:t xml:space="preserve">the overall biogas production and capacity show a decrease in recent years. </w:t>
      </w:r>
    </w:p>
    <w:p w14:paraId="7A16D52D" w14:textId="190D9573" w:rsidR="0063405E" w:rsidRDefault="00D9359D" w:rsidP="0063405E">
      <w:pPr>
        <w:spacing w:after="120"/>
        <w:ind w:left="539"/>
        <w:jc w:val="both"/>
        <w:rPr>
          <w:szCs w:val="22"/>
        </w:rPr>
      </w:pPr>
      <w:r>
        <w:t xml:space="preserve">Currently, Lithuania is utilizing its biogas to produce electricity and heat. </w:t>
      </w:r>
      <w:r w:rsidRPr="007F7D97">
        <w:rPr>
          <w:szCs w:val="22"/>
        </w:rPr>
        <w:t>Latvia has not yet introduced any legislation on biomethane production</w:t>
      </w:r>
      <w:r>
        <w:rPr>
          <w:szCs w:val="22"/>
        </w:rPr>
        <w:t xml:space="preserve">; </w:t>
      </w:r>
      <w:r w:rsidRPr="007F7D97">
        <w:rPr>
          <w:szCs w:val="22"/>
        </w:rPr>
        <w:t xml:space="preserve">one biogas plant did start producing biomethane for </w:t>
      </w:r>
      <w:r w:rsidRPr="00003568">
        <w:rPr>
          <w:color w:val="000000" w:themeColor="text1"/>
          <w:szCs w:val="22"/>
        </w:rPr>
        <w:t xml:space="preserve">its own needs in 2020. In Lithuania, there is currently no biomethane use as biofuel for transportation. There are </w:t>
      </w:r>
      <w:r w:rsidRPr="00003568">
        <w:rPr>
          <w:color w:val="000000" w:themeColor="text1"/>
          <w:szCs w:val="22"/>
        </w:rPr>
        <w:lastRenderedPageBreak/>
        <w:t>no restrictions and standards for blending biomethane with natural gas. If biomethane is injected into the grid, it must be comp</w:t>
      </w:r>
      <w:r w:rsidR="006D5D68">
        <w:rPr>
          <w:color w:val="000000" w:themeColor="text1"/>
          <w:szCs w:val="22"/>
        </w:rPr>
        <w:t>liant</w:t>
      </w:r>
      <w:r w:rsidRPr="00003568">
        <w:rPr>
          <w:color w:val="000000" w:themeColor="text1"/>
          <w:szCs w:val="22"/>
        </w:rPr>
        <w:t xml:space="preserve"> with </w:t>
      </w:r>
      <w:r w:rsidR="006D5D68">
        <w:rPr>
          <w:color w:val="000000" w:themeColor="text1"/>
          <w:szCs w:val="22"/>
        </w:rPr>
        <w:t xml:space="preserve">the </w:t>
      </w:r>
      <w:r w:rsidRPr="00003568">
        <w:rPr>
          <w:color w:val="000000" w:themeColor="text1"/>
          <w:szCs w:val="22"/>
        </w:rPr>
        <w:t xml:space="preserve">gas quality requirements. It is expected that the first biomethane plant with 12 GWh annual production (potentially 41 GWh from 2023) will be connected to the Lithuanian gas </w:t>
      </w:r>
      <w:r w:rsidR="002B667A">
        <w:rPr>
          <w:color w:val="000000" w:themeColor="text1"/>
          <w:szCs w:val="22"/>
        </w:rPr>
        <w:t>network in 2022</w:t>
      </w:r>
      <w:r w:rsidRPr="00003568">
        <w:rPr>
          <w:color w:val="000000" w:themeColor="text1"/>
          <w:szCs w:val="22"/>
        </w:rPr>
        <w:t xml:space="preserve">. </w:t>
      </w:r>
      <w:r>
        <w:rPr>
          <w:szCs w:val="22"/>
        </w:rPr>
        <w:t>Lithuania has</w:t>
      </w:r>
      <w:r w:rsidRPr="007F7D97">
        <w:rPr>
          <w:szCs w:val="22"/>
        </w:rPr>
        <w:t xml:space="preserve"> foreseen to </w:t>
      </w:r>
      <w:r w:rsidR="002B667A">
        <w:rPr>
          <w:szCs w:val="22"/>
        </w:rPr>
        <w:t xml:space="preserve">introduce </w:t>
      </w:r>
      <w:r w:rsidRPr="007F7D97">
        <w:rPr>
          <w:szCs w:val="22"/>
        </w:rPr>
        <w:t>regulatory measures t</w:t>
      </w:r>
      <w:r w:rsidR="002B667A">
        <w:rPr>
          <w:szCs w:val="22"/>
        </w:rPr>
        <w:t>o</w:t>
      </w:r>
      <w:r w:rsidRPr="007F7D97">
        <w:rPr>
          <w:szCs w:val="22"/>
        </w:rPr>
        <w:t xml:space="preserve"> increase biomethane usage in transport. </w:t>
      </w:r>
      <w:r>
        <w:rPr>
          <w:szCs w:val="22"/>
        </w:rPr>
        <w:t xml:space="preserve">The </w:t>
      </w:r>
      <w:r w:rsidR="002B667A">
        <w:rPr>
          <w:szCs w:val="22"/>
        </w:rPr>
        <w:t xml:space="preserve">biogas/biomethane </w:t>
      </w:r>
      <w:r>
        <w:rPr>
          <w:szCs w:val="22"/>
        </w:rPr>
        <w:t>potential would allow to substitute a large part of the current fossil gas consumption.</w:t>
      </w:r>
    </w:p>
    <w:p w14:paraId="3BE69B0C" w14:textId="3D239210" w:rsidR="00D9359D" w:rsidRPr="00474B71" w:rsidRDefault="002B667A" w:rsidP="00474B71">
      <w:pPr>
        <w:spacing w:after="240"/>
        <w:ind w:left="539"/>
        <w:jc w:val="both"/>
        <w:rPr>
          <w:szCs w:val="22"/>
        </w:rPr>
      </w:pPr>
      <w:r>
        <w:t xml:space="preserve">The available </w:t>
      </w:r>
      <w:r w:rsidR="00D9359D" w:rsidRPr="000A579D">
        <w:t xml:space="preserve">studies have </w:t>
      </w:r>
      <w:r>
        <w:t xml:space="preserve">estimated the </w:t>
      </w:r>
      <w:r w:rsidR="00D9359D" w:rsidRPr="000A579D">
        <w:t xml:space="preserve">Baltic states and Finland’s biomethane potential differently. The numbers presented in these studies are the authors' estimates based on available literature sources and do not necessarily reflect the individual member state's points of view. </w:t>
      </w:r>
      <w:r w:rsidR="009D07B4">
        <w:t>A comparison of t</w:t>
      </w:r>
      <w:r w:rsidR="00D9359D" w:rsidRPr="000A579D">
        <w:t xml:space="preserve">he biomethane potential </w:t>
      </w:r>
      <w:r w:rsidR="009D07B4">
        <w:t>in</w:t>
      </w:r>
      <w:r w:rsidR="00D9359D" w:rsidRPr="000A579D">
        <w:t xml:space="preserve"> Estonia, Latvia, Lithuania, and Finland is </w:t>
      </w:r>
      <w:r w:rsidR="009D07B4">
        <w:t>presented</w:t>
      </w:r>
      <w:r w:rsidR="00D9359D" w:rsidRPr="000A579D">
        <w:t xml:space="preserve"> in </w:t>
      </w:r>
      <w:r w:rsidR="002564F7">
        <w:fldChar w:fldCharType="begin"/>
      </w:r>
      <w:r w:rsidR="002564F7">
        <w:instrText xml:space="preserve"> REF _Ref113352400 \h </w:instrText>
      </w:r>
      <w:r w:rsidR="002564F7">
        <w:fldChar w:fldCharType="separate"/>
      </w:r>
      <w:r w:rsidR="00265258">
        <w:t xml:space="preserve">Table </w:t>
      </w:r>
      <w:r w:rsidR="00265258">
        <w:rPr>
          <w:noProof/>
        </w:rPr>
        <w:t>5</w:t>
      </w:r>
      <w:r w:rsidR="00265258">
        <w:noBreakHyphen/>
      </w:r>
      <w:r w:rsidR="00265258">
        <w:rPr>
          <w:noProof/>
        </w:rPr>
        <w:t>1</w:t>
      </w:r>
      <w:r w:rsidR="002564F7">
        <w:fldChar w:fldCharType="end"/>
      </w:r>
      <w:r w:rsidR="00F91E52">
        <w:t xml:space="preserve">. The </w:t>
      </w:r>
      <w:r w:rsidR="009D07B4">
        <w:t xml:space="preserve">realistic </w:t>
      </w:r>
      <w:r w:rsidR="00FD1410">
        <w:t xml:space="preserve">potential is </w:t>
      </w:r>
      <w:r w:rsidR="009D07B4">
        <w:t>mentioned</w:t>
      </w:r>
      <w:r w:rsidR="00FD1410">
        <w:t xml:space="preserve"> in the column named ‘value </w:t>
      </w:r>
      <w:r w:rsidR="009D07B4">
        <w:t>considered</w:t>
      </w:r>
      <w:r w:rsidR="00FD1410">
        <w:t>’</w:t>
      </w:r>
      <w:r w:rsidR="006A5935">
        <w:t xml:space="preserve"> and is </w:t>
      </w:r>
      <w:r w:rsidR="009D07B4">
        <w:t>validated by</w:t>
      </w:r>
      <w:r w:rsidR="006A5935">
        <w:t xml:space="preserve"> the steering board and the stakeholders. </w:t>
      </w:r>
    </w:p>
    <w:p w14:paraId="18D6F4C0" w14:textId="2A5576C9" w:rsidR="00D9359D" w:rsidRDefault="00305AE4" w:rsidP="00305AE4">
      <w:pPr>
        <w:pStyle w:val="Bijschrift"/>
      </w:pPr>
      <w:bookmarkStart w:id="89" w:name="_Ref113352400"/>
      <w:r>
        <w:t xml:space="preserve">Table </w:t>
      </w:r>
      <w:r w:rsidR="006D12F8">
        <w:fldChar w:fldCharType="begin"/>
      </w:r>
      <w:r w:rsidR="006D12F8">
        <w:instrText xml:space="preserve"> STYLEREF 1 \s </w:instrText>
      </w:r>
      <w:r w:rsidR="006D12F8">
        <w:fldChar w:fldCharType="separate"/>
      </w:r>
      <w:r w:rsidR="00265258">
        <w:rPr>
          <w:noProof/>
        </w:rPr>
        <w:t>5</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w:t>
      </w:r>
      <w:r w:rsidR="006D12F8">
        <w:rPr>
          <w:noProof/>
        </w:rPr>
        <w:fldChar w:fldCharType="end"/>
      </w:r>
      <w:bookmarkEnd w:id="89"/>
      <w:r w:rsidR="00D9359D">
        <w:t xml:space="preserve"> </w:t>
      </w:r>
      <w:r w:rsidR="00D9359D">
        <w:rPr>
          <w:szCs w:val="22"/>
        </w:rPr>
        <w:t xml:space="preserve">Biomethane potential </w:t>
      </w:r>
      <w:r w:rsidR="002B667A">
        <w:rPr>
          <w:szCs w:val="22"/>
        </w:rPr>
        <w:t>in</w:t>
      </w:r>
      <w:r w:rsidR="00D9359D">
        <w:rPr>
          <w:szCs w:val="22"/>
        </w:rPr>
        <w:t xml:space="preserve"> the </w:t>
      </w:r>
      <w:r w:rsidR="002225F6">
        <w:rPr>
          <w:szCs w:val="22"/>
        </w:rPr>
        <w:t>Baltic-Finnish region</w:t>
      </w:r>
    </w:p>
    <w:tbl>
      <w:tblPr>
        <w:tblStyle w:val="Test1"/>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31"/>
        <w:gridCol w:w="840"/>
        <w:gridCol w:w="833"/>
        <w:gridCol w:w="1141"/>
        <w:gridCol w:w="1329"/>
        <w:gridCol w:w="2384"/>
      </w:tblGrid>
      <w:tr w:rsidR="002B667A" w:rsidRPr="00287C4D" w14:paraId="45AB9EB6" w14:textId="77777777" w:rsidTr="007B6C99">
        <w:trPr>
          <w:cnfStyle w:val="100000000000" w:firstRow="1" w:lastRow="0" w:firstColumn="0" w:lastColumn="0" w:oddVBand="0" w:evenVBand="0" w:oddHBand="0" w:evenHBand="0" w:firstRowFirstColumn="0" w:firstRowLastColumn="0" w:lastRowFirstColumn="0" w:lastRowLastColumn="0"/>
          <w:tblHeader/>
        </w:trPr>
        <w:tc>
          <w:tcPr>
            <w:tcW w:w="1007" w:type="dxa"/>
            <w:shd w:val="clear" w:color="auto" w:fill="005962" w:themeFill="accent1"/>
          </w:tcPr>
          <w:p w14:paraId="097837FB" w14:textId="77777777" w:rsidR="00D9359D" w:rsidRPr="00287C4D" w:rsidRDefault="00D9359D" w:rsidP="00287C4D">
            <w:pPr>
              <w:spacing w:line="240" w:lineRule="auto"/>
              <w:ind w:left="0" w:right="0"/>
              <w:jc w:val="center"/>
              <w:rPr>
                <w:rFonts w:ascii="Trebuchet MS" w:eastAsia="Calibri" w:hAnsi="Trebuchet MS"/>
                <w:b/>
                <w:color w:val="FFFFFF" w:themeColor="background1"/>
                <w:sz w:val="18"/>
              </w:rPr>
            </w:pPr>
            <w:r w:rsidRPr="00287C4D">
              <w:rPr>
                <w:rFonts w:ascii="Trebuchet MS" w:eastAsia="Calibri" w:hAnsi="Trebuchet MS"/>
                <w:b/>
                <w:color w:val="FFFFFF" w:themeColor="background1"/>
                <w:sz w:val="18"/>
              </w:rPr>
              <w:t>Country</w:t>
            </w:r>
          </w:p>
        </w:tc>
        <w:tc>
          <w:tcPr>
            <w:tcW w:w="836" w:type="dxa"/>
            <w:shd w:val="clear" w:color="auto" w:fill="005962" w:themeFill="accent1"/>
          </w:tcPr>
          <w:p w14:paraId="64083D92" w14:textId="77777777" w:rsidR="00D9359D" w:rsidRPr="00287C4D" w:rsidRDefault="00D9359D" w:rsidP="00287C4D">
            <w:pPr>
              <w:spacing w:line="240" w:lineRule="auto"/>
              <w:ind w:left="0" w:right="27"/>
              <w:jc w:val="center"/>
              <w:rPr>
                <w:rFonts w:ascii="Trebuchet MS" w:eastAsia="Calibri" w:hAnsi="Trebuchet MS"/>
                <w:b/>
                <w:color w:val="FFFFFF" w:themeColor="background1"/>
                <w:sz w:val="18"/>
              </w:rPr>
            </w:pPr>
            <w:r w:rsidRPr="00287C4D">
              <w:rPr>
                <w:rFonts w:ascii="Trebuchet MS" w:eastAsia="Calibri" w:hAnsi="Trebuchet MS"/>
                <w:b/>
                <w:color w:val="FFFFFF" w:themeColor="background1"/>
                <w:sz w:val="18"/>
              </w:rPr>
              <w:t>Source 1</w:t>
            </w:r>
            <w:bookmarkStart w:id="90" w:name="_Ref106978948"/>
            <w:r w:rsidRPr="00287C4D">
              <w:rPr>
                <w:rFonts w:ascii="Trebuchet MS" w:eastAsia="Calibri" w:hAnsi="Trebuchet MS"/>
                <w:color w:val="FFFFFF" w:themeColor="background1"/>
                <w:sz w:val="18"/>
                <w:vertAlign w:val="superscript"/>
              </w:rPr>
              <w:footnoteReference w:id="45"/>
            </w:r>
            <w:bookmarkEnd w:id="90"/>
            <w:r w:rsidRPr="00287C4D">
              <w:rPr>
                <w:rFonts w:ascii="Trebuchet MS" w:eastAsia="Calibri" w:hAnsi="Trebuchet MS"/>
                <w:b/>
                <w:color w:val="FFFFFF" w:themeColor="background1"/>
                <w:sz w:val="18"/>
              </w:rPr>
              <w:t xml:space="preserve"> (TWh)</w:t>
            </w:r>
          </w:p>
        </w:tc>
        <w:tc>
          <w:tcPr>
            <w:tcW w:w="851" w:type="dxa"/>
            <w:shd w:val="clear" w:color="auto" w:fill="005962" w:themeFill="accent1"/>
          </w:tcPr>
          <w:p w14:paraId="2B2EFC62" w14:textId="77777777" w:rsidR="00D9359D" w:rsidRPr="00287C4D" w:rsidRDefault="00D9359D" w:rsidP="00287C4D">
            <w:pPr>
              <w:spacing w:line="240" w:lineRule="auto"/>
              <w:ind w:left="0" w:right="20"/>
              <w:jc w:val="center"/>
              <w:rPr>
                <w:rFonts w:ascii="Trebuchet MS" w:eastAsia="Calibri" w:hAnsi="Trebuchet MS"/>
                <w:b/>
                <w:color w:val="FFFFFF" w:themeColor="background1"/>
                <w:sz w:val="18"/>
              </w:rPr>
            </w:pPr>
            <w:r w:rsidRPr="00287C4D">
              <w:rPr>
                <w:rFonts w:ascii="Trebuchet MS" w:eastAsia="Calibri" w:hAnsi="Trebuchet MS"/>
                <w:b/>
                <w:color w:val="FFFFFF" w:themeColor="background1"/>
                <w:sz w:val="18"/>
              </w:rPr>
              <w:t>Source 2</w:t>
            </w:r>
            <w:r w:rsidRPr="00287C4D">
              <w:rPr>
                <w:rFonts w:ascii="Trebuchet MS" w:eastAsia="Calibri" w:hAnsi="Trebuchet MS"/>
                <w:color w:val="FFFFFF" w:themeColor="background1"/>
                <w:sz w:val="18"/>
                <w:vertAlign w:val="superscript"/>
              </w:rPr>
              <w:footnoteReference w:id="46"/>
            </w:r>
            <w:r w:rsidRPr="00287C4D">
              <w:rPr>
                <w:rFonts w:ascii="Trebuchet MS" w:eastAsia="Calibri" w:hAnsi="Trebuchet MS"/>
                <w:b/>
                <w:color w:val="FFFFFF" w:themeColor="background1"/>
                <w:sz w:val="18"/>
              </w:rPr>
              <w:t xml:space="preserve"> (TWh)</w:t>
            </w:r>
          </w:p>
        </w:tc>
        <w:tc>
          <w:tcPr>
            <w:tcW w:w="849" w:type="dxa"/>
            <w:shd w:val="clear" w:color="auto" w:fill="005962" w:themeFill="accent1"/>
          </w:tcPr>
          <w:p w14:paraId="4494F61F" w14:textId="7D20BC5D" w:rsidR="00D9359D" w:rsidRPr="00287C4D" w:rsidRDefault="00D9359D" w:rsidP="00630269">
            <w:pPr>
              <w:spacing w:line="240" w:lineRule="auto"/>
              <w:ind w:left="0" w:right="-6"/>
              <w:jc w:val="center"/>
              <w:rPr>
                <w:rFonts w:ascii="Trebuchet MS" w:eastAsia="Calibri" w:hAnsi="Trebuchet MS"/>
                <w:b/>
                <w:color w:val="FFFFFF" w:themeColor="background1"/>
                <w:sz w:val="18"/>
              </w:rPr>
            </w:pPr>
            <w:r w:rsidRPr="00287C4D">
              <w:rPr>
                <w:rFonts w:ascii="Trebuchet MS" w:eastAsia="Calibri" w:hAnsi="Trebuchet MS"/>
                <w:b/>
                <w:color w:val="FFFFFF" w:themeColor="background1"/>
                <w:sz w:val="18"/>
              </w:rPr>
              <w:t>Source 3</w:t>
            </w:r>
            <w:bookmarkStart w:id="92" w:name="_Ref113625414"/>
            <w:r w:rsidR="00F04529">
              <w:rPr>
                <w:rStyle w:val="Voetnootmarkering"/>
                <w:rFonts w:ascii="Trebuchet MS" w:eastAsia="Calibri" w:hAnsi="Trebuchet MS"/>
                <w:b/>
                <w:color w:val="FFFFFF" w:themeColor="background1"/>
                <w:sz w:val="18"/>
              </w:rPr>
              <w:footnoteReference w:id="47"/>
            </w:r>
            <w:bookmarkEnd w:id="92"/>
            <w:r w:rsidRPr="00287C4D">
              <w:rPr>
                <w:rFonts w:ascii="Trebuchet MS" w:eastAsia="Calibri" w:hAnsi="Trebuchet MS"/>
                <w:b/>
                <w:color w:val="FFFFFF" w:themeColor="background1"/>
                <w:sz w:val="18"/>
              </w:rPr>
              <w:t xml:space="preserve"> (TWh)</w:t>
            </w:r>
          </w:p>
        </w:tc>
        <w:tc>
          <w:tcPr>
            <w:tcW w:w="725" w:type="dxa"/>
            <w:shd w:val="clear" w:color="auto" w:fill="005962" w:themeFill="accent1"/>
          </w:tcPr>
          <w:p w14:paraId="21B2D7C8" w14:textId="6514B996" w:rsidR="00D9359D" w:rsidRPr="00287C4D" w:rsidRDefault="00D9359D" w:rsidP="00287C4D">
            <w:pPr>
              <w:spacing w:line="240" w:lineRule="auto"/>
              <w:ind w:left="0" w:right="0"/>
              <w:jc w:val="center"/>
              <w:rPr>
                <w:rFonts w:ascii="Trebuchet MS" w:eastAsia="Calibri" w:hAnsi="Trebuchet MS"/>
                <w:b/>
                <w:color w:val="FFFFFF" w:themeColor="background1"/>
                <w:sz w:val="18"/>
              </w:rPr>
            </w:pPr>
            <w:r w:rsidRPr="00287C4D">
              <w:rPr>
                <w:rFonts w:ascii="Trebuchet MS" w:eastAsia="Calibri" w:hAnsi="Trebuchet MS"/>
                <w:b/>
                <w:color w:val="FFFFFF" w:themeColor="background1"/>
                <w:sz w:val="18"/>
              </w:rPr>
              <w:t xml:space="preserve">Value </w:t>
            </w:r>
            <w:r w:rsidR="002B667A">
              <w:rPr>
                <w:rFonts w:ascii="Trebuchet MS" w:eastAsia="Calibri" w:hAnsi="Trebuchet MS"/>
                <w:b/>
                <w:color w:val="FFFFFF" w:themeColor="background1"/>
                <w:sz w:val="18"/>
              </w:rPr>
              <w:t>considered</w:t>
            </w:r>
            <w:r w:rsidRPr="00287C4D">
              <w:rPr>
                <w:rFonts w:ascii="Trebuchet MS" w:eastAsia="Calibri" w:hAnsi="Trebuchet MS"/>
                <w:b/>
                <w:color w:val="FFFFFF" w:themeColor="background1"/>
                <w:sz w:val="18"/>
              </w:rPr>
              <w:t xml:space="preserve"> </w:t>
            </w:r>
            <w:r w:rsidR="00F04529" w:rsidRPr="000B0BFC">
              <w:rPr>
                <w:rFonts w:eastAsia="Calibri"/>
                <w:b/>
                <w:color w:val="FFFFFF" w:themeColor="background1"/>
                <w:vertAlign w:val="superscript"/>
              </w:rPr>
              <w:fldChar w:fldCharType="begin"/>
            </w:r>
            <w:r w:rsidR="00F04529" w:rsidRPr="000B0BFC">
              <w:rPr>
                <w:rFonts w:ascii="Trebuchet MS" w:eastAsia="Calibri" w:hAnsi="Trebuchet MS"/>
                <w:b/>
                <w:color w:val="FFFFFF" w:themeColor="background1"/>
                <w:sz w:val="18"/>
                <w:vertAlign w:val="superscript"/>
              </w:rPr>
              <w:instrText xml:space="preserve"> NOTEREF _Ref113625414 \h </w:instrText>
            </w:r>
            <w:r w:rsidR="00F04529">
              <w:rPr>
                <w:rFonts w:ascii="Trebuchet MS" w:eastAsia="Calibri" w:hAnsi="Trebuchet MS"/>
                <w:b/>
                <w:color w:val="FFFFFF" w:themeColor="background1"/>
                <w:sz w:val="18"/>
                <w:vertAlign w:val="superscript"/>
              </w:rPr>
              <w:instrText xml:space="preserve"> \* MERGEFORMAT </w:instrText>
            </w:r>
            <w:r w:rsidR="00F04529" w:rsidRPr="000B0BFC">
              <w:rPr>
                <w:rFonts w:eastAsia="Calibri"/>
                <w:b/>
                <w:color w:val="FFFFFF" w:themeColor="background1"/>
                <w:vertAlign w:val="superscript"/>
              </w:rPr>
            </w:r>
            <w:r w:rsidR="00F04529" w:rsidRPr="000B0BFC">
              <w:rPr>
                <w:rFonts w:eastAsia="Calibri"/>
                <w:b/>
                <w:color w:val="FFFFFF" w:themeColor="background1"/>
                <w:vertAlign w:val="superscript"/>
              </w:rPr>
              <w:fldChar w:fldCharType="separate"/>
            </w:r>
            <w:r w:rsidR="00265258">
              <w:rPr>
                <w:rFonts w:ascii="Trebuchet MS" w:eastAsia="Calibri" w:hAnsi="Trebuchet MS"/>
                <w:b/>
                <w:color w:val="FFFFFF" w:themeColor="background1"/>
                <w:sz w:val="18"/>
                <w:vertAlign w:val="superscript"/>
              </w:rPr>
              <w:t>46</w:t>
            </w:r>
            <w:r w:rsidR="00F04529" w:rsidRPr="000B0BFC">
              <w:rPr>
                <w:rFonts w:eastAsia="Calibri"/>
                <w:b/>
                <w:color w:val="FFFFFF" w:themeColor="background1"/>
                <w:vertAlign w:val="superscript"/>
              </w:rPr>
              <w:fldChar w:fldCharType="end"/>
            </w:r>
            <w:r w:rsidRPr="00287C4D">
              <w:rPr>
                <w:rFonts w:ascii="Trebuchet MS" w:eastAsia="Calibri" w:hAnsi="Trebuchet MS"/>
                <w:b/>
                <w:color w:val="FFFFFF" w:themeColor="background1"/>
                <w:sz w:val="18"/>
              </w:rPr>
              <w:t>(</w:t>
            </w:r>
            <w:proofErr w:type="spellStart"/>
            <w:r w:rsidRPr="00287C4D">
              <w:rPr>
                <w:rFonts w:ascii="Trebuchet MS" w:eastAsia="Calibri" w:hAnsi="Trebuchet MS"/>
                <w:b/>
                <w:color w:val="FFFFFF" w:themeColor="background1"/>
                <w:sz w:val="18"/>
              </w:rPr>
              <w:t>TWh</w:t>
            </w:r>
            <w:proofErr w:type="spellEnd"/>
            <w:r w:rsidRPr="00287C4D">
              <w:rPr>
                <w:rFonts w:ascii="Trebuchet MS" w:eastAsia="Calibri" w:hAnsi="Trebuchet MS"/>
                <w:b/>
                <w:color w:val="FFFFFF" w:themeColor="background1"/>
                <w:sz w:val="18"/>
              </w:rPr>
              <w:t>)</w:t>
            </w:r>
          </w:p>
        </w:tc>
        <w:tc>
          <w:tcPr>
            <w:tcW w:w="1402" w:type="dxa"/>
            <w:shd w:val="clear" w:color="auto" w:fill="005962" w:themeFill="accent1"/>
          </w:tcPr>
          <w:p w14:paraId="650CE94C" w14:textId="7BA6E15D" w:rsidR="00D9359D" w:rsidRPr="00287C4D" w:rsidRDefault="00D9359D" w:rsidP="00287C4D">
            <w:pPr>
              <w:spacing w:line="240" w:lineRule="auto"/>
              <w:ind w:left="0" w:right="36"/>
              <w:jc w:val="center"/>
              <w:rPr>
                <w:rFonts w:ascii="Trebuchet MS" w:eastAsia="Calibri" w:hAnsi="Trebuchet MS"/>
                <w:b/>
                <w:bCs/>
                <w:color w:val="FFFFFF" w:themeColor="background1"/>
                <w:sz w:val="18"/>
              </w:rPr>
            </w:pPr>
            <w:r w:rsidRPr="00287C4D">
              <w:rPr>
                <w:rFonts w:ascii="Trebuchet MS" w:eastAsia="Calibri" w:hAnsi="Trebuchet MS"/>
                <w:b/>
                <w:bCs/>
                <w:color w:val="FFFFFF" w:themeColor="background1"/>
                <w:sz w:val="18"/>
              </w:rPr>
              <w:t xml:space="preserve">Country’s </w:t>
            </w:r>
            <w:r w:rsidR="00F04529">
              <w:rPr>
                <w:rFonts w:ascii="Trebuchet MS" w:eastAsia="Calibri" w:hAnsi="Trebuchet MS"/>
                <w:b/>
                <w:bCs/>
                <w:color w:val="FFFFFF" w:themeColor="background1"/>
                <w:sz w:val="18"/>
              </w:rPr>
              <w:t xml:space="preserve">baseline </w:t>
            </w:r>
            <w:r w:rsidRPr="00287C4D">
              <w:rPr>
                <w:rFonts w:ascii="Trebuchet MS" w:eastAsia="Calibri" w:hAnsi="Trebuchet MS"/>
                <w:b/>
                <w:bCs/>
                <w:color w:val="FFFFFF" w:themeColor="background1"/>
                <w:sz w:val="18"/>
              </w:rPr>
              <w:t>gas demand projection by 2050</w:t>
            </w:r>
          </w:p>
        </w:tc>
        <w:tc>
          <w:tcPr>
            <w:tcW w:w="2694" w:type="dxa"/>
            <w:shd w:val="clear" w:color="auto" w:fill="005962" w:themeFill="accent1"/>
          </w:tcPr>
          <w:p w14:paraId="3B5EFA0D" w14:textId="77777777" w:rsidR="00D9359D" w:rsidRPr="00287C4D" w:rsidRDefault="00D9359D" w:rsidP="00287C4D">
            <w:pPr>
              <w:spacing w:line="240" w:lineRule="auto"/>
              <w:ind w:left="0" w:right="0"/>
              <w:jc w:val="center"/>
              <w:rPr>
                <w:rFonts w:ascii="Trebuchet MS" w:eastAsia="Calibri" w:hAnsi="Trebuchet MS"/>
                <w:b/>
                <w:bCs/>
                <w:color w:val="FFFFFF" w:themeColor="background1"/>
                <w:sz w:val="18"/>
              </w:rPr>
            </w:pPr>
            <w:r w:rsidRPr="00287C4D">
              <w:rPr>
                <w:rFonts w:ascii="Trebuchet MS" w:eastAsia="Calibri" w:hAnsi="Trebuchet MS"/>
                <w:b/>
                <w:bCs/>
                <w:color w:val="FFFFFF" w:themeColor="background1"/>
                <w:sz w:val="18"/>
              </w:rPr>
              <w:t>Comments on the selected values</w:t>
            </w:r>
          </w:p>
        </w:tc>
      </w:tr>
      <w:tr w:rsidR="0096136D" w:rsidRPr="00287C4D" w14:paraId="4D8CC895" w14:textId="77777777" w:rsidTr="00C06E0C">
        <w:trPr>
          <w:trHeight w:val="584"/>
        </w:trPr>
        <w:tc>
          <w:tcPr>
            <w:tcW w:w="1007" w:type="dxa"/>
          </w:tcPr>
          <w:p w14:paraId="63F48BB9" w14:textId="77777777" w:rsidR="00D9359D" w:rsidRPr="00287C4D" w:rsidRDefault="00D9359D" w:rsidP="00287C4D">
            <w:pPr>
              <w:spacing w:line="240" w:lineRule="auto"/>
              <w:ind w:left="0" w:right="0"/>
              <w:jc w:val="center"/>
              <w:rPr>
                <w:rFonts w:ascii="Trebuchet MS" w:eastAsia="Calibri" w:hAnsi="Trebuchet MS"/>
                <w:b/>
                <w:color w:val="000000"/>
                <w:sz w:val="18"/>
              </w:rPr>
            </w:pPr>
            <w:r w:rsidRPr="00287C4D">
              <w:rPr>
                <w:rFonts w:ascii="Trebuchet MS" w:eastAsia="Calibri" w:hAnsi="Trebuchet MS"/>
                <w:b/>
                <w:color w:val="000000"/>
                <w:sz w:val="18"/>
              </w:rPr>
              <w:t>Estonia</w:t>
            </w:r>
          </w:p>
        </w:tc>
        <w:tc>
          <w:tcPr>
            <w:tcW w:w="836" w:type="dxa"/>
          </w:tcPr>
          <w:p w14:paraId="37A12FB8" w14:textId="77777777" w:rsidR="00D9359D" w:rsidRPr="00287C4D" w:rsidRDefault="00D9359D" w:rsidP="00287C4D">
            <w:pPr>
              <w:spacing w:line="240" w:lineRule="auto"/>
              <w:ind w:left="0" w:right="27"/>
              <w:jc w:val="center"/>
              <w:rPr>
                <w:rFonts w:ascii="Trebuchet MS" w:eastAsia="Calibri" w:hAnsi="Trebuchet MS"/>
                <w:color w:val="000000"/>
                <w:sz w:val="18"/>
              </w:rPr>
            </w:pPr>
            <w:r w:rsidRPr="00287C4D">
              <w:rPr>
                <w:rFonts w:ascii="Trebuchet MS" w:eastAsia="Calibri" w:hAnsi="Trebuchet MS"/>
                <w:color w:val="000000"/>
                <w:sz w:val="18"/>
              </w:rPr>
              <w:t>7 – 8</w:t>
            </w:r>
          </w:p>
        </w:tc>
        <w:tc>
          <w:tcPr>
            <w:tcW w:w="851" w:type="dxa"/>
          </w:tcPr>
          <w:p w14:paraId="3DB074D2" w14:textId="77777777" w:rsidR="00D9359D" w:rsidRPr="00287C4D" w:rsidRDefault="00D9359D" w:rsidP="00287C4D">
            <w:pPr>
              <w:spacing w:line="240" w:lineRule="auto"/>
              <w:ind w:left="0" w:right="20"/>
              <w:jc w:val="center"/>
              <w:rPr>
                <w:rFonts w:ascii="Trebuchet MS" w:eastAsia="Calibri" w:hAnsi="Trebuchet MS"/>
                <w:color w:val="000000"/>
                <w:sz w:val="18"/>
              </w:rPr>
            </w:pPr>
            <w:r w:rsidRPr="00287C4D">
              <w:rPr>
                <w:rFonts w:ascii="Trebuchet MS" w:eastAsia="Calibri" w:hAnsi="Trebuchet MS"/>
                <w:color w:val="000000"/>
                <w:sz w:val="18"/>
              </w:rPr>
              <w:t>2.9</w:t>
            </w:r>
          </w:p>
        </w:tc>
        <w:tc>
          <w:tcPr>
            <w:tcW w:w="849" w:type="dxa"/>
          </w:tcPr>
          <w:p w14:paraId="357E6100" w14:textId="77777777" w:rsidR="00D9359D" w:rsidRPr="00287C4D" w:rsidRDefault="00D9359D" w:rsidP="00630269">
            <w:pPr>
              <w:spacing w:line="240" w:lineRule="auto"/>
              <w:ind w:left="0" w:right="-6"/>
              <w:jc w:val="center"/>
              <w:rPr>
                <w:rFonts w:ascii="Trebuchet MS" w:eastAsia="Calibri" w:hAnsi="Trebuchet MS"/>
                <w:color w:val="000000"/>
                <w:sz w:val="18"/>
              </w:rPr>
            </w:pPr>
            <w:r w:rsidRPr="00287C4D">
              <w:rPr>
                <w:rFonts w:ascii="Trebuchet MS" w:eastAsia="Calibri" w:hAnsi="Trebuchet MS"/>
                <w:color w:val="000000"/>
                <w:sz w:val="18"/>
              </w:rPr>
              <w:t>4.7</w:t>
            </w:r>
            <w:r w:rsidRPr="00287C4D">
              <w:rPr>
                <w:rFonts w:ascii="Trebuchet MS" w:eastAsia="Calibri" w:hAnsi="Trebuchet MS"/>
                <w:b/>
                <w:color w:val="263238"/>
                <w:sz w:val="18"/>
                <w:vertAlign w:val="superscript"/>
              </w:rPr>
              <w:footnoteReference w:id="48"/>
            </w:r>
          </w:p>
        </w:tc>
        <w:tc>
          <w:tcPr>
            <w:tcW w:w="725" w:type="dxa"/>
            <w:shd w:val="clear" w:color="auto" w:fill="ECEBE1" w:themeFill="background2"/>
          </w:tcPr>
          <w:p w14:paraId="4C5C0621" w14:textId="77777777" w:rsidR="00D9359D" w:rsidRPr="00287C4D" w:rsidRDefault="00D9359D" w:rsidP="00287C4D">
            <w:pPr>
              <w:spacing w:line="240" w:lineRule="auto"/>
              <w:ind w:left="0" w:right="0"/>
              <w:jc w:val="center"/>
              <w:rPr>
                <w:rFonts w:ascii="Trebuchet MS" w:eastAsia="Calibri" w:hAnsi="Trebuchet MS"/>
                <w:color w:val="000000"/>
                <w:sz w:val="18"/>
              </w:rPr>
            </w:pPr>
            <w:r w:rsidRPr="00287C4D">
              <w:rPr>
                <w:rFonts w:ascii="Trebuchet MS" w:eastAsia="Calibri" w:hAnsi="Trebuchet MS"/>
                <w:color w:val="000000"/>
                <w:sz w:val="18"/>
              </w:rPr>
              <w:t>2.4</w:t>
            </w:r>
          </w:p>
        </w:tc>
        <w:tc>
          <w:tcPr>
            <w:tcW w:w="1402" w:type="dxa"/>
          </w:tcPr>
          <w:p w14:paraId="0164049F" w14:textId="6F8E43F3" w:rsidR="00D9359D" w:rsidRPr="00287C4D" w:rsidRDefault="00081605" w:rsidP="00287C4D">
            <w:pPr>
              <w:spacing w:line="240" w:lineRule="auto"/>
              <w:ind w:left="0" w:right="36"/>
              <w:jc w:val="center"/>
              <w:rPr>
                <w:rFonts w:ascii="Trebuchet MS" w:eastAsia="Calibri" w:hAnsi="Trebuchet MS"/>
                <w:color w:val="000000"/>
                <w:sz w:val="18"/>
              </w:rPr>
            </w:pPr>
            <w:r>
              <w:rPr>
                <w:rFonts w:ascii="Trebuchet MS" w:eastAsia="Calibri" w:hAnsi="Trebuchet MS"/>
                <w:color w:val="000000"/>
                <w:sz w:val="18"/>
              </w:rPr>
              <w:t>3.909</w:t>
            </w:r>
          </w:p>
        </w:tc>
        <w:tc>
          <w:tcPr>
            <w:tcW w:w="2694" w:type="dxa"/>
            <w:vMerge w:val="restart"/>
          </w:tcPr>
          <w:p w14:paraId="7511F910" w14:textId="77777777" w:rsidR="00D9359D" w:rsidRPr="00287C4D" w:rsidRDefault="00D9359D" w:rsidP="00287C4D">
            <w:pPr>
              <w:spacing w:line="240" w:lineRule="auto"/>
              <w:ind w:left="0" w:right="0"/>
              <w:jc w:val="both"/>
              <w:rPr>
                <w:rFonts w:ascii="Trebuchet MS" w:eastAsia="Calibri" w:hAnsi="Trebuchet MS"/>
                <w:color w:val="000000"/>
                <w:sz w:val="18"/>
              </w:rPr>
            </w:pPr>
            <w:r w:rsidRPr="00287C4D">
              <w:rPr>
                <w:rFonts w:ascii="Trebuchet MS" w:eastAsia="Calibri" w:hAnsi="Trebuchet MS"/>
                <w:color w:val="000000"/>
                <w:sz w:val="18"/>
              </w:rPr>
              <w:t>A 50% of the maximum available value is considered to be more realistic.</w:t>
            </w:r>
          </w:p>
        </w:tc>
      </w:tr>
      <w:tr w:rsidR="0096136D" w:rsidRPr="00287C4D" w14:paraId="24520C85" w14:textId="77777777" w:rsidTr="00C06E0C">
        <w:trPr>
          <w:trHeight w:val="428"/>
        </w:trPr>
        <w:tc>
          <w:tcPr>
            <w:tcW w:w="1007" w:type="dxa"/>
          </w:tcPr>
          <w:p w14:paraId="2CF7E58E" w14:textId="77777777" w:rsidR="00D9359D" w:rsidRPr="00287C4D" w:rsidRDefault="00D9359D" w:rsidP="00287C4D">
            <w:pPr>
              <w:spacing w:line="240" w:lineRule="auto"/>
              <w:ind w:left="0" w:right="0"/>
              <w:jc w:val="center"/>
              <w:rPr>
                <w:rFonts w:ascii="Trebuchet MS" w:eastAsia="Calibri" w:hAnsi="Trebuchet MS"/>
                <w:b/>
                <w:color w:val="000000"/>
                <w:sz w:val="18"/>
              </w:rPr>
            </w:pPr>
            <w:r w:rsidRPr="00287C4D">
              <w:rPr>
                <w:rFonts w:ascii="Trebuchet MS" w:eastAsia="Calibri" w:hAnsi="Trebuchet MS"/>
                <w:b/>
                <w:color w:val="000000"/>
                <w:sz w:val="18"/>
              </w:rPr>
              <w:t>Lithuania</w:t>
            </w:r>
          </w:p>
        </w:tc>
        <w:tc>
          <w:tcPr>
            <w:tcW w:w="836" w:type="dxa"/>
          </w:tcPr>
          <w:p w14:paraId="3D2E41DE" w14:textId="77777777" w:rsidR="00D9359D" w:rsidRPr="00287C4D" w:rsidRDefault="00D9359D" w:rsidP="00287C4D">
            <w:pPr>
              <w:spacing w:line="240" w:lineRule="auto"/>
              <w:ind w:left="0" w:right="27"/>
              <w:jc w:val="center"/>
              <w:rPr>
                <w:rFonts w:ascii="Trebuchet MS" w:eastAsia="Calibri" w:hAnsi="Trebuchet MS"/>
                <w:color w:val="000000"/>
                <w:sz w:val="18"/>
              </w:rPr>
            </w:pPr>
            <w:r w:rsidRPr="00287C4D">
              <w:rPr>
                <w:rFonts w:ascii="Trebuchet MS" w:eastAsia="Calibri" w:hAnsi="Trebuchet MS"/>
                <w:color w:val="000000"/>
                <w:sz w:val="18"/>
              </w:rPr>
              <w:t>16</w:t>
            </w:r>
          </w:p>
        </w:tc>
        <w:tc>
          <w:tcPr>
            <w:tcW w:w="851" w:type="dxa"/>
          </w:tcPr>
          <w:p w14:paraId="32A1ADDA" w14:textId="77777777" w:rsidR="00D9359D" w:rsidRPr="00287C4D" w:rsidRDefault="00D9359D" w:rsidP="00287C4D">
            <w:pPr>
              <w:spacing w:line="240" w:lineRule="auto"/>
              <w:ind w:left="0" w:right="20"/>
              <w:jc w:val="center"/>
              <w:rPr>
                <w:rFonts w:ascii="Trebuchet MS" w:eastAsia="Calibri" w:hAnsi="Trebuchet MS"/>
                <w:color w:val="000000"/>
                <w:sz w:val="18"/>
              </w:rPr>
            </w:pPr>
            <w:r w:rsidRPr="00287C4D">
              <w:rPr>
                <w:rFonts w:ascii="Trebuchet MS" w:eastAsia="Calibri" w:hAnsi="Trebuchet MS"/>
                <w:color w:val="000000"/>
                <w:sz w:val="18"/>
              </w:rPr>
              <w:t>6</w:t>
            </w:r>
          </w:p>
        </w:tc>
        <w:tc>
          <w:tcPr>
            <w:tcW w:w="849" w:type="dxa"/>
          </w:tcPr>
          <w:p w14:paraId="7F97539E" w14:textId="77777777" w:rsidR="00D9359D" w:rsidRPr="00287C4D" w:rsidRDefault="00D9359D" w:rsidP="00630269">
            <w:pPr>
              <w:spacing w:line="240" w:lineRule="auto"/>
              <w:ind w:left="0" w:right="-6"/>
              <w:jc w:val="center"/>
              <w:rPr>
                <w:rFonts w:ascii="Trebuchet MS" w:eastAsia="Calibri" w:hAnsi="Trebuchet MS"/>
                <w:color w:val="000000"/>
                <w:sz w:val="18"/>
              </w:rPr>
            </w:pPr>
            <w:r w:rsidRPr="00287C4D">
              <w:rPr>
                <w:rFonts w:ascii="Trebuchet MS" w:eastAsia="Calibri" w:hAnsi="Trebuchet MS"/>
                <w:color w:val="000000"/>
                <w:sz w:val="18"/>
              </w:rPr>
              <w:t>-</w:t>
            </w:r>
          </w:p>
        </w:tc>
        <w:tc>
          <w:tcPr>
            <w:tcW w:w="725" w:type="dxa"/>
            <w:shd w:val="clear" w:color="auto" w:fill="ECEBE1" w:themeFill="background2"/>
          </w:tcPr>
          <w:p w14:paraId="6B6FC2EA" w14:textId="77777777" w:rsidR="00D9359D" w:rsidRPr="00287C4D" w:rsidRDefault="00D9359D" w:rsidP="00287C4D">
            <w:pPr>
              <w:spacing w:line="240" w:lineRule="auto"/>
              <w:ind w:left="0" w:right="0"/>
              <w:jc w:val="center"/>
              <w:rPr>
                <w:rFonts w:ascii="Trebuchet MS" w:eastAsia="Calibri" w:hAnsi="Trebuchet MS"/>
                <w:color w:val="000000"/>
                <w:sz w:val="18"/>
              </w:rPr>
            </w:pPr>
            <w:r w:rsidRPr="00287C4D">
              <w:rPr>
                <w:rFonts w:ascii="Trebuchet MS" w:eastAsia="Calibri" w:hAnsi="Trebuchet MS"/>
                <w:color w:val="000000"/>
                <w:sz w:val="18"/>
              </w:rPr>
              <w:t>8</w:t>
            </w:r>
          </w:p>
        </w:tc>
        <w:tc>
          <w:tcPr>
            <w:tcW w:w="1402" w:type="dxa"/>
          </w:tcPr>
          <w:p w14:paraId="39958837" w14:textId="77777777" w:rsidR="00D9359D" w:rsidRPr="00287C4D" w:rsidRDefault="00D9359D" w:rsidP="00287C4D">
            <w:pPr>
              <w:spacing w:line="240" w:lineRule="auto"/>
              <w:ind w:left="0" w:right="36"/>
              <w:jc w:val="center"/>
              <w:rPr>
                <w:rFonts w:ascii="Trebuchet MS" w:eastAsia="Calibri" w:hAnsi="Trebuchet MS"/>
                <w:color w:val="000000"/>
                <w:sz w:val="18"/>
              </w:rPr>
            </w:pPr>
            <w:r w:rsidRPr="00287C4D">
              <w:rPr>
                <w:rFonts w:ascii="Trebuchet MS" w:eastAsia="Calibri" w:hAnsi="Trebuchet MS"/>
                <w:color w:val="000000"/>
                <w:sz w:val="18"/>
              </w:rPr>
              <w:t>24.294</w:t>
            </w:r>
          </w:p>
        </w:tc>
        <w:tc>
          <w:tcPr>
            <w:tcW w:w="2694" w:type="dxa"/>
            <w:vMerge/>
          </w:tcPr>
          <w:p w14:paraId="38976D8A" w14:textId="77777777" w:rsidR="00D9359D" w:rsidRPr="00287C4D" w:rsidRDefault="00D9359D" w:rsidP="00287C4D">
            <w:pPr>
              <w:spacing w:line="240" w:lineRule="auto"/>
              <w:ind w:left="0" w:right="0"/>
              <w:jc w:val="both"/>
              <w:rPr>
                <w:rFonts w:ascii="Trebuchet MS" w:eastAsia="Calibri" w:hAnsi="Trebuchet MS"/>
                <w:color w:val="000000"/>
                <w:sz w:val="18"/>
              </w:rPr>
            </w:pPr>
          </w:p>
        </w:tc>
      </w:tr>
      <w:tr w:rsidR="0096136D" w:rsidRPr="00287C4D" w14:paraId="34038A37" w14:textId="77777777" w:rsidTr="00C06E0C">
        <w:trPr>
          <w:trHeight w:val="701"/>
        </w:trPr>
        <w:tc>
          <w:tcPr>
            <w:tcW w:w="1007" w:type="dxa"/>
          </w:tcPr>
          <w:p w14:paraId="7AB7056E" w14:textId="77777777" w:rsidR="00D9359D" w:rsidRPr="00287C4D" w:rsidRDefault="00D9359D" w:rsidP="00287C4D">
            <w:pPr>
              <w:spacing w:line="240" w:lineRule="auto"/>
              <w:ind w:left="0" w:right="0"/>
              <w:jc w:val="center"/>
              <w:rPr>
                <w:rFonts w:ascii="Trebuchet MS" w:eastAsia="Calibri" w:hAnsi="Trebuchet MS"/>
                <w:b/>
                <w:color w:val="000000"/>
                <w:sz w:val="18"/>
              </w:rPr>
            </w:pPr>
            <w:r w:rsidRPr="00287C4D">
              <w:rPr>
                <w:rFonts w:ascii="Trebuchet MS" w:eastAsia="Calibri" w:hAnsi="Trebuchet MS"/>
                <w:b/>
                <w:color w:val="000000"/>
                <w:sz w:val="18"/>
              </w:rPr>
              <w:t>Latvia</w:t>
            </w:r>
          </w:p>
        </w:tc>
        <w:tc>
          <w:tcPr>
            <w:tcW w:w="836" w:type="dxa"/>
          </w:tcPr>
          <w:p w14:paraId="5A58593A" w14:textId="77777777" w:rsidR="00D9359D" w:rsidRPr="00287C4D" w:rsidRDefault="00D9359D" w:rsidP="00287C4D">
            <w:pPr>
              <w:spacing w:line="240" w:lineRule="auto"/>
              <w:ind w:left="0" w:right="27"/>
              <w:jc w:val="center"/>
              <w:rPr>
                <w:rFonts w:ascii="Trebuchet MS" w:eastAsia="Calibri" w:hAnsi="Trebuchet MS"/>
                <w:color w:val="000000"/>
                <w:sz w:val="18"/>
              </w:rPr>
            </w:pPr>
            <w:r w:rsidRPr="00287C4D">
              <w:rPr>
                <w:rFonts w:ascii="Trebuchet MS" w:eastAsia="Calibri" w:hAnsi="Trebuchet MS"/>
                <w:color w:val="000000"/>
                <w:sz w:val="18"/>
              </w:rPr>
              <w:t>12</w:t>
            </w:r>
          </w:p>
        </w:tc>
        <w:tc>
          <w:tcPr>
            <w:tcW w:w="851" w:type="dxa"/>
          </w:tcPr>
          <w:p w14:paraId="0A63E11D" w14:textId="77777777" w:rsidR="00D9359D" w:rsidRPr="00287C4D" w:rsidRDefault="00D9359D" w:rsidP="00287C4D">
            <w:pPr>
              <w:spacing w:line="240" w:lineRule="auto"/>
              <w:ind w:left="0" w:right="20"/>
              <w:jc w:val="center"/>
              <w:rPr>
                <w:rFonts w:ascii="Trebuchet MS" w:eastAsia="Calibri" w:hAnsi="Trebuchet MS"/>
                <w:color w:val="000000"/>
                <w:sz w:val="18"/>
              </w:rPr>
            </w:pPr>
            <w:r w:rsidRPr="00287C4D">
              <w:rPr>
                <w:rFonts w:ascii="Trebuchet MS" w:eastAsia="Calibri" w:hAnsi="Trebuchet MS"/>
                <w:color w:val="000000"/>
                <w:sz w:val="18"/>
              </w:rPr>
              <w:t>6</w:t>
            </w:r>
          </w:p>
        </w:tc>
        <w:tc>
          <w:tcPr>
            <w:tcW w:w="849" w:type="dxa"/>
          </w:tcPr>
          <w:p w14:paraId="34BFBD40" w14:textId="77777777" w:rsidR="00D9359D" w:rsidRPr="00287C4D" w:rsidRDefault="00D9359D" w:rsidP="00630269">
            <w:pPr>
              <w:spacing w:line="240" w:lineRule="auto"/>
              <w:ind w:left="0" w:right="-6"/>
              <w:jc w:val="center"/>
              <w:rPr>
                <w:rFonts w:ascii="Trebuchet MS" w:eastAsia="Calibri" w:hAnsi="Trebuchet MS"/>
                <w:color w:val="000000"/>
                <w:sz w:val="18"/>
              </w:rPr>
            </w:pPr>
            <w:r w:rsidRPr="00287C4D">
              <w:rPr>
                <w:rFonts w:ascii="Trebuchet MS" w:eastAsia="Calibri" w:hAnsi="Trebuchet MS"/>
                <w:color w:val="000000"/>
                <w:sz w:val="18"/>
              </w:rPr>
              <w:t>2.7</w:t>
            </w:r>
            <w:r w:rsidRPr="00287C4D">
              <w:rPr>
                <w:rFonts w:ascii="Trebuchet MS" w:eastAsia="Calibri" w:hAnsi="Trebuchet MS"/>
                <w:b/>
                <w:color w:val="263238"/>
                <w:sz w:val="18"/>
                <w:vertAlign w:val="superscript"/>
              </w:rPr>
              <w:footnoteReference w:id="49"/>
            </w:r>
          </w:p>
        </w:tc>
        <w:tc>
          <w:tcPr>
            <w:tcW w:w="725" w:type="dxa"/>
            <w:shd w:val="clear" w:color="auto" w:fill="ECEBE1" w:themeFill="background2"/>
          </w:tcPr>
          <w:p w14:paraId="3ACBFE11" w14:textId="77777777" w:rsidR="00D9359D" w:rsidRPr="00287C4D" w:rsidRDefault="00D9359D" w:rsidP="00287C4D">
            <w:pPr>
              <w:spacing w:line="240" w:lineRule="auto"/>
              <w:ind w:left="0" w:right="0"/>
              <w:jc w:val="center"/>
              <w:rPr>
                <w:rFonts w:ascii="Trebuchet MS" w:eastAsia="Calibri" w:hAnsi="Trebuchet MS"/>
                <w:color w:val="000000"/>
                <w:sz w:val="18"/>
              </w:rPr>
            </w:pPr>
            <w:r w:rsidRPr="00287C4D">
              <w:rPr>
                <w:rFonts w:ascii="Trebuchet MS" w:eastAsia="Calibri" w:hAnsi="Trebuchet MS"/>
                <w:color w:val="000000"/>
                <w:sz w:val="18"/>
              </w:rPr>
              <w:t>2.7</w:t>
            </w:r>
          </w:p>
        </w:tc>
        <w:tc>
          <w:tcPr>
            <w:tcW w:w="1402" w:type="dxa"/>
          </w:tcPr>
          <w:p w14:paraId="3EDEA665" w14:textId="77777777" w:rsidR="00D9359D" w:rsidRPr="00287C4D" w:rsidRDefault="00D9359D" w:rsidP="00287C4D">
            <w:pPr>
              <w:spacing w:line="240" w:lineRule="auto"/>
              <w:ind w:left="0" w:right="36"/>
              <w:jc w:val="center"/>
              <w:rPr>
                <w:rFonts w:ascii="Trebuchet MS" w:eastAsia="Calibri" w:hAnsi="Trebuchet MS"/>
                <w:color w:val="000000"/>
                <w:sz w:val="18"/>
              </w:rPr>
            </w:pPr>
            <w:r w:rsidRPr="00287C4D">
              <w:rPr>
                <w:rFonts w:ascii="Trebuchet MS" w:eastAsia="Calibri" w:hAnsi="Trebuchet MS"/>
                <w:color w:val="000000"/>
                <w:sz w:val="18"/>
              </w:rPr>
              <w:t>5.929</w:t>
            </w:r>
          </w:p>
        </w:tc>
        <w:tc>
          <w:tcPr>
            <w:tcW w:w="2694" w:type="dxa"/>
            <w:vMerge w:val="restart"/>
          </w:tcPr>
          <w:p w14:paraId="7EA250D2" w14:textId="629E3143" w:rsidR="00D9359D" w:rsidRPr="00287C4D" w:rsidRDefault="00F04529" w:rsidP="00287C4D">
            <w:pPr>
              <w:spacing w:line="240" w:lineRule="auto"/>
              <w:ind w:left="0" w:right="0"/>
              <w:jc w:val="both"/>
              <w:rPr>
                <w:rFonts w:ascii="Trebuchet MS" w:eastAsia="Calibri" w:hAnsi="Trebuchet MS"/>
                <w:color w:val="000000"/>
                <w:sz w:val="18"/>
              </w:rPr>
            </w:pPr>
            <w:r>
              <w:rPr>
                <w:rFonts w:ascii="Trebuchet MS" w:eastAsia="Calibri" w:hAnsi="Trebuchet MS"/>
                <w:color w:val="000000"/>
                <w:sz w:val="18"/>
              </w:rPr>
              <w:t>Based on the inputs</w:t>
            </w:r>
            <w:r w:rsidR="007B40CD">
              <w:rPr>
                <w:rFonts w:ascii="Trebuchet MS" w:eastAsia="Calibri" w:hAnsi="Trebuchet MS"/>
                <w:color w:val="000000"/>
                <w:sz w:val="18"/>
              </w:rPr>
              <w:t xml:space="preserve"> received</w:t>
            </w:r>
            <w:r>
              <w:rPr>
                <w:rFonts w:ascii="Trebuchet MS" w:eastAsia="Calibri" w:hAnsi="Trebuchet MS"/>
                <w:color w:val="000000"/>
                <w:sz w:val="18"/>
              </w:rPr>
              <w:t xml:space="preserve"> from ministry </w:t>
            </w:r>
            <w:r w:rsidR="007B40CD">
              <w:rPr>
                <w:rFonts w:ascii="Trebuchet MS" w:eastAsia="Calibri" w:hAnsi="Trebuchet MS"/>
                <w:color w:val="000000"/>
                <w:sz w:val="18"/>
              </w:rPr>
              <w:t>representatives</w:t>
            </w:r>
            <w:r>
              <w:rPr>
                <w:rFonts w:ascii="Trebuchet MS" w:eastAsia="Calibri" w:hAnsi="Trebuchet MS"/>
                <w:color w:val="000000"/>
                <w:sz w:val="18"/>
              </w:rPr>
              <w:t xml:space="preserve">, </w:t>
            </w:r>
            <w:r w:rsidR="007B40CD">
              <w:rPr>
                <w:rFonts w:ascii="Trebuchet MS" w:eastAsia="Calibri" w:hAnsi="Trebuchet MS"/>
                <w:color w:val="000000"/>
                <w:sz w:val="18"/>
              </w:rPr>
              <w:t>t</w:t>
            </w:r>
            <w:r w:rsidR="00D9359D" w:rsidRPr="00287C4D">
              <w:rPr>
                <w:rFonts w:ascii="Trebuchet MS" w:eastAsia="Calibri" w:hAnsi="Trebuchet MS"/>
                <w:color w:val="000000"/>
                <w:sz w:val="18"/>
              </w:rPr>
              <w:t xml:space="preserve">he number presents </w:t>
            </w:r>
            <w:r w:rsidR="007B40CD">
              <w:rPr>
                <w:rFonts w:ascii="Trebuchet MS" w:eastAsia="Calibri" w:hAnsi="Trebuchet MS"/>
                <w:color w:val="000000"/>
                <w:sz w:val="18"/>
              </w:rPr>
              <w:t>considered to be</w:t>
            </w:r>
            <w:r w:rsidR="00D9359D" w:rsidRPr="00287C4D">
              <w:rPr>
                <w:rFonts w:ascii="Trebuchet MS" w:eastAsia="Calibri" w:hAnsi="Trebuchet MS"/>
                <w:color w:val="000000"/>
                <w:sz w:val="18"/>
              </w:rPr>
              <w:t xml:space="preserve"> more realistic</w:t>
            </w:r>
            <w:r w:rsidR="007B40CD">
              <w:rPr>
                <w:rFonts w:ascii="Trebuchet MS" w:eastAsia="Calibri" w:hAnsi="Trebuchet MS"/>
                <w:color w:val="000000"/>
                <w:sz w:val="18"/>
              </w:rPr>
              <w:t>.</w:t>
            </w:r>
            <w:r w:rsidR="00D9359D" w:rsidRPr="00287C4D">
              <w:rPr>
                <w:rFonts w:ascii="Trebuchet MS" w:eastAsia="Calibri" w:hAnsi="Trebuchet MS"/>
                <w:color w:val="000000"/>
                <w:sz w:val="18"/>
              </w:rPr>
              <w:t xml:space="preserve"> </w:t>
            </w:r>
          </w:p>
        </w:tc>
      </w:tr>
      <w:tr w:rsidR="0096136D" w:rsidRPr="00287C4D" w14:paraId="2257A22E" w14:textId="77777777" w:rsidTr="00C06E0C">
        <w:tc>
          <w:tcPr>
            <w:tcW w:w="1007" w:type="dxa"/>
          </w:tcPr>
          <w:p w14:paraId="06DA38A0" w14:textId="77777777" w:rsidR="00D9359D" w:rsidRPr="00287C4D" w:rsidRDefault="00D9359D" w:rsidP="00287C4D">
            <w:pPr>
              <w:spacing w:line="240" w:lineRule="auto"/>
              <w:ind w:left="0" w:right="0"/>
              <w:jc w:val="center"/>
              <w:rPr>
                <w:rFonts w:ascii="Trebuchet MS" w:eastAsia="Calibri" w:hAnsi="Trebuchet MS"/>
                <w:b/>
                <w:color w:val="000000"/>
                <w:sz w:val="18"/>
              </w:rPr>
            </w:pPr>
            <w:r w:rsidRPr="00287C4D">
              <w:rPr>
                <w:rFonts w:ascii="Trebuchet MS" w:eastAsia="Calibri" w:hAnsi="Trebuchet MS"/>
                <w:b/>
                <w:color w:val="000000"/>
                <w:sz w:val="18"/>
              </w:rPr>
              <w:t>Finland</w:t>
            </w:r>
          </w:p>
        </w:tc>
        <w:tc>
          <w:tcPr>
            <w:tcW w:w="836" w:type="dxa"/>
          </w:tcPr>
          <w:p w14:paraId="7CBB0107" w14:textId="77777777" w:rsidR="00D9359D" w:rsidRPr="00287C4D" w:rsidRDefault="00D9359D" w:rsidP="00287C4D">
            <w:pPr>
              <w:spacing w:line="240" w:lineRule="auto"/>
              <w:ind w:left="0" w:right="27"/>
              <w:jc w:val="center"/>
              <w:rPr>
                <w:rFonts w:ascii="Trebuchet MS" w:eastAsia="Calibri" w:hAnsi="Trebuchet MS"/>
                <w:color w:val="000000"/>
                <w:sz w:val="18"/>
              </w:rPr>
            </w:pPr>
            <w:r w:rsidRPr="00287C4D">
              <w:rPr>
                <w:rFonts w:ascii="Trebuchet MS" w:eastAsia="Calibri" w:hAnsi="Trebuchet MS"/>
                <w:color w:val="000000"/>
                <w:sz w:val="18"/>
              </w:rPr>
              <w:t>56</w:t>
            </w:r>
          </w:p>
        </w:tc>
        <w:tc>
          <w:tcPr>
            <w:tcW w:w="851" w:type="dxa"/>
          </w:tcPr>
          <w:p w14:paraId="2D235E82" w14:textId="77777777" w:rsidR="00D9359D" w:rsidRPr="00287C4D" w:rsidRDefault="00D9359D" w:rsidP="00287C4D">
            <w:pPr>
              <w:spacing w:line="240" w:lineRule="auto"/>
              <w:ind w:left="0" w:right="20"/>
              <w:jc w:val="center"/>
              <w:rPr>
                <w:rFonts w:ascii="Trebuchet MS" w:eastAsia="Calibri" w:hAnsi="Trebuchet MS"/>
                <w:color w:val="000000"/>
                <w:sz w:val="18"/>
              </w:rPr>
            </w:pPr>
            <w:r w:rsidRPr="00287C4D">
              <w:rPr>
                <w:rFonts w:ascii="Trebuchet MS" w:eastAsia="Calibri" w:hAnsi="Trebuchet MS"/>
                <w:color w:val="000000"/>
                <w:sz w:val="18"/>
              </w:rPr>
              <w:t>43</w:t>
            </w:r>
          </w:p>
        </w:tc>
        <w:tc>
          <w:tcPr>
            <w:tcW w:w="849" w:type="dxa"/>
          </w:tcPr>
          <w:p w14:paraId="40ED6988" w14:textId="77777777" w:rsidR="00D9359D" w:rsidRPr="00287C4D" w:rsidRDefault="00D9359D" w:rsidP="00630269">
            <w:pPr>
              <w:spacing w:line="240" w:lineRule="auto"/>
              <w:ind w:left="0" w:right="-6"/>
              <w:jc w:val="center"/>
              <w:rPr>
                <w:rFonts w:ascii="Trebuchet MS" w:eastAsia="Calibri" w:hAnsi="Trebuchet MS"/>
                <w:color w:val="000000"/>
                <w:sz w:val="18"/>
              </w:rPr>
            </w:pPr>
            <w:r w:rsidRPr="00287C4D">
              <w:rPr>
                <w:rFonts w:ascii="Cambria Math" w:eastAsia="Calibri" w:hAnsi="Cambria Math" w:cs="Cambria Math"/>
                <w:color w:val="000000"/>
                <w:sz w:val="18"/>
              </w:rPr>
              <w:t>∼</w:t>
            </w:r>
            <w:r w:rsidRPr="00287C4D">
              <w:rPr>
                <w:rFonts w:ascii="Trebuchet MS" w:eastAsia="Calibri" w:hAnsi="Trebuchet MS"/>
                <w:color w:val="000000"/>
                <w:sz w:val="18"/>
              </w:rPr>
              <w:t>11</w:t>
            </w:r>
            <w:r w:rsidRPr="00287C4D">
              <w:rPr>
                <w:rFonts w:ascii="Trebuchet MS" w:eastAsia="Calibri" w:hAnsi="Trebuchet MS"/>
                <w:b/>
                <w:color w:val="263238"/>
                <w:sz w:val="18"/>
                <w:vertAlign w:val="superscript"/>
              </w:rPr>
              <w:footnoteReference w:id="50"/>
            </w:r>
          </w:p>
        </w:tc>
        <w:tc>
          <w:tcPr>
            <w:tcW w:w="725" w:type="dxa"/>
            <w:shd w:val="clear" w:color="auto" w:fill="ECEBE1" w:themeFill="background2"/>
          </w:tcPr>
          <w:p w14:paraId="6EF66B1B" w14:textId="77777777" w:rsidR="00D9359D" w:rsidRPr="00287C4D" w:rsidRDefault="00D9359D" w:rsidP="00287C4D">
            <w:pPr>
              <w:spacing w:line="240" w:lineRule="auto"/>
              <w:ind w:left="0" w:right="0"/>
              <w:jc w:val="center"/>
              <w:rPr>
                <w:rFonts w:ascii="Trebuchet MS" w:eastAsia="Calibri" w:hAnsi="Trebuchet MS"/>
                <w:color w:val="000000"/>
                <w:sz w:val="18"/>
              </w:rPr>
            </w:pPr>
            <w:r w:rsidRPr="00287C4D">
              <w:rPr>
                <w:rFonts w:ascii="Trebuchet MS" w:eastAsia="Calibri" w:hAnsi="Trebuchet MS"/>
                <w:color w:val="000000"/>
                <w:sz w:val="18"/>
              </w:rPr>
              <w:t>11</w:t>
            </w:r>
          </w:p>
        </w:tc>
        <w:tc>
          <w:tcPr>
            <w:tcW w:w="1402" w:type="dxa"/>
          </w:tcPr>
          <w:p w14:paraId="7E77EFCE" w14:textId="77777777" w:rsidR="00D9359D" w:rsidRPr="00287C4D" w:rsidRDefault="00D9359D" w:rsidP="00287C4D">
            <w:pPr>
              <w:spacing w:line="240" w:lineRule="auto"/>
              <w:ind w:left="0" w:right="36"/>
              <w:jc w:val="center"/>
              <w:rPr>
                <w:rFonts w:ascii="Trebuchet MS" w:eastAsia="Calibri" w:hAnsi="Trebuchet MS"/>
                <w:color w:val="000000"/>
                <w:sz w:val="18"/>
              </w:rPr>
            </w:pPr>
            <w:r w:rsidRPr="00287C4D">
              <w:rPr>
                <w:rFonts w:ascii="Trebuchet MS" w:eastAsia="Calibri" w:hAnsi="Trebuchet MS"/>
                <w:color w:val="000000"/>
                <w:sz w:val="18"/>
              </w:rPr>
              <w:t>19</w:t>
            </w:r>
          </w:p>
        </w:tc>
        <w:tc>
          <w:tcPr>
            <w:tcW w:w="2694" w:type="dxa"/>
            <w:vMerge/>
          </w:tcPr>
          <w:p w14:paraId="5A379B8F" w14:textId="77777777" w:rsidR="00D9359D" w:rsidRPr="00287C4D" w:rsidRDefault="00D9359D" w:rsidP="00630269">
            <w:pPr>
              <w:spacing w:line="240" w:lineRule="auto"/>
              <w:ind w:left="0"/>
              <w:jc w:val="center"/>
              <w:rPr>
                <w:rFonts w:ascii="Trebuchet MS" w:eastAsia="Calibri" w:hAnsi="Trebuchet MS"/>
                <w:color w:val="000000"/>
              </w:rPr>
            </w:pPr>
          </w:p>
        </w:tc>
      </w:tr>
    </w:tbl>
    <w:p w14:paraId="16F58166" w14:textId="77777777" w:rsidR="00D9359D" w:rsidRDefault="00D9359D" w:rsidP="00D9359D">
      <w:pPr>
        <w:jc w:val="center"/>
      </w:pPr>
    </w:p>
    <w:p w14:paraId="6371F2DB" w14:textId="77777777" w:rsidR="00D9359D" w:rsidRPr="00474B71" w:rsidRDefault="00D9359D" w:rsidP="00474B71">
      <w:pPr>
        <w:pStyle w:val="Kop2"/>
        <w:ind w:left="1134" w:hanging="567"/>
        <w:rPr>
          <w:color w:val="005962" w:themeColor="accent1"/>
        </w:rPr>
      </w:pPr>
      <w:bookmarkStart w:id="93" w:name="_Toc114565057"/>
      <w:r w:rsidRPr="00474B71">
        <w:rPr>
          <w:color w:val="005962" w:themeColor="accent1"/>
        </w:rPr>
        <w:t>Renewable hydrogen potential in the Baltic-Finnish region</w:t>
      </w:r>
      <w:bookmarkEnd w:id="93"/>
    </w:p>
    <w:p w14:paraId="257E9C5E" w14:textId="6986ED8A" w:rsidR="00D9359D" w:rsidRDefault="00D9359D" w:rsidP="00D9359D">
      <w:pPr>
        <w:ind w:left="540"/>
        <w:jc w:val="both"/>
      </w:pPr>
      <w:r>
        <w:t xml:space="preserve">The </w:t>
      </w:r>
      <w:r w:rsidRPr="007716D6">
        <w:t>Baltic states</w:t>
      </w:r>
      <w:r w:rsidRPr="00E07DF5">
        <w:t xml:space="preserve"> are likely to adopt </w:t>
      </w:r>
      <w:r>
        <w:t xml:space="preserve">in the near future </w:t>
      </w:r>
      <w:r w:rsidRPr="00E07DF5">
        <w:t>national hydrogen strategies to enable wider use of hydrogen in transport and other high-potential sec</w:t>
      </w:r>
      <w:bookmarkStart w:id="94" w:name="_Ref103195926"/>
      <w:r w:rsidRPr="00E07DF5">
        <w:t>t</w:t>
      </w:r>
      <w:bookmarkEnd w:id="94"/>
      <w:r w:rsidRPr="00E07DF5">
        <w:t>ors</w:t>
      </w:r>
      <w:r>
        <w:rPr>
          <w:rStyle w:val="Voetnootmarkering"/>
        </w:rPr>
        <w:footnoteReference w:id="51"/>
      </w:r>
      <w:r>
        <w:t>.</w:t>
      </w:r>
      <w:r w:rsidRPr="00072A0F">
        <w:t xml:space="preserve"> </w:t>
      </w:r>
      <w:r>
        <w:t>It is reported</w:t>
      </w:r>
      <w:r>
        <w:rPr>
          <w:rStyle w:val="Voetnootmarkering"/>
        </w:rPr>
        <w:footnoteReference w:id="52"/>
      </w:r>
      <w:r>
        <w:t xml:space="preserve"> that Estonia, Latvia, Lithuania, and Finland, are resources rich with high </w:t>
      </w:r>
      <w:r w:rsidRPr="00072A0F">
        <w:rPr>
          <w:color w:val="000000" w:themeColor="text1"/>
        </w:rPr>
        <w:t>infrastructure potential of hydrogen</w:t>
      </w:r>
      <w:r w:rsidR="007B40CD">
        <w:t>.</w:t>
      </w:r>
    </w:p>
    <w:p w14:paraId="05418FB4" w14:textId="6B4639BD" w:rsidR="00D9359D" w:rsidRDefault="00D9359D" w:rsidP="00D9359D">
      <w:pPr>
        <w:spacing w:before="240" w:line="360" w:lineRule="auto"/>
        <w:ind w:left="540"/>
        <w:jc w:val="both"/>
      </w:pPr>
      <w:r w:rsidRPr="002E135A">
        <w:t xml:space="preserve"> </w:t>
      </w:r>
      <w:r w:rsidRPr="000A579D">
        <w:t xml:space="preserve">The Baltic States and Finland have substantial technical renewable electricity potential. </w:t>
      </w:r>
      <w:r w:rsidR="00CE19A3">
        <w:t xml:space="preserve">As hydrogen is expected to be mainly produced by water electrolysis using electricity, the </w:t>
      </w:r>
      <w:r w:rsidRPr="000A579D">
        <w:t xml:space="preserve">renewable electricity potential is deemed </w:t>
      </w:r>
      <w:r w:rsidR="00DD6048">
        <w:t>a</w:t>
      </w:r>
      <w:r w:rsidRPr="000A579D">
        <w:t xml:space="preserve"> </w:t>
      </w:r>
      <w:r w:rsidR="00CE19A3">
        <w:t xml:space="preserve">relevant </w:t>
      </w:r>
      <w:r w:rsidRPr="000A579D">
        <w:t xml:space="preserve">basis for the green hydrogen production potential </w:t>
      </w:r>
      <w:r>
        <w:t>in each country</w:t>
      </w:r>
      <w:r w:rsidRPr="000A579D">
        <w:t xml:space="preserve">. The following table shows </w:t>
      </w:r>
      <w:r w:rsidR="00CE19A3">
        <w:t xml:space="preserve">the </w:t>
      </w:r>
      <w:r w:rsidRPr="000A579D">
        <w:t>technical</w:t>
      </w:r>
      <w:r w:rsidR="00CE19A3">
        <w:t>ly</w:t>
      </w:r>
      <w:r w:rsidRPr="000A579D">
        <w:t xml:space="preserve"> realisable renewable electricity potential per country. Two </w:t>
      </w:r>
      <w:r w:rsidR="00CE19A3">
        <w:t xml:space="preserve">information </w:t>
      </w:r>
      <w:r w:rsidRPr="000A579D">
        <w:t xml:space="preserve">sources have been </w:t>
      </w:r>
      <w:r w:rsidR="00CE19A3">
        <w:t>used</w:t>
      </w:r>
      <w:r w:rsidRPr="000A579D">
        <w:t xml:space="preserve">: the </w:t>
      </w:r>
      <w:r w:rsidR="00CE19A3">
        <w:t xml:space="preserve">report commissioned by the </w:t>
      </w:r>
      <w:r w:rsidRPr="000A579D">
        <w:t>European Commission on the impact of biomethane and hydrogen potential on trans-European infrastructure</w:t>
      </w:r>
      <w:r w:rsidRPr="00AA4B56">
        <w:rPr>
          <w:vertAlign w:val="superscript"/>
        </w:rPr>
        <w:fldChar w:fldCharType="begin"/>
      </w:r>
      <w:r w:rsidRPr="00AA4B56">
        <w:rPr>
          <w:vertAlign w:val="superscript"/>
        </w:rPr>
        <w:instrText xml:space="preserve"> NOTEREF _Ref106978948 \h </w:instrText>
      </w:r>
      <w:r>
        <w:rPr>
          <w:vertAlign w:val="superscript"/>
        </w:rPr>
        <w:instrText xml:space="preserve"> \* MERGEFORMAT </w:instrText>
      </w:r>
      <w:r w:rsidRPr="00AA4B56">
        <w:rPr>
          <w:vertAlign w:val="superscript"/>
        </w:rPr>
      </w:r>
      <w:r w:rsidRPr="00AA4B56">
        <w:rPr>
          <w:vertAlign w:val="superscript"/>
        </w:rPr>
        <w:fldChar w:fldCharType="separate"/>
      </w:r>
      <w:r w:rsidR="00265258">
        <w:rPr>
          <w:vertAlign w:val="superscript"/>
        </w:rPr>
        <w:t>44</w:t>
      </w:r>
      <w:r w:rsidRPr="00AA4B56">
        <w:rPr>
          <w:vertAlign w:val="superscript"/>
        </w:rPr>
        <w:fldChar w:fldCharType="end"/>
      </w:r>
      <w:r w:rsidRPr="000A579D">
        <w:t xml:space="preserve"> and the 2021 report on </w:t>
      </w:r>
      <w:r w:rsidR="00CE19A3">
        <w:t xml:space="preserve">the </w:t>
      </w:r>
      <w:r w:rsidRPr="000A579D">
        <w:lastRenderedPageBreak/>
        <w:t>European Hydrogen Backbone (EHB)</w:t>
      </w:r>
      <w:bookmarkStart w:id="95" w:name="_Ref106980288"/>
      <w:r w:rsidRPr="000A579D">
        <w:rPr>
          <w:rStyle w:val="Voetnootmarkering"/>
        </w:rPr>
        <w:footnoteReference w:id="53"/>
      </w:r>
      <w:bookmarkEnd w:id="95"/>
      <w:r w:rsidRPr="000A579D">
        <w:t>. For Latvia and Lithuania, it is assumed that 50% of the technically realis</w:t>
      </w:r>
      <w:r w:rsidR="00646928">
        <w:t>able</w:t>
      </w:r>
      <w:r w:rsidRPr="000A579D">
        <w:t xml:space="preserve"> renewable electricity potential can be </w:t>
      </w:r>
      <w:r w:rsidR="00646928">
        <w:t>considered</w:t>
      </w:r>
      <w:r w:rsidRPr="000A579D">
        <w:t xml:space="preserve"> as economically realis</w:t>
      </w:r>
      <w:r w:rsidR="00646928">
        <w:t>able</w:t>
      </w:r>
      <w:r w:rsidRPr="000A579D">
        <w:t xml:space="preserve"> potential. For Finland, 70% of the technically realis</w:t>
      </w:r>
      <w:r w:rsidR="00646928">
        <w:t>able</w:t>
      </w:r>
      <w:r w:rsidRPr="000A579D">
        <w:t xml:space="preserve"> renewable electricity potential is assumed as economically realisable, </w:t>
      </w:r>
      <w:r>
        <w:t>considering Finland’s current electricity consumption level.</w:t>
      </w:r>
      <w:r w:rsidR="00621B88">
        <w:t xml:space="preserve"> For Estonia, </w:t>
      </w:r>
      <w:r w:rsidR="00646928">
        <w:t xml:space="preserve">the </w:t>
      </w:r>
      <w:r w:rsidR="00BB7FFD">
        <w:t>r</w:t>
      </w:r>
      <w:r w:rsidR="00621B88" w:rsidRPr="00621B88">
        <w:t>enewable electricity production potential is taken from the recent study ‘Transitioning to a climate-neutral electricity generation in Estonia, 2022’</w:t>
      </w:r>
      <w:bookmarkStart w:id="97" w:name="_Ref113013706"/>
      <w:r w:rsidR="004F6439">
        <w:rPr>
          <w:rStyle w:val="Voetnootmarkering"/>
        </w:rPr>
        <w:footnoteReference w:id="54"/>
      </w:r>
      <w:bookmarkEnd w:id="97"/>
      <w:r w:rsidR="00BB7FFD">
        <w:t xml:space="preserve"> </w:t>
      </w:r>
      <w:r w:rsidR="00646928">
        <w:t>which</w:t>
      </w:r>
      <w:r w:rsidR="00BB7FFD">
        <w:t xml:space="preserve"> provides the most </w:t>
      </w:r>
      <w:r w:rsidR="004F6439">
        <w:t xml:space="preserve">accurate and recent estimates. </w:t>
      </w:r>
    </w:p>
    <w:p w14:paraId="3F329FCB" w14:textId="66AB0803" w:rsidR="00D9359D" w:rsidRDefault="004F3F0A" w:rsidP="004F3F0A">
      <w:pPr>
        <w:pStyle w:val="Bijschrift"/>
        <w:spacing w:before="120"/>
      </w:pPr>
      <w:r>
        <w:t xml:space="preserve">Table </w:t>
      </w:r>
      <w:r w:rsidR="006D12F8">
        <w:fldChar w:fldCharType="begin"/>
      </w:r>
      <w:r w:rsidR="006D12F8">
        <w:instrText xml:space="preserve"> STYLEREF 1 \s </w:instrText>
      </w:r>
      <w:r w:rsidR="006D12F8">
        <w:fldChar w:fldCharType="separate"/>
      </w:r>
      <w:r w:rsidR="00265258">
        <w:rPr>
          <w:noProof/>
        </w:rPr>
        <w:t>5</w:t>
      </w:r>
      <w:r w:rsidR="006D12F8">
        <w:rPr>
          <w:noProof/>
        </w:rPr>
        <w:fldChar w:fldCharType="end"/>
      </w:r>
      <w:r>
        <w:noBreakHyphen/>
      </w:r>
      <w:r w:rsidR="006D12F8">
        <w:fldChar w:fldCharType="begin"/>
      </w:r>
      <w:r w:rsidR="006D12F8">
        <w:instrText xml:space="preserve"> SEQ Table \* ARABIC \s 1 </w:instrText>
      </w:r>
      <w:r w:rsidR="006D12F8">
        <w:fldChar w:fldCharType="separate"/>
      </w:r>
      <w:r w:rsidR="00265258">
        <w:rPr>
          <w:noProof/>
        </w:rPr>
        <w:t>2</w:t>
      </w:r>
      <w:r w:rsidR="006D12F8">
        <w:rPr>
          <w:noProof/>
        </w:rPr>
        <w:fldChar w:fldCharType="end"/>
      </w:r>
      <w:r w:rsidR="00D9359D">
        <w:t xml:space="preserve"> Renewable electricity potential </w:t>
      </w:r>
      <w:r w:rsidR="00646928">
        <w:t>in</w:t>
      </w:r>
      <w:r w:rsidR="00D9359D">
        <w:t xml:space="preserve"> the </w:t>
      </w:r>
      <w:r w:rsidR="00646928">
        <w:t xml:space="preserve">Baltic-Finnish </w:t>
      </w:r>
      <w:r w:rsidR="00D9359D">
        <w:t>region</w:t>
      </w:r>
    </w:p>
    <w:tbl>
      <w:tblPr>
        <w:tblStyle w:val="Tabelraster"/>
        <w:tblW w:w="8505" w:type="dxa"/>
        <w:tblInd w:w="562" w:type="dxa"/>
        <w:tblLook w:val="04A0" w:firstRow="1" w:lastRow="0" w:firstColumn="1" w:lastColumn="0" w:noHBand="0" w:noVBand="1"/>
      </w:tblPr>
      <w:tblGrid>
        <w:gridCol w:w="1011"/>
        <w:gridCol w:w="1683"/>
        <w:gridCol w:w="1275"/>
        <w:gridCol w:w="1985"/>
        <w:gridCol w:w="2551"/>
      </w:tblGrid>
      <w:tr w:rsidR="00D9359D" w:rsidRPr="000A579D" w14:paraId="785CBD11" w14:textId="77777777" w:rsidTr="007B6C99">
        <w:trPr>
          <w:trHeight w:val="594"/>
          <w:tblHeader/>
        </w:trPr>
        <w:tc>
          <w:tcPr>
            <w:tcW w:w="1011" w:type="dxa"/>
            <w:shd w:val="clear" w:color="auto" w:fill="005962" w:themeFill="accent1"/>
            <w:noWrap/>
            <w:hideMark/>
          </w:tcPr>
          <w:p w14:paraId="1428F974" w14:textId="77777777" w:rsidR="00D9359D" w:rsidRPr="00CC48B8" w:rsidRDefault="00D9359D" w:rsidP="001255EA">
            <w:pPr>
              <w:spacing w:before="60" w:after="60"/>
              <w:ind w:left="0"/>
              <w:rPr>
                <w:color w:val="FFFFFF" w:themeColor="background1"/>
              </w:rPr>
            </w:pPr>
            <w:r>
              <w:rPr>
                <w:color w:val="FFFFFF" w:themeColor="background1"/>
              </w:rPr>
              <w:t>Countries</w:t>
            </w:r>
          </w:p>
        </w:tc>
        <w:tc>
          <w:tcPr>
            <w:tcW w:w="1683" w:type="dxa"/>
            <w:shd w:val="clear" w:color="auto" w:fill="005962" w:themeFill="accent1"/>
            <w:hideMark/>
          </w:tcPr>
          <w:p w14:paraId="02F68E4B" w14:textId="435E6A89" w:rsidR="00D9359D" w:rsidRPr="00CC48B8" w:rsidRDefault="00D9359D" w:rsidP="001255EA">
            <w:pPr>
              <w:spacing w:before="60" w:after="60"/>
              <w:ind w:left="0"/>
              <w:jc w:val="center"/>
              <w:rPr>
                <w:color w:val="FFFFFF" w:themeColor="background1"/>
              </w:rPr>
            </w:pPr>
            <w:r w:rsidRPr="00CC48B8">
              <w:rPr>
                <w:color w:val="FFFFFF" w:themeColor="background1"/>
              </w:rPr>
              <w:t>DG Energy, EU Commission</w:t>
            </w:r>
            <w:r w:rsidRPr="005219F9">
              <w:rPr>
                <w:color w:val="FFFFFF" w:themeColor="background1"/>
                <w:vertAlign w:val="superscript"/>
              </w:rPr>
              <w:fldChar w:fldCharType="begin"/>
            </w:r>
            <w:r w:rsidRPr="005219F9">
              <w:rPr>
                <w:color w:val="FFFFFF" w:themeColor="background1"/>
                <w:vertAlign w:val="superscript"/>
              </w:rPr>
              <w:instrText xml:space="preserve"> NOTEREF _Ref106978948 \h </w:instrText>
            </w:r>
            <w:r>
              <w:rPr>
                <w:color w:val="FFFFFF" w:themeColor="background1"/>
                <w:vertAlign w:val="superscript"/>
              </w:rPr>
              <w:instrText xml:space="preserve"> \* MERGEFORMAT </w:instrText>
            </w:r>
            <w:r w:rsidRPr="005219F9">
              <w:rPr>
                <w:color w:val="FFFFFF" w:themeColor="background1"/>
                <w:vertAlign w:val="superscript"/>
              </w:rPr>
            </w:r>
            <w:r w:rsidRPr="005219F9">
              <w:rPr>
                <w:color w:val="FFFFFF" w:themeColor="background1"/>
                <w:vertAlign w:val="superscript"/>
              </w:rPr>
              <w:fldChar w:fldCharType="separate"/>
            </w:r>
            <w:r w:rsidR="00265258">
              <w:rPr>
                <w:color w:val="FFFFFF" w:themeColor="background1"/>
                <w:vertAlign w:val="superscript"/>
              </w:rPr>
              <w:t>44</w:t>
            </w:r>
            <w:r w:rsidRPr="005219F9">
              <w:rPr>
                <w:color w:val="FFFFFF" w:themeColor="background1"/>
                <w:vertAlign w:val="superscript"/>
              </w:rPr>
              <w:fldChar w:fldCharType="end"/>
            </w:r>
            <w:r w:rsidRPr="00CC48B8">
              <w:rPr>
                <w:b/>
                <w:bCs/>
                <w:color w:val="FFFFFF" w:themeColor="background1"/>
              </w:rPr>
              <w:t xml:space="preserve"> </w:t>
            </w:r>
            <w:r w:rsidRPr="00CC48B8">
              <w:rPr>
                <w:color w:val="FFFFFF" w:themeColor="background1"/>
              </w:rPr>
              <w:t>(</w:t>
            </w:r>
            <w:proofErr w:type="spellStart"/>
            <w:r w:rsidRPr="00CC48B8">
              <w:rPr>
                <w:color w:val="FFFFFF" w:themeColor="background1"/>
              </w:rPr>
              <w:t>TWh</w:t>
            </w:r>
            <w:proofErr w:type="spellEnd"/>
            <w:r w:rsidRPr="00CC48B8">
              <w:rPr>
                <w:color w:val="FFFFFF" w:themeColor="background1"/>
              </w:rPr>
              <w:t>)</w:t>
            </w:r>
          </w:p>
        </w:tc>
        <w:tc>
          <w:tcPr>
            <w:tcW w:w="1275" w:type="dxa"/>
            <w:shd w:val="clear" w:color="auto" w:fill="005962" w:themeFill="accent1"/>
            <w:noWrap/>
            <w:hideMark/>
          </w:tcPr>
          <w:p w14:paraId="47BD7ABC" w14:textId="1A55861D" w:rsidR="00D9359D" w:rsidRPr="00CC48B8" w:rsidRDefault="00D9359D" w:rsidP="001255EA">
            <w:pPr>
              <w:spacing w:before="60" w:after="60"/>
              <w:ind w:left="-134"/>
              <w:jc w:val="center"/>
              <w:rPr>
                <w:color w:val="FFFFFF" w:themeColor="background1"/>
              </w:rPr>
            </w:pPr>
            <w:r w:rsidRPr="00CC48B8">
              <w:rPr>
                <w:color w:val="FFFFFF" w:themeColor="background1"/>
              </w:rPr>
              <w:t>EHB (</w:t>
            </w:r>
            <w:proofErr w:type="spellStart"/>
            <w:r w:rsidRPr="00CC48B8">
              <w:rPr>
                <w:color w:val="FFFFFF" w:themeColor="background1"/>
              </w:rPr>
              <w:t>TWh</w:t>
            </w:r>
            <w:proofErr w:type="spellEnd"/>
            <w:r w:rsidRPr="00CC48B8">
              <w:rPr>
                <w:color w:val="FFFFFF" w:themeColor="background1"/>
              </w:rPr>
              <w:t>)</w:t>
            </w:r>
            <w:r w:rsidRPr="00AA4B56">
              <w:rPr>
                <w:color w:val="FFFFFF" w:themeColor="background1"/>
                <w:vertAlign w:val="superscript"/>
              </w:rPr>
              <w:fldChar w:fldCharType="begin"/>
            </w:r>
            <w:r w:rsidRPr="00AA4B56">
              <w:rPr>
                <w:color w:val="FFFFFF" w:themeColor="background1"/>
                <w:vertAlign w:val="superscript"/>
              </w:rPr>
              <w:instrText xml:space="preserve"> NOTEREF _Ref106980288 \h </w:instrText>
            </w:r>
            <w:r>
              <w:rPr>
                <w:color w:val="FFFFFF" w:themeColor="background1"/>
                <w:vertAlign w:val="superscript"/>
              </w:rPr>
              <w:instrText xml:space="preserve"> \* MERGEFORMAT </w:instrText>
            </w:r>
            <w:r w:rsidRPr="00AA4B56">
              <w:rPr>
                <w:color w:val="FFFFFF" w:themeColor="background1"/>
                <w:vertAlign w:val="superscript"/>
              </w:rPr>
            </w:r>
            <w:r w:rsidRPr="00AA4B56">
              <w:rPr>
                <w:color w:val="FFFFFF" w:themeColor="background1"/>
                <w:vertAlign w:val="superscript"/>
              </w:rPr>
              <w:fldChar w:fldCharType="separate"/>
            </w:r>
            <w:r w:rsidR="00265258">
              <w:rPr>
                <w:color w:val="FFFFFF" w:themeColor="background1"/>
                <w:vertAlign w:val="superscript"/>
              </w:rPr>
              <w:t>52</w:t>
            </w:r>
            <w:r w:rsidRPr="00AA4B56">
              <w:rPr>
                <w:color w:val="FFFFFF" w:themeColor="background1"/>
                <w:vertAlign w:val="superscript"/>
              </w:rPr>
              <w:fldChar w:fldCharType="end"/>
            </w:r>
          </w:p>
        </w:tc>
        <w:tc>
          <w:tcPr>
            <w:tcW w:w="1985" w:type="dxa"/>
            <w:shd w:val="clear" w:color="auto" w:fill="005962" w:themeFill="accent1"/>
            <w:hideMark/>
          </w:tcPr>
          <w:p w14:paraId="4B1A4D93" w14:textId="63A24384" w:rsidR="00D9359D" w:rsidRPr="00CC48B8" w:rsidRDefault="00D9359D" w:rsidP="001255EA">
            <w:pPr>
              <w:spacing w:before="60" w:after="60"/>
              <w:ind w:left="-141"/>
              <w:jc w:val="center"/>
              <w:rPr>
                <w:color w:val="FFFFFF" w:themeColor="background1"/>
              </w:rPr>
            </w:pPr>
            <w:r w:rsidRPr="00CC48B8">
              <w:rPr>
                <w:color w:val="FFFFFF" w:themeColor="background1"/>
              </w:rPr>
              <w:t>Assumed range of economically realis</w:t>
            </w:r>
            <w:r w:rsidR="00646928">
              <w:rPr>
                <w:color w:val="FFFFFF" w:themeColor="background1"/>
              </w:rPr>
              <w:t>able</w:t>
            </w:r>
            <w:r w:rsidRPr="00CC48B8">
              <w:rPr>
                <w:color w:val="FFFFFF" w:themeColor="background1"/>
              </w:rPr>
              <w:t xml:space="preserve"> potential (TWh)</w:t>
            </w:r>
          </w:p>
        </w:tc>
        <w:tc>
          <w:tcPr>
            <w:tcW w:w="2551" w:type="dxa"/>
            <w:shd w:val="clear" w:color="auto" w:fill="005962" w:themeFill="accent1"/>
            <w:hideMark/>
          </w:tcPr>
          <w:p w14:paraId="4B1ED1A0" w14:textId="6304FF4F" w:rsidR="00D9359D" w:rsidRPr="00CC48B8" w:rsidRDefault="00D9359D" w:rsidP="001255EA">
            <w:pPr>
              <w:spacing w:before="60" w:after="60"/>
              <w:ind w:left="-97"/>
              <w:jc w:val="center"/>
              <w:rPr>
                <w:color w:val="FFFFFF" w:themeColor="background1"/>
              </w:rPr>
            </w:pPr>
            <w:r w:rsidRPr="00CC48B8">
              <w:rPr>
                <w:color w:val="FFFFFF" w:themeColor="background1"/>
              </w:rPr>
              <w:t>Assumed value of economically realis</w:t>
            </w:r>
            <w:r w:rsidR="00646928">
              <w:rPr>
                <w:color w:val="FFFFFF" w:themeColor="background1"/>
              </w:rPr>
              <w:t>able</w:t>
            </w:r>
            <w:r w:rsidRPr="00CC48B8">
              <w:rPr>
                <w:color w:val="FFFFFF" w:themeColor="background1"/>
              </w:rPr>
              <w:t xml:space="preserve"> potential (TWh)</w:t>
            </w:r>
          </w:p>
        </w:tc>
      </w:tr>
      <w:tr w:rsidR="00D9359D" w:rsidRPr="000A579D" w14:paraId="6B083712" w14:textId="77777777" w:rsidTr="00630269">
        <w:trPr>
          <w:trHeight w:val="300"/>
        </w:trPr>
        <w:tc>
          <w:tcPr>
            <w:tcW w:w="1011" w:type="dxa"/>
            <w:noWrap/>
            <w:hideMark/>
          </w:tcPr>
          <w:p w14:paraId="18CE1C21" w14:textId="77777777" w:rsidR="00D9359D" w:rsidRPr="000A579D" w:rsidRDefault="00D9359D" w:rsidP="001255EA">
            <w:pPr>
              <w:ind w:left="0"/>
              <w:rPr>
                <w:b/>
                <w:bCs/>
              </w:rPr>
            </w:pPr>
            <w:r w:rsidRPr="000A579D">
              <w:rPr>
                <w:b/>
                <w:bCs/>
              </w:rPr>
              <w:t xml:space="preserve">Estonia </w:t>
            </w:r>
          </w:p>
        </w:tc>
        <w:tc>
          <w:tcPr>
            <w:tcW w:w="1683" w:type="dxa"/>
            <w:noWrap/>
            <w:hideMark/>
          </w:tcPr>
          <w:p w14:paraId="3619E7A5" w14:textId="77777777" w:rsidR="00D9359D" w:rsidRPr="000A579D" w:rsidRDefault="00D9359D" w:rsidP="001255EA">
            <w:pPr>
              <w:ind w:left="0"/>
              <w:jc w:val="center"/>
            </w:pPr>
            <w:r w:rsidRPr="000A579D">
              <w:t>81</w:t>
            </w:r>
          </w:p>
        </w:tc>
        <w:tc>
          <w:tcPr>
            <w:tcW w:w="1275" w:type="dxa"/>
            <w:noWrap/>
            <w:hideMark/>
          </w:tcPr>
          <w:p w14:paraId="1AD86DA0" w14:textId="77777777" w:rsidR="00D9359D" w:rsidRPr="000A579D" w:rsidRDefault="00D9359D" w:rsidP="001255EA">
            <w:pPr>
              <w:ind w:left="-134"/>
              <w:jc w:val="center"/>
            </w:pPr>
            <w:r w:rsidRPr="000A579D">
              <w:t>87</w:t>
            </w:r>
          </w:p>
        </w:tc>
        <w:tc>
          <w:tcPr>
            <w:tcW w:w="1985" w:type="dxa"/>
            <w:noWrap/>
            <w:hideMark/>
          </w:tcPr>
          <w:p w14:paraId="7BF24DF1" w14:textId="44D862B7" w:rsidR="00D9359D" w:rsidRPr="000A579D" w:rsidRDefault="00D75270" w:rsidP="00D75270">
            <w:pPr>
              <w:ind w:left="-141"/>
              <w:jc w:val="center"/>
            </w:pPr>
            <w:r>
              <w:t>26.4</w:t>
            </w:r>
            <w:r w:rsidR="004F6439" w:rsidRPr="004F6439">
              <w:rPr>
                <w:vertAlign w:val="superscript"/>
              </w:rPr>
              <w:fldChar w:fldCharType="begin"/>
            </w:r>
            <w:r w:rsidR="004F6439" w:rsidRPr="004F6439">
              <w:rPr>
                <w:vertAlign w:val="superscript"/>
              </w:rPr>
              <w:instrText xml:space="preserve"> NOTEREF _Ref113013706 \h </w:instrText>
            </w:r>
            <w:r w:rsidR="004F6439">
              <w:rPr>
                <w:vertAlign w:val="superscript"/>
              </w:rPr>
              <w:instrText xml:space="preserve"> \* MERGEFORMAT </w:instrText>
            </w:r>
            <w:r w:rsidR="004F6439" w:rsidRPr="004F6439">
              <w:rPr>
                <w:vertAlign w:val="superscript"/>
              </w:rPr>
            </w:r>
            <w:r w:rsidR="004F6439" w:rsidRPr="004F6439">
              <w:rPr>
                <w:vertAlign w:val="superscript"/>
              </w:rPr>
              <w:fldChar w:fldCharType="separate"/>
            </w:r>
            <w:r w:rsidR="00265258">
              <w:rPr>
                <w:vertAlign w:val="superscript"/>
              </w:rPr>
              <w:t>53</w:t>
            </w:r>
            <w:r w:rsidR="004F6439" w:rsidRPr="004F6439">
              <w:rPr>
                <w:vertAlign w:val="superscript"/>
              </w:rPr>
              <w:fldChar w:fldCharType="end"/>
            </w:r>
          </w:p>
        </w:tc>
        <w:tc>
          <w:tcPr>
            <w:tcW w:w="2551" w:type="dxa"/>
            <w:shd w:val="clear" w:color="auto" w:fill="ECEBE1" w:themeFill="background2"/>
            <w:noWrap/>
            <w:hideMark/>
          </w:tcPr>
          <w:p w14:paraId="19A506F2" w14:textId="1CD04131" w:rsidR="00D9359D" w:rsidRPr="000A579D" w:rsidRDefault="00D75270" w:rsidP="00D75270">
            <w:pPr>
              <w:ind w:left="-97"/>
              <w:jc w:val="center"/>
            </w:pPr>
            <w:r>
              <w:t>26.4</w:t>
            </w:r>
          </w:p>
        </w:tc>
      </w:tr>
      <w:tr w:rsidR="00D9359D" w:rsidRPr="000A579D" w14:paraId="5F56C233" w14:textId="77777777" w:rsidTr="00630269">
        <w:trPr>
          <w:trHeight w:val="300"/>
        </w:trPr>
        <w:tc>
          <w:tcPr>
            <w:tcW w:w="1011" w:type="dxa"/>
            <w:noWrap/>
            <w:hideMark/>
          </w:tcPr>
          <w:p w14:paraId="3535A07B" w14:textId="77777777" w:rsidR="00D9359D" w:rsidRPr="000A579D" w:rsidRDefault="00D9359D" w:rsidP="001255EA">
            <w:pPr>
              <w:ind w:left="0"/>
              <w:rPr>
                <w:b/>
                <w:bCs/>
              </w:rPr>
            </w:pPr>
            <w:r w:rsidRPr="000A579D">
              <w:rPr>
                <w:b/>
                <w:bCs/>
              </w:rPr>
              <w:t>Latvia</w:t>
            </w:r>
          </w:p>
        </w:tc>
        <w:tc>
          <w:tcPr>
            <w:tcW w:w="1683" w:type="dxa"/>
            <w:noWrap/>
            <w:hideMark/>
          </w:tcPr>
          <w:p w14:paraId="655A5ABC" w14:textId="77777777" w:rsidR="00D9359D" w:rsidRPr="000A579D" w:rsidRDefault="00D9359D" w:rsidP="001255EA">
            <w:pPr>
              <w:ind w:left="0"/>
              <w:jc w:val="center"/>
            </w:pPr>
            <w:r w:rsidRPr="000A579D">
              <w:t>216</w:t>
            </w:r>
          </w:p>
        </w:tc>
        <w:tc>
          <w:tcPr>
            <w:tcW w:w="1275" w:type="dxa"/>
            <w:noWrap/>
            <w:hideMark/>
          </w:tcPr>
          <w:p w14:paraId="5657C625" w14:textId="77777777" w:rsidR="00D9359D" w:rsidRPr="000A579D" w:rsidRDefault="00D9359D" w:rsidP="001255EA">
            <w:pPr>
              <w:ind w:left="-134"/>
              <w:jc w:val="center"/>
            </w:pPr>
            <w:r w:rsidRPr="000A579D">
              <w:t>141</w:t>
            </w:r>
          </w:p>
        </w:tc>
        <w:tc>
          <w:tcPr>
            <w:tcW w:w="1985" w:type="dxa"/>
            <w:noWrap/>
            <w:hideMark/>
          </w:tcPr>
          <w:p w14:paraId="00597035" w14:textId="77777777" w:rsidR="00D9359D" w:rsidRPr="000A579D" w:rsidRDefault="00D9359D" w:rsidP="001255EA">
            <w:pPr>
              <w:ind w:left="-141"/>
              <w:jc w:val="center"/>
            </w:pPr>
            <w:r w:rsidRPr="000A579D">
              <w:t>70.5 - 108</w:t>
            </w:r>
          </w:p>
        </w:tc>
        <w:tc>
          <w:tcPr>
            <w:tcW w:w="2551" w:type="dxa"/>
            <w:shd w:val="clear" w:color="auto" w:fill="ECEBE1" w:themeFill="background2"/>
            <w:noWrap/>
            <w:hideMark/>
          </w:tcPr>
          <w:p w14:paraId="023250EA" w14:textId="77777777" w:rsidR="00D9359D" w:rsidRPr="000A579D" w:rsidRDefault="00D9359D" w:rsidP="001255EA">
            <w:pPr>
              <w:ind w:left="-97"/>
              <w:jc w:val="center"/>
            </w:pPr>
            <w:r w:rsidRPr="000A579D">
              <w:t>89.25</w:t>
            </w:r>
          </w:p>
        </w:tc>
      </w:tr>
      <w:tr w:rsidR="00D9359D" w:rsidRPr="000A579D" w14:paraId="7ADE314B" w14:textId="77777777" w:rsidTr="00630269">
        <w:trPr>
          <w:trHeight w:val="300"/>
        </w:trPr>
        <w:tc>
          <w:tcPr>
            <w:tcW w:w="1011" w:type="dxa"/>
            <w:noWrap/>
            <w:hideMark/>
          </w:tcPr>
          <w:p w14:paraId="1E6518A7" w14:textId="77777777" w:rsidR="00D9359D" w:rsidRPr="000A579D" w:rsidRDefault="00D9359D" w:rsidP="001255EA">
            <w:pPr>
              <w:ind w:left="0"/>
              <w:rPr>
                <w:b/>
                <w:bCs/>
              </w:rPr>
            </w:pPr>
            <w:r w:rsidRPr="000A579D">
              <w:rPr>
                <w:b/>
                <w:bCs/>
              </w:rPr>
              <w:t>Lithuania</w:t>
            </w:r>
          </w:p>
        </w:tc>
        <w:tc>
          <w:tcPr>
            <w:tcW w:w="1683" w:type="dxa"/>
            <w:noWrap/>
            <w:hideMark/>
          </w:tcPr>
          <w:p w14:paraId="276F7511" w14:textId="77777777" w:rsidR="00D9359D" w:rsidRPr="000A579D" w:rsidRDefault="00D9359D" w:rsidP="001255EA">
            <w:pPr>
              <w:ind w:left="0"/>
              <w:jc w:val="center"/>
            </w:pPr>
            <w:r w:rsidRPr="000A579D">
              <w:t>270</w:t>
            </w:r>
          </w:p>
        </w:tc>
        <w:tc>
          <w:tcPr>
            <w:tcW w:w="1275" w:type="dxa"/>
            <w:noWrap/>
            <w:hideMark/>
          </w:tcPr>
          <w:p w14:paraId="79EAE211" w14:textId="77777777" w:rsidR="00D9359D" w:rsidRPr="000A579D" w:rsidRDefault="00D9359D" w:rsidP="001255EA">
            <w:pPr>
              <w:ind w:left="-134"/>
              <w:jc w:val="center"/>
            </w:pPr>
            <w:r w:rsidRPr="000A579D">
              <w:t>217</w:t>
            </w:r>
          </w:p>
        </w:tc>
        <w:tc>
          <w:tcPr>
            <w:tcW w:w="1985" w:type="dxa"/>
            <w:noWrap/>
            <w:hideMark/>
          </w:tcPr>
          <w:p w14:paraId="42EF9EA9" w14:textId="77777777" w:rsidR="00D9359D" w:rsidRPr="000A579D" w:rsidRDefault="00D9359D" w:rsidP="001255EA">
            <w:pPr>
              <w:ind w:left="-141"/>
              <w:jc w:val="center"/>
            </w:pPr>
            <w:r w:rsidRPr="000A579D">
              <w:t>135 - 108.5</w:t>
            </w:r>
          </w:p>
        </w:tc>
        <w:tc>
          <w:tcPr>
            <w:tcW w:w="2551" w:type="dxa"/>
            <w:shd w:val="clear" w:color="auto" w:fill="ECEBE1" w:themeFill="background2"/>
            <w:noWrap/>
            <w:hideMark/>
          </w:tcPr>
          <w:p w14:paraId="7DA6963A" w14:textId="77777777" w:rsidR="00D9359D" w:rsidRPr="000A579D" w:rsidRDefault="00D9359D" w:rsidP="001255EA">
            <w:pPr>
              <w:ind w:left="-97"/>
              <w:jc w:val="center"/>
            </w:pPr>
            <w:r w:rsidRPr="000A579D">
              <w:t>121.75</w:t>
            </w:r>
          </w:p>
        </w:tc>
      </w:tr>
      <w:tr w:rsidR="00D9359D" w:rsidRPr="000A579D" w14:paraId="1BEA2770" w14:textId="77777777" w:rsidTr="00630269">
        <w:trPr>
          <w:trHeight w:val="300"/>
        </w:trPr>
        <w:tc>
          <w:tcPr>
            <w:tcW w:w="1011" w:type="dxa"/>
            <w:noWrap/>
            <w:hideMark/>
          </w:tcPr>
          <w:p w14:paraId="3915FEC3" w14:textId="77777777" w:rsidR="00D9359D" w:rsidRPr="000A579D" w:rsidRDefault="00D9359D" w:rsidP="001255EA">
            <w:pPr>
              <w:ind w:left="0"/>
              <w:rPr>
                <w:b/>
                <w:bCs/>
              </w:rPr>
            </w:pPr>
            <w:r w:rsidRPr="000A579D">
              <w:rPr>
                <w:b/>
                <w:bCs/>
              </w:rPr>
              <w:t>Finland</w:t>
            </w:r>
          </w:p>
        </w:tc>
        <w:tc>
          <w:tcPr>
            <w:tcW w:w="1683" w:type="dxa"/>
            <w:noWrap/>
            <w:hideMark/>
          </w:tcPr>
          <w:p w14:paraId="1BDB43B4" w14:textId="77777777" w:rsidR="00D9359D" w:rsidRPr="000A579D" w:rsidRDefault="00D9359D" w:rsidP="001255EA">
            <w:pPr>
              <w:ind w:left="0"/>
              <w:jc w:val="center"/>
            </w:pPr>
            <w:r w:rsidRPr="000A579D">
              <w:t>243</w:t>
            </w:r>
          </w:p>
        </w:tc>
        <w:tc>
          <w:tcPr>
            <w:tcW w:w="1275" w:type="dxa"/>
            <w:noWrap/>
            <w:hideMark/>
          </w:tcPr>
          <w:p w14:paraId="45C10118" w14:textId="77777777" w:rsidR="00D9359D" w:rsidRPr="000A579D" w:rsidRDefault="00D9359D" w:rsidP="001255EA">
            <w:pPr>
              <w:ind w:left="-134"/>
              <w:jc w:val="center"/>
            </w:pPr>
            <w:r w:rsidRPr="000A579D">
              <w:t>281</w:t>
            </w:r>
          </w:p>
        </w:tc>
        <w:tc>
          <w:tcPr>
            <w:tcW w:w="1985" w:type="dxa"/>
            <w:noWrap/>
            <w:hideMark/>
          </w:tcPr>
          <w:p w14:paraId="1853D21C" w14:textId="77777777" w:rsidR="00D9359D" w:rsidRPr="000A579D" w:rsidRDefault="00D9359D" w:rsidP="001255EA">
            <w:pPr>
              <w:ind w:left="-141"/>
              <w:jc w:val="center"/>
            </w:pPr>
            <w:r w:rsidRPr="000A579D">
              <w:t>170.1 – 196.7</w:t>
            </w:r>
          </w:p>
        </w:tc>
        <w:tc>
          <w:tcPr>
            <w:tcW w:w="2551" w:type="dxa"/>
            <w:shd w:val="clear" w:color="auto" w:fill="ECEBE1" w:themeFill="background2"/>
            <w:noWrap/>
            <w:hideMark/>
          </w:tcPr>
          <w:p w14:paraId="62B02E39" w14:textId="77777777" w:rsidR="00D9359D" w:rsidRPr="000A579D" w:rsidRDefault="00D9359D" w:rsidP="001255EA">
            <w:pPr>
              <w:ind w:left="-97"/>
              <w:jc w:val="center"/>
            </w:pPr>
            <w:r w:rsidRPr="000A579D">
              <w:t>183.4</w:t>
            </w:r>
          </w:p>
        </w:tc>
      </w:tr>
    </w:tbl>
    <w:p w14:paraId="37FFE5FE" w14:textId="50F4DBF7" w:rsidR="00D9359D" w:rsidRPr="000A579D" w:rsidRDefault="008666F3" w:rsidP="00D85484">
      <w:pPr>
        <w:spacing w:before="240" w:line="360" w:lineRule="auto"/>
        <w:jc w:val="both"/>
      </w:pPr>
      <w:r>
        <w:t>As a simplified approach, i</w:t>
      </w:r>
      <w:r w:rsidR="00D9359D" w:rsidRPr="000A579D">
        <w:t xml:space="preserve">t is </w:t>
      </w:r>
      <w:r w:rsidR="00646928">
        <w:t>assumed</w:t>
      </w:r>
      <w:r w:rsidR="00D9359D" w:rsidRPr="000A579D">
        <w:t xml:space="preserve"> that the remaining renewable energy potential after satisfying the country's final electricity demand w</w:t>
      </w:r>
      <w:r w:rsidR="00646928">
        <w:t>ould</w:t>
      </w:r>
      <w:r w:rsidR="00D9359D" w:rsidRPr="000A579D">
        <w:t xml:space="preserve"> be available for green hydrogen production. The following figures present the final electricity demand, </w:t>
      </w:r>
      <w:r w:rsidR="00C8300C">
        <w:t xml:space="preserve">the </w:t>
      </w:r>
      <w:r w:rsidR="00D9359D" w:rsidRPr="000A579D">
        <w:t xml:space="preserve">economically realisable renewable electricity potential, and </w:t>
      </w:r>
      <w:r w:rsidR="00C8300C">
        <w:t xml:space="preserve">the resulting </w:t>
      </w:r>
      <w:r w:rsidR="00D9359D" w:rsidRPr="000A579D">
        <w:t xml:space="preserve">green hydrogen production potential. </w:t>
      </w:r>
    </w:p>
    <w:p w14:paraId="6F270335" w14:textId="774EBDD4" w:rsidR="00D9359D" w:rsidRPr="00D661BC" w:rsidRDefault="004F3F0A" w:rsidP="004F3F0A">
      <w:pPr>
        <w:pStyle w:val="Bijschrift"/>
        <w:spacing w:before="120" w:after="0"/>
        <w:jc w:val="center"/>
      </w:pPr>
      <w:r>
        <w:t xml:space="preserve">Figure </w:t>
      </w:r>
      <w:r w:rsidR="006D12F8">
        <w:fldChar w:fldCharType="begin"/>
      </w:r>
      <w:r w:rsidR="006D12F8">
        <w:instrText xml:space="preserve"> STYLEREF 1 \s </w:instrText>
      </w:r>
      <w:r w:rsidR="006D12F8">
        <w:fldChar w:fldCharType="separate"/>
      </w:r>
      <w:r w:rsidR="00265258">
        <w:rPr>
          <w:noProof/>
        </w:rPr>
        <w:t>5</w:t>
      </w:r>
      <w:r w:rsidR="006D12F8">
        <w:rPr>
          <w:noProof/>
        </w:rPr>
        <w:fldChar w:fldCharType="end"/>
      </w:r>
      <w:r>
        <w:noBreakHyphen/>
      </w:r>
      <w:r w:rsidR="006D12F8">
        <w:fldChar w:fldCharType="begin"/>
      </w:r>
      <w:r w:rsidR="006D12F8">
        <w:instrText xml:space="preserve"> SEQ Figure \* ARABIC \s 1 </w:instrText>
      </w:r>
      <w:r w:rsidR="006D12F8">
        <w:fldChar w:fldCharType="separate"/>
      </w:r>
      <w:r w:rsidR="00265258">
        <w:rPr>
          <w:noProof/>
        </w:rPr>
        <w:t>1</w:t>
      </w:r>
      <w:r w:rsidR="006D12F8">
        <w:rPr>
          <w:noProof/>
        </w:rPr>
        <w:fldChar w:fldCharType="end"/>
      </w:r>
      <w:r w:rsidR="00D9359D">
        <w:t xml:space="preserve"> </w:t>
      </w:r>
      <w:r w:rsidR="00D9359D" w:rsidRPr="000A579D">
        <w:t>Hydrogen production potential in Estonia</w:t>
      </w:r>
      <w:r w:rsidR="00AB10A6">
        <w:t xml:space="preserve"> [Source: </w:t>
      </w:r>
      <w:r w:rsidR="00AF294A">
        <w:t>Calculat</w:t>
      </w:r>
      <w:r w:rsidR="003D6E8A">
        <w:t xml:space="preserve">ions based on </w:t>
      </w:r>
      <w:r w:rsidR="00AB10A6">
        <w:t xml:space="preserve">DG </w:t>
      </w:r>
      <w:r w:rsidR="00DA775D">
        <w:t>R</w:t>
      </w:r>
      <w:r w:rsidR="00E850B8">
        <w:t>EFORM</w:t>
      </w:r>
      <w:r w:rsidR="00074A02" w:rsidRPr="00074A02">
        <w:rPr>
          <w:vertAlign w:val="superscript"/>
        </w:rPr>
        <w:fldChar w:fldCharType="begin"/>
      </w:r>
      <w:r w:rsidR="00074A02" w:rsidRPr="00074A02">
        <w:rPr>
          <w:vertAlign w:val="superscript"/>
        </w:rPr>
        <w:instrText xml:space="preserve"> NOTEREF _Ref113013706 \h </w:instrText>
      </w:r>
      <w:r w:rsidR="00074A02">
        <w:rPr>
          <w:vertAlign w:val="superscript"/>
        </w:rPr>
        <w:instrText xml:space="preserve"> \* MERGEFORMAT </w:instrText>
      </w:r>
      <w:r w:rsidR="00074A02" w:rsidRPr="00074A02">
        <w:rPr>
          <w:vertAlign w:val="superscript"/>
        </w:rPr>
      </w:r>
      <w:r w:rsidR="00074A02" w:rsidRPr="00074A02">
        <w:rPr>
          <w:vertAlign w:val="superscript"/>
        </w:rPr>
        <w:fldChar w:fldCharType="separate"/>
      </w:r>
      <w:r w:rsidR="00265258">
        <w:rPr>
          <w:vertAlign w:val="superscript"/>
        </w:rPr>
        <w:t>53</w:t>
      </w:r>
      <w:r w:rsidR="00074A02" w:rsidRPr="00074A02">
        <w:rPr>
          <w:vertAlign w:val="superscript"/>
        </w:rPr>
        <w:fldChar w:fldCharType="end"/>
      </w:r>
      <w:r w:rsidR="00074A02">
        <w:t>]</w:t>
      </w:r>
    </w:p>
    <w:p w14:paraId="46B30DED" w14:textId="77777777" w:rsidR="00D9359D" w:rsidRDefault="00D9359D" w:rsidP="00D9359D">
      <w:pPr>
        <w:ind w:left="0"/>
        <w:jc w:val="center"/>
      </w:pPr>
      <w:r w:rsidRPr="000A579D">
        <w:rPr>
          <w:noProof/>
        </w:rPr>
        <w:drawing>
          <wp:inline distT="0" distB="0" distL="0" distR="0" wp14:anchorId="45344964" wp14:editId="6BB5B639">
            <wp:extent cx="4410075" cy="2295525"/>
            <wp:effectExtent l="0" t="0" r="0" b="0"/>
            <wp:docPr id="12" name="Chart 12">
              <a:extLst xmlns:a="http://schemas.openxmlformats.org/drawingml/2006/main">
                <a:ext uri="{FF2B5EF4-FFF2-40B4-BE49-F238E27FC236}">
                  <a16:creationId xmlns:a16="http://schemas.microsoft.com/office/drawing/2014/main" id="{0C7882D4-0652-4EB6-8564-A25279BE6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2A18BC" w14:textId="65ACF5C1" w:rsidR="00D9359D" w:rsidRDefault="004F3F0A" w:rsidP="00C60D57">
      <w:pPr>
        <w:pStyle w:val="Bijschrift"/>
        <w:spacing w:after="0"/>
        <w:jc w:val="center"/>
      </w:pPr>
      <w:r>
        <w:t xml:space="preserve">Figure </w:t>
      </w:r>
      <w:r w:rsidR="006D12F8">
        <w:fldChar w:fldCharType="begin"/>
      </w:r>
      <w:r w:rsidR="006D12F8">
        <w:instrText xml:space="preserve"> STYLEREF 1 \s </w:instrText>
      </w:r>
      <w:r w:rsidR="006D12F8">
        <w:fldChar w:fldCharType="separate"/>
      </w:r>
      <w:r w:rsidR="00265258">
        <w:rPr>
          <w:noProof/>
        </w:rPr>
        <w:t>5</w:t>
      </w:r>
      <w:r w:rsidR="006D12F8">
        <w:rPr>
          <w:noProof/>
        </w:rPr>
        <w:fldChar w:fldCharType="end"/>
      </w:r>
      <w:r>
        <w:noBreakHyphen/>
      </w:r>
      <w:r w:rsidR="006D12F8">
        <w:fldChar w:fldCharType="begin"/>
      </w:r>
      <w:r w:rsidR="006D12F8">
        <w:instrText xml:space="preserve"> SEQ Figure \* ARABIC \s 1 </w:instrText>
      </w:r>
      <w:r w:rsidR="006D12F8">
        <w:fldChar w:fldCharType="separate"/>
      </w:r>
      <w:r w:rsidR="00265258">
        <w:rPr>
          <w:noProof/>
        </w:rPr>
        <w:t>2</w:t>
      </w:r>
      <w:r w:rsidR="006D12F8">
        <w:rPr>
          <w:noProof/>
        </w:rPr>
        <w:fldChar w:fldCharType="end"/>
      </w:r>
      <w:r w:rsidR="00D9359D">
        <w:t xml:space="preserve"> </w:t>
      </w:r>
      <w:r w:rsidR="00D9359D" w:rsidRPr="000A579D">
        <w:t xml:space="preserve">Hydrogen production potential in </w:t>
      </w:r>
      <w:r w:rsidR="00D9359D">
        <w:t>Latvia</w:t>
      </w:r>
      <w:r w:rsidR="00D661BC">
        <w:t xml:space="preserve"> [Source:</w:t>
      </w:r>
      <w:r w:rsidR="00AE11A0">
        <w:t xml:space="preserve"> </w:t>
      </w:r>
      <w:r w:rsidR="00D661BC">
        <w:t>DG Energy 2020</w:t>
      </w:r>
      <w:r w:rsidR="00D661BC" w:rsidRPr="005219F9">
        <w:rPr>
          <w:vertAlign w:val="superscript"/>
        </w:rPr>
        <w:fldChar w:fldCharType="begin"/>
      </w:r>
      <w:r w:rsidR="00D661BC" w:rsidRPr="005219F9">
        <w:rPr>
          <w:vertAlign w:val="superscript"/>
        </w:rPr>
        <w:instrText xml:space="preserve"> NOTEREF _Ref106978948 \h </w:instrText>
      </w:r>
      <w:r w:rsidR="00D661BC">
        <w:rPr>
          <w:vertAlign w:val="superscript"/>
        </w:rPr>
        <w:instrText xml:space="preserve"> \* MERGEFORMAT </w:instrText>
      </w:r>
      <w:r w:rsidR="00D661BC" w:rsidRPr="005219F9">
        <w:rPr>
          <w:vertAlign w:val="superscript"/>
        </w:rPr>
      </w:r>
      <w:r w:rsidR="00D661BC" w:rsidRPr="005219F9">
        <w:rPr>
          <w:vertAlign w:val="superscript"/>
        </w:rPr>
        <w:fldChar w:fldCharType="separate"/>
      </w:r>
      <w:r w:rsidR="00265258">
        <w:rPr>
          <w:vertAlign w:val="superscript"/>
        </w:rPr>
        <w:t>44</w:t>
      </w:r>
      <w:r w:rsidR="00D661BC" w:rsidRPr="005219F9">
        <w:rPr>
          <w:vertAlign w:val="superscript"/>
        </w:rPr>
        <w:fldChar w:fldCharType="end"/>
      </w:r>
      <w:r w:rsidR="00D661BC">
        <w:rPr>
          <w:vertAlign w:val="superscript"/>
        </w:rPr>
        <w:t>,</w:t>
      </w:r>
      <w:r w:rsidR="00D661BC">
        <w:t xml:space="preserve"> EHB 2021</w:t>
      </w:r>
      <w:r w:rsidR="00D661BC">
        <w:rPr>
          <w:vertAlign w:val="superscript"/>
        </w:rPr>
        <w:t xml:space="preserve"> </w:t>
      </w:r>
      <w:r w:rsidR="00D661BC">
        <w:rPr>
          <w:vertAlign w:val="superscript"/>
        </w:rPr>
        <w:fldChar w:fldCharType="begin"/>
      </w:r>
      <w:r w:rsidR="00D661BC">
        <w:rPr>
          <w:vertAlign w:val="superscript"/>
        </w:rPr>
        <w:instrText xml:space="preserve"> NOTEREF _Ref106980288 \h </w:instrText>
      </w:r>
      <w:r w:rsidR="00D661BC">
        <w:rPr>
          <w:vertAlign w:val="superscript"/>
        </w:rPr>
      </w:r>
      <w:r w:rsidR="00D661BC">
        <w:rPr>
          <w:vertAlign w:val="superscript"/>
        </w:rPr>
        <w:fldChar w:fldCharType="separate"/>
      </w:r>
      <w:r w:rsidR="00265258">
        <w:rPr>
          <w:vertAlign w:val="superscript"/>
        </w:rPr>
        <w:t>52</w:t>
      </w:r>
      <w:r w:rsidR="00D661BC">
        <w:rPr>
          <w:vertAlign w:val="superscript"/>
        </w:rPr>
        <w:fldChar w:fldCharType="end"/>
      </w:r>
      <w:r w:rsidR="00D661BC">
        <w:t>]</w:t>
      </w:r>
    </w:p>
    <w:p w14:paraId="1003C3C2" w14:textId="77777777" w:rsidR="00D9359D" w:rsidRDefault="00D9359D" w:rsidP="00D9359D">
      <w:pPr>
        <w:ind w:left="0"/>
        <w:jc w:val="center"/>
      </w:pPr>
      <w:r w:rsidRPr="000A579D">
        <w:rPr>
          <w:noProof/>
        </w:rPr>
        <w:lastRenderedPageBreak/>
        <w:drawing>
          <wp:inline distT="0" distB="0" distL="0" distR="0" wp14:anchorId="7C033C82" wp14:editId="7AB40F63">
            <wp:extent cx="4572000" cy="2382981"/>
            <wp:effectExtent l="0" t="0" r="0" b="0"/>
            <wp:docPr id="55" name="Chart 55">
              <a:extLst xmlns:a="http://schemas.openxmlformats.org/drawingml/2006/main">
                <a:ext uri="{FF2B5EF4-FFF2-40B4-BE49-F238E27FC236}">
                  <a16:creationId xmlns:a16="http://schemas.microsoft.com/office/drawing/2014/main" id="{2791F759-57B4-B8D9-DDD5-207F37D74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79ACAF" w14:textId="4A8BD5A1" w:rsidR="00D9359D" w:rsidRDefault="004F3F0A" w:rsidP="004F3F0A">
      <w:pPr>
        <w:pStyle w:val="Bijschrift"/>
        <w:spacing w:before="120" w:after="0"/>
        <w:jc w:val="center"/>
      </w:pPr>
      <w:r>
        <w:t xml:space="preserve">Figure </w:t>
      </w:r>
      <w:r w:rsidR="006D12F8">
        <w:fldChar w:fldCharType="begin"/>
      </w:r>
      <w:r w:rsidR="006D12F8">
        <w:instrText xml:space="preserve"> STYLEREF 1 \s </w:instrText>
      </w:r>
      <w:r w:rsidR="006D12F8">
        <w:fldChar w:fldCharType="separate"/>
      </w:r>
      <w:r w:rsidR="00265258">
        <w:rPr>
          <w:noProof/>
        </w:rPr>
        <w:t>5</w:t>
      </w:r>
      <w:r w:rsidR="006D12F8">
        <w:rPr>
          <w:noProof/>
        </w:rPr>
        <w:fldChar w:fldCharType="end"/>
      </w:r>
      <w:r>
        <w:noBreakHyphen/>
      </w:r>
      <w:r w:rsidR="006D12F8">
        <w:fldChar w:fldCharType="begin"/>
      </w:r>
      <w:r w:rsidR="006D12F8">
        <w:instrText xml:space="preserve"> SEQ Figure \* ARABIC \s 1 </w:instrText>
      </w:r>
      <w:r w:rsidR="006D12F8">
        <w:fldChar w:fldCharType="separate"/>
      </w:r>
      <w:r w:rsidR="00265258">
        <w:rPr>
          <w:noProof/>
        </w:rPr>
        <w:t>3</w:t>
      </w:r>
      <w:r w:rsidR="006D12F8">
        <w:rPr>
          <w:noProof/>
        </w:rPr>
        <w:fldChar w:fldCharType="end"/>
      </w:r>
      <w:r w:rsidR="00D9359D">
        <w:t xml:space="preserve"> </w:t>
      </w:r>
      <w:r w:rsidR="00D9359D" w:rsidRPr="000A579D">
        <w:t xml:space="preserve">Hydrogen production potential in </w:t>
      </w:r>
      <w:r w:rsidR="00D9359D">
        <w:t>Lithuania</w:t>
      </w:r>
      <w:r w:rsidR="00D661BC">
        <w:t xml:space="preserve"> [Source: DG Energy 2020</w:t>
      </w:r>
      <w:r w:rsidR="00D661BC" w:rsidRPr="005219F9">
        <w:rPr>
          <w:vertAlign w:val="superscript"/>
        </w:rPr>
        <w:fldChar w:fldCharType="begin"/>
      </w:r>
      <w:r w:rsidR="00D661BC" w:rsidRPr="005219F9">
        <w:rPr>
          <w:vertAlign w:val="superscript"/>
        </w:rPr>
        <w:instrText xml:space="preserve"> NOTEREF _Ref106978948 \h </w:instrText>
      </w:r>
      <w:r w:rsidR="00D661BC">
        <w:rPr>
          <w:vertAlign w:val="superscript"/>
        </w:rPr>
        <w:instrText xml:space="preserve"> \* MERGEFORMAT </w:instrText>
      </w:r>
      <w:r w:rsidR="00D661BC" w:rsidRPr="005219F9">
        <w:rPr>
          <w:vertAlign w:val="superscript"/>
        </w:rPr>
      </w:r>
      <w:r w:rsidR="00D661BC" w:rsidRPr="005219F9">
        <w:rPr>
          <w:vertAlign w:val="superscript"/>
        </w:rPr>
        <w:fldChar w:fldCharType="separate"/>
      </w:r>
      <w:r w:rsidR="00265258">
        <w:rPr>
          <w:vertAlign w:val="superscript"/>
        </w:rPr>
        <w:t>44</w:t>
      </w:r>
      <w:r w:rsidR="00D661BC" w:rsidRPr="005219F9">
        <w:rPr>
          <w:vertAlign w:val="superscript"/>
        </w:rPr>
        <w:fldChar w:fldCharType="end"/>
      </w:r>
      <w:r w:rsidR="00D661BC">
        <w:rPr>
          <w:vertAlign w:val="superscript"/>
        </w:rPr>
        <w:t>,</w:t>
      </w:r>
      <w:r w:rsidR="00D661BC">
        <w:t xml:space="preserve"> EHB 2021</w:t>
      </w:r>
      <w:r w:rsidR="00D661BC">
        <w:rPr>
          <w:vertAlign w:val="superscript"/>
        </w:rPr>
        <w:t xml:space="preserve"> </w:t>
      </w:r>
      <w:r w:rsidR="00D661BC">
        <w:rPr>
          <w:vertAlign w:val="superscript"/>
        </w:rPr>
        <w:fldChar w:fldCharType="begin"/>
      </w:r>
      <w:r w:rsidR="00D661BC">
        <w:rPr>
          <w:vertAlign w:val="superscript"/>
        </w:rPr>
        <w:instrText xml:space="preserve"> NOTEREF _Ref106980288 \h </w:instrText>
      </w:r>
      <w:r w:rsidR="00D661BC">
        <w:rPr>
          <w:vertAlign w:val="superscript"/>
        </w:rPr>
      </w:r>
      <w:r w:rsidR="00D661BC">
        <w:rPr>
          <w:vertAlign w:val="superscript"/>
        </w:rPr>
        <w:fldChar w:fldCharType="separate"/>
      </w:r>
      <w:r w:rsidR="00265258">
        <w:rPr>
          <w:vertAlign w:val="superscript"/>
        </w:rPr>
        <w:t>52</w:t>
      </w:r>
      <w:r w:rsidR="00D661BC">
        <w:rPr>
          <w:vertAlign w:val="superscript"/>
        </w:rPr>
        <w:fldChar w:fldCharType="end"/>
      </w:r>
      <w:r w:rsidR="00D661BC">
        <w:t>]</w:t>
      </w:r>
    </w:p>
    <w:p w14:paraId="05E2B328" w14:textId="77777777" w:rsidR="00D9359D" w:rsidRDefault="00D9359D" w:rsidP="00D9359D">
      <w:pPr>
        <w:ind w:left="0"/>
        <w:jc w:val="center"/>
      </w:pPr>
      <w:r w:rsidRPr="000A579D">
        <w:rPr>
          <w:noProof/>
        </w:rPr>
        <w:drawing>
          <wp:inline distT="0" distB="0" distL="0" distR="0" wp14:anchorId="4AFCF280" wp14:editId="68BF3DDA">
            <wp:extent cx="4572000" cy="2466975"/>
            <wp:effectExtent l="0" t="0" r="0" b="0"/>
            <wp:docPr id="56" name="Chart 56">
              <a:extLst xmlns:a="http://schemas.openxmlformats.org/drawingml/2006/main">
                <a:ext uri="{FF2B5EF4-FFF2-40B4-BE49-F238E27FC236}">
                  <a16:creationId xmlns:a16="http://schemas.microsoft.com/office/drawing/2014/main" id="{290D47D3-A268-0768-4BD1-8D643ABFF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FFC97D" w14:textId="002869B9" w:rsidR="00D9359D" w:rsidRPr="0099579E" w:rsidRDefault="004F3F0A" w:rsidP="004F3F0A">
      <w:pPr>
        <w:pStyle w:val="Bijschrift"/>
        <w:spacing w:before="120" w:after="0"/>
        <w:jc w:val="center"/>
      </w:pPr>
      <w:r>
        <w:t xml:space="preserve">Figure </w:t>
      </w:r>
      <w:r w:rsidR="006D12F8">
        <w:fldChar w:fldCharType="begin"/>
      </w:r>
      <w:r w:rsidR="006D12F8">
        <w:instrText xml:space="preserve"> STYLEREF 1 \s </w:instrText>
      </w:r>
      <w:r w:rsidR="006D12F8">
        <w:fldChar w:fldCharType="separate"/>
      </w:r>
      <w:r w:rsidR="00265258">
        <w:rPr>
          <w:noProof/>
        </w:rPr>
        <w:t>5</w:t>
      </w:r>
      <w:r w:rsidR="006D12F8">
        <w:rPr>
          <w:noProof/>
        </w:rPr>
        <w:fldChar w:fldCharType="end"/>
      </w:r>
      <w:r>
        <w:noBreakHyphen/>
      </w:r>
      <w:r w:rsidR="006D12F8">
        <w:fldChar w:fldCharType="begin"/>
      </w:r>
      <w:r w:rsidR="006D12F8">
        <w:instrText xml:space="preserve"> SEQ Figure \* ARABIC \s 1 </w:instrText>
      </w:r>
      <w:r w:rsidR="006D12F8">
        <w:fldChar w:fldCharType="separate"/>
      </w:r>
      <w:r w:rsidR="00265258">
        <w:rPr>
          <w:noProof/>
        </w:rPr>
        <w:t>4</w:t>
      </w:r>
      <w:r w:rsidR="006D12F8">
        <w:rPr>
          <w:noProof/>
        </w:rPr>
        <w:fldChar w:fldCharType="end"/>
      </w:r>
      <w:r w:rsidR="00D9359D">
        <w:t xml:space="preserve"> </w:t>
      </w:r>
      <w:r w:rsidR="00D9359D" w:rsidRPr="000A579D">
        <w:t xml:space="preserve">Hydrogen production potential in </w:t>
      </w:r>
      <w:r w:rsidR="00D9359D">
        <w:t>Finland</w:t>
      </w:r>
      <w:r w:rsidR="0099579E">
        <w:rPr>
          <w:vertAlign w:val="superscript"/>
        </w:rPr>
        <w:t xml:space="preserve"> </w:t>
      </w:r>
      <w:r w:rsidR="0099579E">
        <w:t>[Source: DG Energy 2020</w:t>
      </w:r>
      <w:r w:rsidR="0099579E" w:rsidRPr="005219F9">
        <w:rPr>
          <w:vertAlign w:val="superscript"/>
        </w:rPr>
        <w:fldChar w:fldCharType="begin"/>
      </w:r>
      <w:r w:rsidR="0099579E" w:rsidRPr="005219F9">
        <w:rPr>
          <w:vertAlign w:val="superscript"/>
        </w:rPr>
        <w:instrText xml:space="preserve"> NOTEREF _Ref106978948 \h </w:instrText>
      </w:r>
      <w:r w:rsidR="0099579E">
        <w:rPr>
          <w:vertAlign w:val="superscript"/>
        </w:rPr>
        <w:instrText xml:space="preserve"> \* MERGEFORMAT </w:instrText>
      </w:r>
      <w:r w:rsidR="0099579E" w:rsidRPr="005219F9">
        <w:rPr>
          <w:vertAlign w:val="superscript"/>
        </w:rPr>
      </w:r>
      <w:r w:rsidR="0099579E" w:rsidRPr="005219F9">
        <w:rPr>
          <w:vertAlign w:val="superscript"/>
        </w:rPr>
        <w:fldChar w:fldCharType="separate"/>
      </w:r>
      <w:r w:rsidR="00265258">
        <w:rPr>
          <w:vertAlign w:val="superscript"/>
        </w:rPr>
        <w:t>44</w:t>
      </w:r>
      <w:r w:rsidR="0099579E" w:rsidRPr="005219F9">
        <w:rPr>
          <w:vertAlign w:val="superscript"/>
        </w:rPr>
        <w:fldChar w:fldCharType="end"/>
      </w:r>
      <w:r w:rsidR="0099579E">
        <w:rPr>
          <w:vertAlign w:val="superscript"/>
        </w:rPr>
        <w:t>,</w:t>
      </w:r>
      <w:r w:rsidR="0099579E">
        <w:t xml:space="preserve"> EHB 2021</w:t>
      </w:r>
      <w:r w:rsidR="0099579E">
        <w:rPr>
          <w:vertAlign w:val="superscript"/>
        </w:rPr>
        <w:t xml:space="preserve"> </w:t>
      </w:r>
      <w:r w:rsidR="0099579E">
        <w:rPr>
          <w:vertAlign w:val="superscript"/>
        </w:rPr>
        <w:fldChar w:fldCharType="begin"/>
      </w:r>
      <w:r w:rsidR="0099579E">
        <w:rPr>
          <w:vertAlign w:val="superscript"/>
        </w:rPr>
        <w:instrText xml:space="preserve"> NOTEREF _Ref106980288 \h </w:instrText>
      </w:r>
      <w:r w:rsidR="0099579E">
        <w:rPr>
          <w:vertAlign w:val="superscript"/>
        </w:rPr>
      </w:r>
      <w:r w:rsidR="0099579E">
        <w:rPr>
          <w:vertAlign w:val="superscript"/>
        </w:rPr>
        <w:fldChar w:fldCharType="separate"/>
      </w:r>
      <w:r w:rsidR="00265258">
        <w:rPr>
          <w:vertAlign w:val="superscript"/>
        </w:rPr>
        <w:t>52</w:t>
      </w:r>
      <w:r w:rsidR="0099579E">
        <w:rPr>
          <w:vertAlign w:val="superscript"/>
        </w:rPr>
        <w:fldChar w:fldCharType="end"/>
      </w:r>
      <w:r w:rsidR="0099579E">
        <w:t>]</w:t>
      </w:r>
    </w:p>
    <w:p w14:paraId="0B9E0EE1" w14:textId="6F4366BD" w:rsidR="000029E8" w:rsidRPr="00DE2F26" w:rsidRDefault="00D9359D" w:rsidP="00EA3996">
      <w:pPr>
        <w:ind w:left="0"/>
        <w:jc w:val="center"/>
      </w:pPr>
      <w:r w:rsidRPr="000A579D">
        <w:rPr>
          <w:noProof/>
        </w:rPr>
        <w:drawing>
          <wp:inline distT="0" distB="0" distL="0" distR="0" wp14:anchorId="6336B087" wp14:editId="6B980D4E">
            <wp:extent cx="4505325" cy="2390775"/>
            <wp:effectExtent l="0" t="0" r="0" b="0"/>
            <wp:docPr id="57" name="Chart 57">
              <a:extLst xmlns:a="http://schemas.openxmlformats.org/drawingml/2006/main">
                <a:ext uri="{FF2B5EF4-FFF2-40B4-BE49-F238E27FC236}">
                  <a16:creationId xmlns:a16="http://schemas.microsoft.com/office/drawing/2014/main" id="{9E20D84B-465A-6FA7-3B30-420BEE62C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5A627D" w14:textId="77777777" w:rsidR="000C0DC0" w:rsidRDefault="000C0DC0" w:rsidP="00CB2572">
      <w:pPr>
        <w:ind w:left="0"/>
        <w:jc w:val="center"/>
      </w:pPr>
    </w:p>
    <w:p w14:paraId="33B63955" w14:textId="77777777" w:rsidR="000C0DC0" w:rsidRDefault="000C0DC0" w:rsidP="00CB2572">
      <w:pPr>
        <w:ind w:left="0"/>
        <w:jc w:val="center"/>
      </w:pPr>
    </w:p>
    <w:p w14:paraId="66925E06" w14:textId="77777777" w:rsidR="000C0DC0" w:rsidRDefault="000C0DC0" w:rsidP="00CB2572">
      <w:pPr>
        <w:ind w:left="0"/>
        <w:jc w:val="center"/>
      </w:pPr>
    </w:p>
    <w:p w14:paraId="294FEABC" w14:textId="77777777" w:rsidR="000C0DC0" w:rsidRPr="00DE2F26" w:rsidRDefault="000C0DC0" w:rsidP="00CB2572">
      <w:pPr>
        <w:ind w:left="0"/>
        <w:jc w:val="center"/>
      </w:pPr>
    </w:p>
    <w:p w14:paraId="43114BDE" w14:textId="31E51B7C" w:rsidR="00CD7EF9" w:rsidRPr="0022145C" w:rsidRDefault="00481EBF" w:rsidP="0022145C">
      <w:pPr>
        <w:pStyle w:val="Kop1"/>
        <w:tabs>
          <w:tab w:val="clear" w:pos="851"/>
          <w:tab w:val="left" w:pos="993"/>
        </w:tabs>
        <w:jc w:val="both"/>
        <w:rPr>
          <w:sz w:val="36"/>
          <w:szCs w:val="16"/>
          <w:bdr w:val="none" w:sz="0" w:space="0" w:color="auto" w:frame="1"/>
          <w:shd w:val="clear" w:color="auto" w:fill="FFFFFF"/>
          <w:lang w:val="en-CA"/>
        </w:rPr>
      </w:pPr>
      <w:bookmarkStart w:id="98" w:name="_Toc114565058"/>
      <w:bookmarkStart w:id="99" w:name="_Toc104738351"/>
      <w:r>
        <w:rPr>
          <w:sz w:val="36"/>
          <w:szCs w:val="16"/>
          <w:bdr w:val="none" w:sz="0" w:space="0" w:color="auto" w:frame="1"/>
          <w:shd w:val="clear" w:color="auto" w:fill="FFFFFF"/>
          <w:lang w:val="en-CA"/>
        </w:rPr>
        <w:lastRenderedPageBreak/>
        <w:t xml:space="preserve">Renewable gas </w:t>
      </w:r>
      <w:r w:rsidR="006A6C66" w:rsidRPr="0022145C">
        <w:rPr>
          <w:sz w:val="36"/>
          <w:szCs w:val="16"/>
          <w:bdr w:val="none" w:sz="0" w:space="0" w:color="auto" w:frame="1"/>
          <w:shd w:val="clear" w:color="auto" w:fill="FFFFFF"/>
          <w:lang w:val="en-CA"/>
        </w:rPr>
        <w:t>decarbonisation technologies</w:t>
      </w:r>
      <w:r>
        <w:rPr>
          <w:sz w:val="36"/>
          <w:szCs w:val="16"/>
          <w:bdr w:val="none" w:sz="0" w:space="0" w:color="auto" w:frame="1"/>
          <w:shd w:val="clear" w:color="auto" w:fill="FFFFFF"/>
          <w:lang w:val="en-CA"/>
        </w:rPr>
        <w:t>: An overview of the gas value chain</w:t>
      </w:r>
      <w:bookmarkEnd w:id="98"/>
      <w:r w:rsidR="006A6C66" w:rsidRPr="0022145C">
        <w:rPr>
          <w:sz w:val="36"/>
          <w:szCs w:val="16"/>
          <w:bdr w:val="none" w:sz="0" w:space="0" w:color="auto" w:frame="1"/>
          <w:shd w:val="clear" w:color="auto" w:fill="FFFFFF"/>
          <w:lang w:val="en-CA"/>
        </w:rPr>
        <w:t xml:space="preserve"> </w:t>
      </w:r>
      <w:bookmarkEnd w:id="99"/>
    </w:p>
    <w:p w14:paraId="0456ED0C" w14:textId="641702D7" w:rsidR="005B0C69" w:rsidRDefault="00C84D54" w:rsidP="00D71C9A">
      <w:pPr>
        <w:spacing w:after="240"/>
        <w:jc w:val="both"/>
      </w:pPr>
      <w:r>
        <w:t xml:space="preserve">This section focuses </w:t>
      </w:r>
      <w:r w:rsidR="003E5228">
        <w:t xml:space="preserve">on the </w:t>
      </w:r>
      <w:r w:rsidR="0073449F">
        <w:t xml:space="preserve">technical aspects of the </w:t>
      </w:r>
      <w:r w:rsidR="00D04BE0">
        <w:t xml:space="preserve">value chain of </w:t>
      </w:r>
      <w:r w:rsidR="0073449F">
        <w:t xml:space="preserve">renewable gases. </w:t>
      </w:r>
      <w:r w:rsidR="00C8300C">
        <w:t>The d</w:t>
      </w:r>
      <w:r w:rsidR="002A5BB2">
        <w:t xml:space="preserve">omestic renewable gas production, gas storage options, </w:t>
      </w:r>
      <w:r w:rsidR="0083021E">
        <w:t xml:space="preserve">adaptability of the gas supply infrastructure </w:t>
      </w:r>
      <w:r w:rsidR="004636FD">
        <w:t>and the</w:t>
      </w:r>
      <w:r w:rsidR="0083021E">
        <w:t xml:space="preserve"> end-use equipment</w:t>
      </w:r>
      <w:r w:rsidR="008B532E">
        <w:t xml:space="preserve"> </w:t>
      </w:r>
      <w:r w:rsidR="00394801">
        <w:t>to natural gas/hydrogen</w:t>
      </w:r>
      <w:r w:rsidR="008B532E">
        <w:t xml:space="preserve"> </w:t>
      </w:r>
      <w:r w:rsidR="00394801">
        <w:t xml:space="preserve">or dedicated hydrogen use are </w:t>
      </w:r>
      <w:r w:rsidR="00532250">
        <w:t>discussed in the different se</w:t>
      </w:r>
      <w:r w:rsidR="00394801">
        <w:t>ctions</w:t>
      </w:r>
      <w:r w:rsidR="00532250">
        <w:t xml:space="preserve"> of this </w:t>
      </w:r>
      <w:r w:rsidR="00394801">
        <w:t>chapter</w:t>
      </w:r>
      <w:r w:rsidR="00532250">
        <w:t>.</w:t>
      </w:r>
      <w:r w:rsidR="0075500D">
        <w:t xml:space="preserve"> An overview of the renewable gas value chain is </w:t>
      </w:r>
      <w:r w:rsidR="00CA7576">
        <w:t>presented in the</w:t>
      </w:r>
      <w:r w:rsidR="004636FD">
        <w:t xml:space="preserve"> </w:t>
      </w:r>
      <w:r w:rsidR="004636FD">
        <w:fldChar w:fldCharType="begin"/>
      </w:r>
      <w:r w:rsidR="004636FD">
        <w:instrText xml:space="preserve"> REF _Ref113625875 \h </w:instrText>
      </w:r>
      <w:r w:rsidR="004636FD">
        <w:fldChar w:fldCharType="separate"/>
      </w:r>
      <w:r w:rsidR="00265258">
        <w:t xml:space="preserve">Figure </w:t>
      </w:r>
      <w:r w:rsidR="00265258">
        <w:rPr>
          <w:noProof/>
        </w:rPr>
        <w:t>6</w:t>
      </w:r>
      <w:r w:rsidR="00265258">
        <w:noBreakHyphen/>
      </w:r>
      <w:r w:rsidR="00265258">
        <w:rPr>
          <w:noProof/>
        </w:rPr>
        <w:t>1</w:t>
      </w:r>
      <w:r w:rsidR="004636FD">
        <w:fldChar w:fldCharType="end"/>
      </w:r>
      <w:r w:rsidR="00CA7576">
        <w:t xml:space="preserve">. </w:t>
      </w:r>
    </w:p>
    <w:p w14:paraId="5EE3A0B3" w14:textId="408C5B9B" w:rsidR="00777253" w:rsidRDefault="00777253" w:rsidP="00777253">
      <w:pPr>
        <w:pStyle w:val="Bijschrift"/>
      </w:pPr>
      <w:bookmarkStart w:id="100" w:name="_Ref113625875"/>
      <w:r>
        <w:t xml:space="preserve">Figure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1</w:t>
      </w:r>
      <w:r w:rsidR="006D12F8">
        <w:rPr>
          <w:noProof/>
        </w:rPr>
        <w:fldChar w:fldCharType="end"/>
      </w:r>
      <w:bookmarkEnd w:id="100"/>
      <w:r>
        <w:t>. Overview of the value chain of the renewable gas value chain</w:t>
      </w:r>
    </w:p>
    <w:p w14:paraId="01109E10" w14:textId="1AB59843" w:rsidR="005B0C69" w:rsidRDefault="007679D6" w:rsidP="00EB0551">
      <w:pPr>
        <w:spacing w:line="240" w:lineRule="auto"/>
        <w:jc w:val="both"/>
      </w:pPr>
      <w:r>
        <w:rPr>
          <w:noProof/>
        </w:rPr>
        <w:drawing>
          <wp:inline distT="0" distB="0" distL="0" distR="0" wp14:anchorId="439EF704" wp14:editId="1E5D9581">
            <wp:extent cx="5388820" cy="3305175"/>
            <wp:effectExtent l="0" t="0" r="2540" b="0"/>
            <wp:docPr id="97"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10;&#10;Description automatically generated"/>
                    <pic:cNvPicPr/>
                  </pic:nvPicPr>
                  <pic:blipFill>
                    <a:blip r:embed="rId46"/>
                    <a:stretch>
                      <a:fillRect/>
                    </a:stretch>
                  </pic:blipFill>
                  <pic:spPr>
                    <a:xfrm>
                      <a:off x="0" y="0"/>
                      <a:ext cx="5388820" cy="3305175"/>
                    </a:xfrm>
                    <a:prstGeom prst="rect">
                      <a:avLst/>
                    </a:prstGeom>
                  </pic:spPr>
                </pic:pic>
              </a:graphicData>
            </a:graphic>
          </wp:inline>
        </w:drawing>
      </w:r>
    </w:p>
    <w:p w14:paraId="6527B85B" w14:textId="2A53859F" w:rsidR="00A4030E" w:rsidRPr="00EB0551" w:rsidRDefault="00A4030E" w:rsidP="00EB0551">
      <w:pPr>
        <w:spacing w:after="120" w:line="240" w:lineRule="auto"/>
        <w:jc w:val="both"/>
        <w:rPr>
          <w:sz w:val="16"/>
          <w:szCs w:val="16"/>
        </w:rPr>
      </w:pPr>
      <w:r w:rsidRPr="00EB0551">
        <w:rPr>
          <w:sz w:val="16"/>
          <w:szCs w:val="16"/>
        </w:rPr>
        <w:t xml:space="preserve">Source: Author’s own </w:t>
      </w:r>
      <w:r w:rsidR="00EB0551" w:rsidRPr="00EB0551">
        <w:rPr>
          <w:sz w:val="16"/>
          <w:szCs w:val="16"/>
        </w:rPr>
        <w:t>representation of the processes</w:t>
      </w:r>
    </w:p>
    <w:p w14:paraId="12E68C66" w14:textId="289EAC54" w:rsidR="007F183B" w:rsidRPr="00474B71" w:rsidRDefault="007F183B" w:rsidP="00474B71">
      <w:pPr>
        <w:pStyle w:val="Kop2"/>
        <w:ind w:left="1134" w:hanging="567"/>
        <w:rPr>
          <w:color w:val="005962" w:themeColor="accent1"/>
        </w:rPr>
      </w:pPr>
      <w:bookmarkStart w:id="101" w:name="_Toc104738352"/>
      <w:bookmarkStart w:id="102" w:name="_Toc114565059"/>
      <w:r w:rsidRPr="00474B71">
        <w:rPr>
          <w:color w:val="005962" w:themeColor="accent1"/>
        </w:rPr>
        <w:t>Renewable</w:t>
      </w:r>
      <w:r w:rsidR="00F56B44">
        <w:rPr>
          <w:color w:val="005962" w:themeColor="accent1"/>
        </w:rPr>
        <w:t xml:space="preserve"> </w:t>
      </w:r>
      <w:r w:rsidRPr="00474B71">
        <w:rPr>
          <w:color w:val="005962" w:themeColor="accent1"/>
        </w:rPr>
        <w:t>gas production technologies</w:t>
      </w:r>
      <w:bookmarkEnd w:id="101"/>
      <w:bookmarkEnd w:id="102"/>
    </w:p>
    <w:p w14:paraId="30BDFD0A" w14:textId="0E59E8B2" w:rsidR="000C45F0" w:rsidRPr="000C45F0" w:rsidRDefault="00C45214" w:rsidP="00D71C9A">
      <w:pPr>
        <w:spacing w:after="240"/>
        <w:jc w:val="both"/>
      </w:pPr>
      <w:r>
        <w:fldChar w:fldCharType="begin"/>
      </w:r>
      <w:r>
        <w:instrText xml:space="preserve"> REF _Ref108119018 \h </w:instrText>
      </w:r>
      <w:r>
        <w:fldChar w:fldCharType="separate"/>
      </w:r>
      <w:r w:rsidR="00265258">
        <w:t xml:space="preserve">Figure </w:t>
      </w:r>
      <w:r w:rsidR="00265258">
        <w:rPr>
          <w:noProof/>
        </w:rPr>
        <w:t>6</w:t>
      </w:r>
      <w:r w:rsidR="00265258">
        <w:noBreakHyphen/>
      </w:r>
      <w:r w:rsidR="00265258">
        <w:rPr>
          <w:noProof/>
        </w:rPr>
        <w:t>2</w:t>
      </w:r>
      <w:r>
        <w:fldChar w:fldCharType="end"/>
      </w:r>
      <w:r>
        <w:t xml:space="preserve"> presents </w:t>
      </w:r>
      <w:r w:rsidR="006A6132">
        <w:t>a side</w:t>
      </w:r>
      <w:r w:rsidR="00D71C9A">
        <w:t>-</w:t>
      </w:r>
      <w:r w:rsidR="006A6132">
        <w:t>by</w:t>
      </w:r>
      <w:r w:rsidR="00D71C9A">
        <w:t>-</w:t>
      </w:r>
      <w:r w:rsidR="006A6132">
        <w:t xml:space="preserve">side comparison of </w:t>
      </w:r>
      <w:r w:rsidR="0096113B">
        <w:t>hydrogen production, biomethane production, and synthetic natural gas (SNG) production proces</w:t>
      </w:r>
      <w:r w:rsidR="002258E1">
        <w:t xml:space="preserve">ses. </w:t>
      </w:r>
      <w:r w:rsidR="007245E3">
        <w:t xml:space="preserve">The energy value </w:t>
      </w:r>
      <w:r w:rsidR="009548CC">
        <w:t xml:space="preserve">of the produced hydrogen and SNG </w:t>
      </w:r>
      <w:r w:rsidR="00CB2FB5">
        <w:t xml:space="preserve">is compared </w:t>
      </w:r>
      <w:r w:rsidR="00465C19">
        <w:t>against</w:t>
      </w:r>
      <w:r w:rsidR="00CB2FB5">
        <w:t xml:space="preserve"> the </w:t>
      </w:r>
      <w:r w:rsidR="009B46E8">
        <w:t xml:space="preserve">input electricity. </w:t>
      </w:r>
      <w:r w:rsidR="00465C19">
        <w:t>Bio</w:t>
      </w:r>
      <w:r w:rsidR="009E6B22">
        <w:t xml:space="preserve">methane production </w:t>
      </w:r>
      <w:r w:rsidR="00C9619A">
        <w:t xml:space="preserve">is also explained </w:t>
      </w:r>
      <w:r w:rsidR="00832F33">
        <w:t xml:space="preserve">in </w:t>
      </w:r>
      <w:r w:rsidR="00832F33">
        <w:fldChar w:fldCharType="begin"/>
      </w:r>
      <w:r w:rsidR="00832F33">
        <w:instrText xml:space="preserve"> REF _Ref108119018 \h </w:instrText>
      </w:r>
      <w:r w:rsidR="00832F33">
        <w:fldChar w:fldCharType="separate"/>
      </w:r>
      <w:r w:rsidR="00265258">
        <w:t xml:space="preserve">Figure </w:t>
      </w:r>
      <w:r w:rsidR="00265258">
        <w:rPr>
          <w:noProof/>
        </w:rPr>
        <w:t>6</w:t>
      </w:r>
      <w:r w:rsidR="00265258">
        <w:noBreakHyphen/>
      </w:r>
      <w:r w:rsidR="00265258">
        <w:rPr>
          <w:noProof/>
        </w:rPr>
        <w:t>2</w:t>
      </w:r>
      <w:r w:rsidR="00832F33">
        <w:fldChar w:fldCharType="end"/>
      </w:r>
      <w:r w:rsidR="00344E15">
        <w:t xml:space="preserve">, </w:t>
      </w:r>
      <w:r w:rsidR="00C9619A">
        <w:t xml:space="preserve">starting </w:t>
      </w:r>
      <w:r w:rsidR="00394801">
        <w:t xml:space="preserve">from feedstock </w:t>
      </w:r>
      <w:r w:rsidR="005B5224">
        <w:t xml:space="preserve">(biomass) </w:t>
      </w:r>
      <w:r w:rsidR="00453466">
        <w:t>to biogas conversion and then to the biogas upgradation</w:t>
      </w:r>
      <w:r w:rsidR="00EF5C6B">
        <w:t xml:space="preserve">. </w:t>
      </w:r>
      <w:r w:rsidR="00C9619A">
        <w:t xml:space="preserve"> </w:t>
      </w:r>
      <w:r w:rsidR="009B46E8">
        <w:t xml:space="preserve"> </w:t>
      </w:r>
    </w:p>
    <w:p w14:paraId="675A0182" w14:textId="1BE5AF5F" w:rsidR="00836B66" w:rsidRDefault="00547212" w:rsidP="00836B66">
      <w:pPr>
        <w:pStyle w:val="Bijschrift"/>
        <w:spacing w:after="0"/>
      </w:pPr>
      <w:bookmarkStart w:id="103" w:name="_Ref108119018"/>
      <w:bookmarkStart w:id="104" w:name="_Ref113625831"/>
      <w:r>
        <w:t xml:space="preserve">Figure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Figure \* ARABIC \s 1 </w:instrText>
      </w:r>
      <w:r w:rsidR="006D12F8">
        <w:fldChar w:fldCharType="separate"/>
      </w:r>
      <w:r w:rsidR="00265258">
        <w:rPr>
          <w:noProof/>
        </w:rPr>
        <w:t>2</w:t>
      </w:r>
      <w:r w:rsidR="006D12F8">
        <w:rPr>
          <w:noProof/>
        </w:rPr>
        <w:fldChar w:fldCharType="end"/>
      </w:r>
      <w:bookmarkEnd w:id="103"/>
      <w:r>
        <w:t xml:space="preserve">. </w:t>
      </w:r>
      <w:r w:rsidR="00B93449">
        <w:t xml:space="preserve">A holistic comparison of the </w:t>
      </w:r>
      <w:r w:rsidR="00B330F6">
        <w:t>gas produc</w:t>
      </w:r>
      <w:r w:rsidR="009C65F5">
        <w:t>tion technologie</w:t>
      </w:r>
      <w:r w:rsidR="00555E2A">
        <w:t>s</w:t>
      </w:r>
      <w:bookmarkEnd w:id="104"/>
    </w:p>
    <w:p w14:paraId="1D3B00AA" w14:textId="77777777" w:rsidR="00836B66" w:rsidRDefault="00836B66" w:rsidP="00836B66">
      <w:pPr>
        <w:pStyle w:val="Bijschrift"/>
        <w:spacing w:after="0"/>
      </w:pPr>
    </w:p>
    <w:p w14:paraId="7EFDEF19" w14:textId="02F8C8C6" w:rsidR="006756ED" w:rsidRPr="000C45F0" w:rsidRDefault="00836B66" w:rsidP="00836B66">
      <w:pPr>
        <w:pStyle w:val="Bijschrift"/>
        <w:spacing w:after="0"/>
      </w:pPr>
      <w:r>
        <w:rPr>
          <w:noProof/>
        </w:rPr>
        <w:lastRenderedPageBreak/>
        <w:drawing>
          <wp:inline distT="0" distB="0" distL="0" distR="0" wp14:anchorId="70722F74" wp14:editId="7B219CCC">
            <wp:extent cx="5375225" cy="4962525"/>
            <wp:effectExtent l="0" t="0" r="0" b="0"/>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10;&#10;Description automatically generated"/>
                    <pic:cNvPicPr/>
                  </pic:nvPicPr>
                  <pic:blipFill>
                    <a:blip r:embed="rId47"/>
                    <a:stretch>
                      <a:fillRect/>
                    </a:stretch>
                  </pic:blipFill>
                  <pic:spPr>
                    <a:xfrm>
                      <a:off x="0" y="0"/>
                      <a:ext cx="5381483" cy="4968302"/>
                    </a:xfrm>
                    <a:prstGeom prst="rect">
                      <a:avLst/>
                    </a:prstGeom>
                  </pic:spPr>
                </pic:pic>
              </a:graphicData>
            </a:graphic>
          </wp:inline>
        </w:drawing>
      </w:r>
    </w:p>
    <w:p w14:paraId="2211D0BE" w14:textId="294987F0" w:rsidR="007A31E6" w:rsidRPr="00EB0551" w:rsidRDefault="00371E51" w:rsidP="00836B66">
      <w:pPr>
        <w:spacing w:line="240" w:lineRule="auto"/>
        <w:jc w:val="both"/>
        <w:rPr>
          <w:sz w:val="16"/>
          <w:szCs w:val="16"/>
        </w:rPr>
      </w:pPr>
      <w:r w:rsidRPr="00EB0551">
        <w:rPr>
          <w:sz w:val="16"/>
          <w:szCs w:val="16"/>
        </w:rPr>
        <w:t>Source: Own rep</w:t>
      </w:r>
      <w:r w:rsidR="00C27E0F" w:rsidRPr="00EB0551">
        <w:rPr>
          <w:sz w:val="16"/>
          <w:szCs w:val="16"/>
        </w:rPr>
        <w:t>resentation of the processes</w:t>
      </w:r>
      <w:r w:rsidR="00CA5081" w:rsidRPr="00EB0551">
        <w:rPr>
          <w:sz w:val="16"/>
          <w:szCs w:val="16"/>
        </w:rPr>
        <w:t xml:space="preserve">. Technical parameters </w:t>
      </w:r>
      <w:r w:rsidR="00AA0D9C" w:rsidRPr="00EB0551">
        <w:rPr>
          <w:sz w:val="16"/>
          <w:szCs w:val="16"/>
        </w:rPr>
        <w:t xml:space="preserve">are taken </w:t>
      </w:r>
      <w:r w:rsidR="00CA5081" w:rsidRPr="00EB0551">
        <w:rPr>
          <w:sz w:val="16"/>
          <w:szCs w:val="16"/>
        </w:rPr>
        <w:t>from</w:t>
      </w:r>
      <w:r w:rsidR="00B009D7" w:rsidRPr="00EB0551">
        <w:rPr>
          <w:sz w:val="16"/>
          <w:szCs w:val="16"/>
        </w:rPr>
        <w:t xml:space="preserve">: </w:t>
      </w:r>
      <w:r w:rsidR="00384399" w:rsidRPr="00EB0551">
        <w:rPr>
          <w:sz w:val="16"/>
          <w:szCs w:val="16"/>
        </w:rPr>
        <w:t>ENTEC 2022</w:t>
      </w:r>
      <w:r w:rsidR="00A21A4C" w:rsidRPr="00EB0551">
        <w:rPr>
          <w:sz w:val="16"/>
          <w:szCs w:val="16"/>
          <w:vertAlign w:val="superscript"/>
        </w:rPr>
        <w:fldChar w:fldCharType="begin"/>
      </w:r>
      <w:r w:rsidR="00A21A4C" w:rsidRPr="00EB0551">
        <w:rPr>
          <w:sz w:val="16"/>
          <w:szCs w:val="16"/>
          <w:vertAlign w:val="superscript"/>
        </w:rPr>
        <w:instrText xml:space="preserve"> NOTEREF _Ref103379231 \h  \* MERGEFORMAT </w:instrText>
      </w:r>
      <w:r w:rsidR="00A21A4C" w:rsidRPr="00EB0551">
        <w:rPr>
          <w:sz w:val="16"/>
          <w:szCs w:val="16"/>
          <w:vertAlign w:val="superscript"/>
        </w:rPr>
      </w:r>
      <w:r w:rsidR="00A21A4C" w:rsidRPr="00EB0551">
        <w:rPr>
          <w:sz w:val="16"/>
          <w:szCs w:val="16"/>
          <w:vertAlign w:val="superscript"/>
        </w:rPr>
        <w:fldChar w:fldCharType="separate"/>
      </w:r>
      <w:r w:rsidR="00265258">
        <w:rPr>
          <w:sz w:val="16"/>
          <w:szCs w:val="16"/>
          <w:vertAlign w:val="superscript"/>
        </w:rPr>
        <w:t>63</w:t>
      </w:r>
      <w:r w:rsidR="00A21A4C" w:rsidRPr="00EB0551">
        <w:rPr>
          <w:sz w:val="16"/>
          <w:szCs w:val="16"/>
          <w:vertAlign w:val="superscript"/>
        </w:rPr>
        <w:fldChar w:fldCharType="end"/>
      </w:r>
      <w:r w:rsidR="00EC4065" w:rsidRPr="00EB0551">
        <w:rPr>
          <w:sz w:val="16"/>
          <w:szCs w:val="16"/>
        </w:rPr>
        <w:t>,</w:t>
      </w:r>
      <w:r w:rsidR="00045053" w:rsidRPr="00EB0551">
        <w:rPr>
          <w:sz w:val="16"/>
          <w:szCs w:val="16"/>
        </w:rPr>
        <w:t xml:space="preserve"> IEA 2019</w:t>
      </w:r>
      <w:r w:rsidR="00045053" w:rsidRPr="00EB0551">
        <w:rPr>
          <w:sz w:val="16"/>
          <w:szCs w:val="16"/>
          <w:vertAlign w:val="superscript"/>
        </w:rPr>
        <w:fldChar w:fldCharType="begin"/>
      </w:r>
      <w:r w:rsidR="00045053" w:rsidRPr="00EB0551">
        <w:rPr>
          <w:sz w:val="16"/>
          <w:szCs w:val="16"/>
          <w:vertAlign w:val="superscript"/>
        </w:rPr>
        <w:instrText xml:space="preserve"> NOTEREF _Ref103380800 \h  \* MERGEFORMAT </w:instrText>
      </w:r>
      <w:r w:rsidR="00045053" w:rsidRPr="00EB0551">
        <w:rPr>
          <w:sz w:val="16"/>
          <w:szCs w:val="16"/>
          <w:vertAlign w:val="superscript"/>
        </w:rPr>
      </w:r>
      <w:r w:rsidR="00045053" w:rsidRPr="00EB0551">
        <w:rPr>
          <w:sz w:val="16"/>
          <w:szCs w:val="16"/>
          <w:vertAlign w:val="superscript"/>
        </w:rPr>
        <w:fldChar w:fldCharType="separate"/>
      </w:r>
      <w:r w:rsidR="00265258">
        <w:rPr>
          <w:sz w:val="16"/>
          <w:szCs w:val="16"/>
          <w:vertAlign w:val="superscript"/>
        </w:rPr>
        <w:t>57</w:t>
      </w:r>
      <w:r w:rsidR="00045053" w:rsidRPr="00EB0551">
        <w:rPr>
          <w:sz w:val="16"/>
          <w:szCs w:val="16"/>
          <w:vertAlign w:val="superscript"/>
        </w:rPr>
        <w:fldChar w:fldCharType="end"/>
      </w:r>
      <w:r w:rsidR="00A7265D" w:rsidRPr="00EB0551">
        <w:rPr>
          <w:sz w:val="16"/>
          <w:szCs w:val="16"/>
        </w:rPr>
        <w:t xml:space="preserve">, </w:t>
      </w:r>
      <w:r w:rsidR="00283C75" w:rsidRPr="00EB0551">
        <w:rPr>
          <w:sz w:val="16"/>
          <w:szCs w:val="16"/>
        </w:rPr>
        <w:t>SGC</w:t>
      </w:r>
      <w:r w:rsidR="00D448CD" w:rsidRPr="00EB0551">
        <w:rPr>
          <w:sz w:val="16"/>
          <w:szCs w:val="16"/>
        </w:rPr>
        <w:t xml:space="preserve"> 2012 </w:t>
      </w:r>
      <w:r w:rsidR="00D448CD" w:rsidRPr="00EB0551">
        <w:rPr>
          <w:rStyle w:val="Voetnootmarkering"/>
          <w:sz w:val="16"/>
          <w:szCs w:val="16"/>
        </w:rPr>
        <w:footnoteReference w:id="55"/>
      </w:r>
    </w:p>
    <w:p w14:paraId="53419B89" w14:textId="42CE6835" w:rsidR="007A3985" w:rsidRDefault="00DD00FA" w:rsidP="0076118B">
      <w:pPr>
        <w:spacing w:before="120" w:after="120"/>
        <w:jc w:val="both"/>
      </w:pPr>
      <w:r>
        <w:t xml:space="preserve">The </w:t>
      </w:r>
      <w:r w:rsidR="00675F08">
        <w:t xml:space="preserve">comparison of the </w:t>
      </w:r>
      <w:r w:rsidR="00052D62">
        <w:t>marke</w:t>
      </w:r>
      <w:r w:rsidR="0046574B">
        <w:t xml:space="preserve">t </w:t>
      </w:r>
      <w:r w:rsidR="005B5224">
        <w:t xml:space="preserve">and cost </w:t>
      </w:r>
      <w:r w:rsidR="0046574B">
        <w:t xml:space="preserve">maturity levels for </w:t>
      </w:r>
      <w:r w:rsidR="005B5224">
        <w:t xml:space="preserve">the </w:t>
      </w:r>
      <w:r w:rsidR="0046574B">
        <w:t xml:space="preserve">different </w:t>
      </w:r>
      <w:r w:rsidR="005B5224">
        <w:t xml:space="preserve">gas production </w:t>
      </w:r>
      <w:r w:rsidR="0046574B">
        <w:t>technolo</w:t>
      </w:r>
      <w:r w:rsidR="003A0950">
        <w:t xml:space="preserve">gies </w:t>
      </w:r>
      <w:r w:rsidR="005B5224">
        <w:t>is</w:t>
      </w:r>
      <w:r w:rsidR="003A0950">
        <w:t xml:space="preserve"> discussed in the </w:t>
      </w:r>
      <w:r w:rsidR="00E14307">
        <w:fldChar w:fldCharType="begin"/>
      </w:r>
      <w:r w:rsidR="00E14307">
        <w:instrText xml:space="preserve"> REF _Ref108179929 \h </w:instrText>
      </w:r>
      <w:r w:rsidR="00E14307">
        <w:fldChar w:fldCharType="separate"/>
      </w:r>
      <w:r w:rsidR="00265258">
        <w:t xml:space="preserve">Table </w:t>
      </w:r>
      <w:r w:rsidR="00265258">
        <w:rPr>
          <w:noProof/>
        </w:rPr>
        <w:t>6</w:t>
      </w:r>
      <w:r w:rsidR="00265258">
        <w:noBreakHyphen/>
      </w:r>
      <w:r w:rsidR="00265258">
        <w:rPr>
          <w:noProof/>
        </w:rPr>
        <w:t>1</w:t>
      </w:r>
      <w:r w:rsidR="00E14307">
        <w:fldChar w:fldCharType="end"/>
      </w:r>
      <w:r w:rsidR="0085213B">
        <w:t>.</w:t>
      </w:r>
    </w:p>
    <w:p w14:paraId="2DB464DC" w14:textId="00B21542" w:rsidR="00966826" w:rsidRDefault="00E139F0" w:rsidP="00E139F0">
      <w:pPr>
        <w:pStyle w:val="Bijschrift"/>
      </w:pPr>
      <w:bookmarkStart w:id="105" w:name="_Ref108179929"/>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w:t>
      </w:r>
      <w:r w:rsidR="006D12F8">
        <w:rPr>
          <w:noProof/>
        </w:rPr>
        <w:fldChar w:fldCharType="end"/>
      </w:r>
      <w:bookmarkEnd w:id="105"/>
      <w:r>
        <w:t>.</w:t>
      </w:r>
      <w:r w:rsidR="00966826">
        <w:t xml:space="preserve"> </w:t>
      </w:r>
      <w:r w:rsidR="00412EBC">
        <w:t>M</w:t>
      </w:r>
      <w:r w:rsidR="004B3683">
        <w:t xml:space="preserve">aturity overview of the gas renewable </w:t>
      </w:r>
      <w:r w:rsidR="00CF26A4">
        <w:t>gas production technolog</w:t>
      </w:r>
      <w:r w:rsidR="00294CD9">
        <w:t>ies</w:t>
      </w:r>
    </w:p>
    <w:tbl>
      <w:tblPr>
        <w:tblStyle w:val="Table1"/>
        <w:tblW w:w="0" w:type="auto"/>
        <w:tblLook w:val="04A0" w:firstRow="1" w:lastRow="0" w:firstColumn="1" w:lastColumn="0" w:noHBand="0" w:noVBand="1"/>
      </w:tblPr>
      <w:tblGrid>
        <w:gridCol w:w="1269"/>
        <w:gridCol w:w="618"/>
        <w:gridCol w:w="2957"/>
        <w:gridCol w:w="3605"/>
      </w:tblGrid>
      <w:tr w:rsidR="004F6DFD" w:rsidRPr="00A22F4B" w14:paraId="108C0C4C" w14:textId="77777777" w:rsidTr="009857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1" w:type="dxa"/>
          </w:tcPr>
          <w:p w14:paraId="520D6440" w14:textId="3F7F37C1" w:rsidR="003D403C" w:rsidRPr="00A22F4B" w:rsidRDefault="003D403C" w:rsidP="00EA722F">
            <w:pPr>
              <w:ind w:left="0"/>
              <w:jc w:val="both"/>
              <w:rPr>
                <w:rFonts w:ascii="Trebuchet MS" w:hAnsi="Trebuchet MS"/>
              </w:rPr>
            </w:pPr>
            <w:r w:rsidRPr="00A22F4B">
              <w:rPr>
                <w:rFonts w:ascii="Trebuchet MS" w:hAnsi="Trebuchet MS"/>
              </w:rPr>
              <w:t>T</w:t>
            </w:r>
            <w:r w:rsidR="00BC42A6">
              <w:rPr>
                <w:rFonts w:ascii="Trebuchet MS" w:hAnsi="Trebuchet MS"/>
              </w:rPr>
              <w:t xml:space="preserve">echnology </w:t>
            </w:r>
          </w:p>
        </w:tc>
        <w:tc>
          <w:tcPr>
            <w:tcW w:w="567" w:type="dxa"/>
          </w:tcPr>
          <w:p w14:paraId="66CBD68C" w14:textId="591D9D1F" w:rsidR="003D403C" w:rsidRPr="00A22F4B" w:rsidRDefault="00C37FF4" w:rsidP="00EA722F">
            <w:pPr>
              <w:ind w:left="0"/>
              <w:jc w:val="both"/>
              <w:cnfStyle w:val="100000000000" w:firstRow="1"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TRL</w:t>
            </w:r>
            <w:r w:rsidR="00764D83">
              <w:rPr>
                <w:rStyle w:val="Voetnootmarkering"/>
                <w:rFonts w:ascii="Trebuchet MS" w:hAnsi="Trebuchet MS"/>
              </w:rPr>
              <w:footnoteReference w:id="56"/>
            </w:r>
          </w:p>
        </w:tc>
        <w:tc>
          <w:tcPr>
            <w:tcW w:w="2977" w:type="dxa"/>
          </w:tcPr>
          <w:p w14:paraId="34F296E5" w14:textId="118BE2A8" w:rsidR="003D403C" w:rsidRPr="00A22F4B" w:rsidRDefault="00972062" w:rsidP="00EA722F">
            <w:pPr>
              <w:ind w:left="0"/>
              <w:jc w:val="both"/>
              <w:cnfStyle w:val="100000000000" w:firstRow="1"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 xml:space="preserve"> </w:t>
            </w:r>
            <w:r w:rsidR="00412EBC">
              <w:rPr>
                <w:rFonts w:ascii="Trebuchet MS" w:hAnsi="Trebuchet MS"/>
              </w:rPr>
              <w:t xml:space="preserve">Market </w:t>
            </w:r>
            <w:r>
              <w:rPr>
                <w:rFonts w:ascii="Trebuchet MS" w:hAnsi="Trebuchet MS"/>
              </w:rPr>
              <w:t>maturity</w:t>
            </w:r>
          </w:p>
        </w:tc>
        <w:tc>
          <w:tcPr>
            <w:tcW w:w="3634" w:type="dxa"/>
          </w:tcPr>
          <w:p w14:paraId="5993A775" w14:textId="5D9A6A84" w:rsidR="003D403C" w:rsidRPr="00A22F4B" w:rsidRDefault="00972062" w:rsidP="00EA722F">
            <w:pPr>
              <w:ind w:left="0"/>
              <w:jc w:val="both"/>
              <w:cnfStyle w:val="100000000000" w:firstRow="1"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Cost Maturity</w:t>
            </w:r>
          </w:p>
        </w:tc>
      </w:tr>
      <w:tr w:rsidR="004F6DFD" w:rsidRPr="00A22F4B" w14:paraId="7D0946C8" w14:textId="77777777" w:rsidTr="00966826">
        <w:tc>
          <w:tcPr>
            <w:cnfStyle w:val="001000000000" w:firstRow="0" w:lastRow="0" w:firstColumn="1" w:lastColumn="0" w:oddVBand="0" w:evenVBand="0" w:oddHBand="0" w:evenHBand="0" w:firstRowFirstColumn="0" w:firstRowLastColumn="0" w:lastRowFirstColumn="0" w:lastRowLastColumn="0"/>
            <w:tcW w:w="1271" w:type="dxa"/>
          </w:tcPr>
          <w:p w14:paraId="67C07C73" w14:textId="34ABA0D1" w:rsidR="003D403C" w:rsidRPr="00A22F4B" w:rsidRDefault="004721BD" w:rsidP="00F35A04">
            <w:pPr>
              <w:spacing w:after="60"/>
              <w:ind w:left="0"/>
              <w:jc w:val="both"/>
            </w:pPr>
            <w:r>
              <w:t>Electrolyser</w:t>
            </w:r>
          </w:p>
        </w:tc>
        <w:tc>
          <w:tcPr>
            <w:tcW w:w="567" w:type="dxa"/>
          </w:tcPr>
          <w:p w14:paraId="5E73347F" w14:textId="75E87947" w:rsidR="003D403C" w:rsidRPr="00A22F4B" w:rsidRDefault="00136DF2" w:rsidP="00F35A04">
            <w:pPr>
              <w:spacing w:after="60"/>
              <w:ind w:left="0"/>
              <w:jc w:val="both"/>
              <w:cnfStyle w:val="000000000000" w:firstRow="0" w:lastRow="0" w:firstColumn="0" w:lastColumn="0" w:oddVBand="0" w:evenVBand="0" w:oddHBand="0" w:evenHBand="0" w:firstRowFirstColumn="0" w:firstRowLastColumn="0" w:lastRowFirstColumn="0" w:lastRowLastColumn="0"/>
            </w:pPr>
            <w:r>
              <w:t>9</w:t>
            </w:r>
            <w:r w:rsidR="00244CA8" w:rsidRPr="00244CA8">
              <w:rPr>
                <w:vertAlign w:val="superscript"/>
              </w:rPr>
              <w:fldChar w:fldCharType="begin"/>
            </w:r>
            <w:r w:rsidR="00244CA8" w:rsidRPr="00244CA8">
              <w:rPr>
                <w:vertAlign w:val="superscript"/>
              </w:rPr>
              <w:instrText xml:space="preserve"> NOTEREF _Ref103380800 \h </w:instrText>
            </w:r>
            <w:r w:rsidR="00244CA8">
              <w:rPr>
                <w:vertAlign w:val="superscript"/>
              </w:rPr>
              <w:instrText xml:space="preserve"> \* MERGEFORMAT </w:instrText>
            </w:r>
            <w:r w:rsidR="00244CA8" w:rsidRPr="00244CA8">
              <w:rPr>
                <w:vertAlign w:val="superscript"/>
              </w:rPr>
            </w:r>
            <w:r w:rsidR="00244CA8" w:rsidRPr="00244CA8">
              <w:rPr>
                <w:vertAlign w:val="superscript"/>
              </w:rPr>
              <w:fldChar w:fldCharType="separate"/>
            </w:r>
            <w:r w:rsidR="00265258">
              <w:rPr>
                <w:vertAlign w:val="superscript"/>
              </w:rPr>
              <w:t>57</w:t>
            </w:r>
            <w:r w:rsidR="00244CA8" w:rsidRPr="00244CA8">
              <w:rPr>
                <w:vertAlign w:val="superscript"/>
              </w:rPr>
              <w:fldChar w:fldCharType="end"/>
            </w:r>
          </w:p>
        </w:tc>
        <w:tc>
          <w:tcPr>
            <w:tcW w:w="2977" w:type="dxa"/>
          </w:tcPr>
          <w:p w14:paraId="04B1DB7C" w14:textId="6E1F9572" w:rsidR="003D403C" w:rsidRPr="00A22F4B" w:rsidRDefault="006751F7" w:rsidP="00F35A04">
            <w:pPr>
              <w:spacing w:after="60" w:line="240" w:lineRule="auto"/>
              <w:ind w:left="0"/>
              <w:jc w:val="both"/>
              <w:cnfStyle w:val="000000000000" w:firstRow="0" w:lastRow="0" w:firstColumn="0" w:lastColumn="0" w:oddVBand="0" w:evenVBand="0" w:oddHBand="0" w:evenHBand="0" w:firstRowFirstColumn="0" w:firstRowLastColumn="0" w:lastRowFirstColumn="0" w:lastRowLastColumn="0"/>
            </w:pPr>
            <w:r>
              <w:t>Two c</w:t>
            </w:r>
            <w:r w:rsidR="004F5EEF">
              <w:t xml:space="preserve">ommercial forms of electrolyser </w:t>
            </w:r>
            <w:r w:rsidR="00F45CB9">
              <w:t xml:space="preserve">are </w:t>
            </w:r>
            <w:r w:rsidR="003D2231">
              <w:t>Alkaline electrolyser and Polymer electrolytic membrane (PEM)</w:t>
            </w:r>
            <w:r w:rsidR="005433B9">
              <w:t xml:space="preserve">. They are </w:t>
            </w:r>
            <w:r w:rsidR="003103E0">
              <w:t xml:space="preserve">already being deployed for </w:t>
            </w:r>
            <w:r w:rsidR="005B5224">
              <w:t>(</w:t>
            </w:r>
            <w:r w:rsidR="003103E0">
              <w:t>renewable</w:t>
            </w:r>
            <w:r w:rsidR="005B5224">
              <w:t>)</w:t>
            </w:r>
            <w:r w:rsidR="003103E0">
              <w:t xml:space="preserve"> hydrogen production </w:t>
            </w:r>
            <w:r w:rsidR="000E1614">
              <w:t xml:space="preserve">worldwide. </w:t>
            </w:r>
          </w:p>
        </w:tc>
        <w:tc>
          <w:tcPr>
            <w:tcW w:w="3634" w:type="dxa"/>
          </w:tcPr>
          <w:p w14:paraId="4B72C421" w14:textId="020BD23A" w:rsidR="00966826" w:rsidRDefault="00F97482" w:rsidP="00F35A04">
            <w:pPr>
              <w:spacing w:after="60" w:line="240" w:lineRule="auto"/>
              <w:ind w:left="0"/>
              <w:jc w:val="both"/>
              <w:cnfStyle w:val="000000000000" w:firstRow="0" w:lastRow="0" w:firstColumn="0" w:lastColumn="0" w:oddVBand="0" w:evenVBand="0" w:oddHBand="0" w:evenHBand="0" w:firstRowFirstColumn="0" w:firstRowLastColumn="0" w:lastRowFirstColumn="0" w:lastRowLastColumn="0"/>
            </w:pPr>
            <w:r>
              <w:t xml:space="preserve">The cost of electrolyser </w:t>
            </w:r>
            <w:r w:rsidR="00E211A1">
              <w:t>is a</w:t>
            </w:r>
            <w:r w:rsidR="00DD6048">
              <w:t xml:space="preserve"> relevant</w:t>
            </w:r>
            <w:r w:rsidR="00E211A1">
              <w:t xml:space="preserve"> part of the </w:t>
            </w:r>
            <w:r w:rsidR="00FD034D">
              <w:t>renewable hydrogen production</w:t>
            </w:r>
            <w:r w:rsidR="00DD6048">
              <w:t xml:space="preserve"> cost</w:t>
            </w:r>
            <w:r w:rsidR="00FD034D">
              <w:t xml:space="preserve">. </w:t>
            </w:r>
            <w:r w:rsidR="00303192">
              <w:t xml:space="preserve">Electrolyser technology </w:t>
            </w:r>
            <w:r w:rsidR="009F1C22">
              <w:t xml:space="preserve">is </w:t>
            </w:r>
            <w:r w:rsidR="00784BBF">
              <w:t>subject t</w:t>
            </w:r>
            <w:r w:rsidR="001115CB">
              <w:t xml:space="preserve">o </w:t>
            </w:r>
            <w:r w:rsidR="00BF3EE6">
              <w:t xml:space="preserve">cost reduction with the </w:t>
            </w:r>
            <w:r w:rsidR="001B3787">
              <w:t xml:space="preserve">improved and new </w:t>
            </w:r>
            <w:r w:rsidR="00252612">
              <w:t>low-cost</w:t>
            </w:r>
            <w:r w:rsidR="001B3787">
              <w:t xml:space="preserve"> material use. </w:t>
            </w:r>
          </w:p>
          <w:p w14:paraId="363DD460" w14:textId="418A4109" w:rsidR="003D403C" w:rsidRPr="00A22F4B" w:rsidRDefault="00823120" w:rsidP="00F35A04">
            <w:pPr>
              <w:spacing w:after="60" w:line="240" w:lineRule="auto"/>
              <w:ind w:left="0"/>
              <w:jc w:val="both"/>
              <w:cnfStyle w:val="000000000000" w:firstRow="0" w:lastRow="0" w:firstColumn="0" w:lastColumn="0" w:oddVBand="0" w:evenVBand="0" w:oddHBand="0" w:evenHBand="0" w:firstRowFirstColumn="0" w:firstRowLastColumn="0" w:lastRowFirstColumn="0" w:lastRowLastColumn="0"/>
            </w:pPr>
            <w:r>
              <w:t xml:space="preserve">The presented investment cost trend by 2050 in </w:t>
            </w:r>
            <w:r>
              <w:fldChar w:fldCharType="begin"/>
            </w:r>
            <w:r>
              <w:instrText xml:space="preserve"> REF _Ref108179190 \h </w:instrText>
            </w:r>
            <w:r>
              <w:fldChar w:fldCharType="separate"/>
            </w:r>
            <w:r w:rsidR="00265258">
              <w:t xml:space="preserve">Table </w:t>
            </w:r>
            <w:r w:rsidR="00265258">
              <w:rPr>
                <w:noProof/>
              </w:rPr>
              <w:t>6</w:t>
            </w:r>
            <w:r w:rsidR="00265258">
              <w:noBreakHyphen/>
            </w:r>
            <w:r w:rsidR="00265258">
              <w:rPr>
                <w:noProof/>
              </w:rPr>
              <w:t>2</w:t>
            </w:r>
            <w:r>
              <w:fldChar w:fldCharType="end"/>
            </w:r>
            <w:r>
              <w:t xml:space="preserve"> is for the PEM electrolyser technology which is </w:t>
            </w:r>
            <w:r w:rsidR="00615EA0">
              <w:t>already at</w:t>
            </w:r>
            <w:r>
              <w:t xml:space="preserve"> market maturity</w:t>
            </w:r>
            <w:r w:rsidR="00615EA0">
              <w:t xml:space="preserve"> and the costs will </w:t>
            </w:r>
            <w:r w:rsidR="00123D79">
              <w:t xml:space="preserve">decrease with the new and cheap </w:t>
            </w:r>
            <w:r w:rsidR="00A944C8">
              <w:t>material use in electrolyser stack</w:t>
            </w:r>
            <w:r>
              <w:t>.</w:t>
            </w:r>
          </w:p>
        </w:tc>
      </w:tr>
      <w:tr w:rsidR="004F6DFD" w:rsidRPr="00A22F4B" w14:paraId="497CBE1F" w14:textId="77777777" w:rsidTr="00966826">
        <w:tc>
          <w:tcPr>
            <w:cnfStyle w:val="001000000000" w:firstRow="0" w:lastRow="0" w:firstColumn="1" w:lastColumn="0" w:oddVBand="0" w:evenVBand="0" w:oddHBand="0" w:evenHBand="0" w:firstRowFirstColumn="0" w:firstRowLastColumn="0" w:lastRowFirstColumn="0" w:lastRowLastColumn="0"/>
            <w:tcW w:w="1271" w:type="dxa"/>
          </w:tcPr>
          <w:p w14:paraId="67ED53AD" w14:textId="704DD3FF" w:rsidR="003D403C" w:rsidRPr="00A22F4B" w:rsidRDefault="00BA12EA" w:rsidP="00F35A04">
            <w:pPr>
              <w:spacing w:after="60"/>
              <w:ind w:left="0"/>
              <w:jc w:val="both"/>
            </w:pPr>
            <w:r>
              <w:t xml:space="preserve">Anaerobic digester </w:t>
            </w:r>
          </w:p>
        </w:tc>
        <w:tc>
          <w:tcPr>
            <w:tcW w:w="567" w:type="dxa"/>
          </w:tcPr>
          <w:p w14:paraId="16AFF8C7" w14:textId="100B02B8" w:rsidR="003D403C" w:rsidRPr="00A22F4B" w:rsidRDefault="00365EBB" w:rsidP="00F35A04">
            <w:pPr>
              <w:spacing w:after="60"/>
              <w:ind w:left="0"/>
              <w:jc w:val="both"/>
              <w:cnfStyle w:val="000000000000" w:firstRow="0" w:lastRow="0" w:firstColumn="0" w:lastColumn="0" w:oddVBand="0" w:evenVBand="0" w:oddHBand="0" w:evenHBand="0" w:firstRowFirstColumn="0" w:firstRowLastColumn="0" w:lastRowFirstColumn="0" w:lastRowLastColumn="0"/>
            </w:pPr>
            <w:r>
              <w:t>9</w:t>
            </w:r>
            <w:r w:rsidR="00EE44EA" w:rsidRPr="00EE44EA">
              <w:rPr>
                <w:vertAlign w:val="superscript"/>
              </w:rPr>
              <w:fldChar w:fldCharType="begin"/>
            </w:r>
            <w:r w:rsidR="00EE44EA" w:rsidRPr="00EE44EA">
              <w:rPr>
                <w:vertAlign w:val="superscript"/>
              </w:rPr>
              <w:instrText xml:space="preserve"> NOTEREF _Ref108177259 \h </w:instrText>
            </w:r>
            <w:r w:rsidR="00EE44EA">
              <w:rPr>
                <w:vertAlign w:val="superscript"/>
              </w:rPr>
              <w:instrText xml:space="preserve"> \* MERGEFORMAT </w:instrText>
            </w:r>
            <w:r w:rsidR="00EE44EA" w:rsidRPr="00EE44EA">
              <w:rPr>
                <w:vertAlign w:val="superscript"/>
              </w:rPr>
            </w:r>
            <w:r w:rsidR="00EE44EA" w:rsidRPr="00EE44EA">
              <w:rPr>
                <w:vertAlign w:val="superscript"/>
              </w:rPr>
              <w:fldChar w:fldCharType="separate"/>
            </w:r>
            <w:r w:rsidR="00265258">
              <w:rPr>
                <w:vertAlign w:val="superscript"/>
              </w:rPr>
              <w:t>60</w:t>
            </w:r>
            <w:r w:rsidR="00EE44EA" w:rsidRPr="00EE44EA">
              <w:rPr>
                <w:vertAlign w:val="superscript"/>
              </w:rPr>
              <w:fldChar w:fldCharType="end"/>
            </w:r>
          </w:p>
        </w:tc>
        <w:tc>
          <w:tcPr>
            <w:tcW w:w="2977" w:type="dxa"/>
          </w:tcPr>
          <w:p w14:paraId="77E7B777" w14:textId="1A8CAC87" w:rsidR="003D403C" w:rsidRPr="00A22F4B" w:rsidRDefault="008B11AC" w:rsidP="00F35A04">
            <w:pPr>
              <w:spacing w:after="60" w:line="240" w:lineRule="auto"/>
              <w:ind w:left="0"/>
              <w:jc w:val="both"/>
              <w:cnfStyle w:val="000000000000" w:firstRow="0" w:lastRow="0" w:firstColumn="0" w:lastColumn="0" w:oddVBand="0" w:evenVBand="0" w:oddHBand="0" w:evenHBand="0" w:firstRowFirstColumn="0" w:firstRowLastColumn="0" w:lastRowFirstColumn="0" w:lastRowLastColumn="0"/>
            </w:pPr>
            <w:r>
              <w:t>Anaerobic digestion technology is</w:t>
            </w:r>
            <w:r w:rsidR="003151F4">
              <w:t xml:space="preserve"> in</w:t>
            </w:r>
            <w:r w:rsidR="00E51B61">
              <w:t xml:space="preserve"> operation at large scale </w:t>
            </w:r>
            <w:r w:rsidR="005C5662">
              <w:t xml:space="preserve">worldwide. There are new </w:t>
            </w:r>
            <w:r w:rsidR="00805EDF">
              <w:t xml:space="preserve">and innovative </w:t>
            </w:r>
            <w:r w:rsidR="00A22682">
              <w:t xml:space="preserve">versions of anaerobic digesters </w:t>
            </w:r>
            <w:r w:rsidR="004B10B8">
              <w:t xml:space="preserve">also </w:t>
            </w:r>
            <w:r w:rsidR="00F42228">
              <w:t>near t</w:t>
            </w:r>
            <w:r w:rsidR="005B5224">
              <w:t>o</w:t>
            </w:r>
            <w:r w:rsidR="00F42228">
              <w:t xml:space="preserve"> </w:t>
            </w:r>
            <w:r w:rsidR="00F232B4">
              <w:t>market maturity</w:t>
            </w:r>
            <w:r w:rsidR="00F42228">
              <w:t xml:space="preserve"> (e.g., </w:t>
            </w:r>
            <w:r w:rsidR="00F35A04" w:rsidRPr="005A7CA8">
              <w:t>Auto</w:t>
            </w:r>
            <w:r w:rsidR="00F35A04">
              <w:t>-</w:t>
            </w:r>
            <w:r w:rsidR="00F35A04" w:rsidRPr="005A7CA8">
              <w:t>generative</w:t>
            </w:r>
            <w:r w:rsidR="005A7CA8" w:rsidRPr="005A7CA8">
              <w:t xml:space="preserve"> </w:t>
            </w:r>
            <w:r w:rsidR="00DE522A" w:rsidRPr="005A7CA8">
              <w:t>High-Pressure</w:t>
            </w:r>
            <w:r w:rsidR="005A7CA8" w:rsidRPr="005A7CA8">
              <w:t xml:space="preserve"> Digestion</w:t>
            </w:r>
            <w:r w:rsidR="00826824">
              <w:t xml:space="preserve"> </w:t>
            </w:r>
            <w:r w:rsidR="001C23A0">
              <w:t>–</w:t>
            </w:r>
            <w:r w:rsidR="00826824">
              <w:t xml:space="preserve"> APHD</w:t>
            </w:r>
            <w:r w:rsidR="001C23A0">
              <w:t xml:space="preserve"> is at TRL </w:t>
            </w:r>
            <w:r w:rsidR="00482D1A">
              <w:t>8</w:t>
            </w:r>
            <w:r w:rsidR="005A7CA8" w:rsidRPr="005A7CA8">
              <w:t>)</w:t>
            </w:r>
          </w:p>
        </w:tc>
        <w:tc>
          <w:tcPr>
            <w:tcW w:w="3634" w:type="dxa"/>
          </w:tcPr>
          <w:p w14:paraId="0F7653E2" w14:textId="602DE0C0" w:rsidR="003D403C" w:rsidRPr="00A22F4B" w:rsidRDefault="00C971FB" w:rsidP="00F35A04">
            <w:pPr>
              <w:spacing w:after="60" w:line="240" w:lineRule="auto"/>
              <w:ind w:left="0"/>
              <w:jc w:val="both"/>
              <w:cnfStyle w:val="000000000000" w:firstRow="0" w:lastRow="0" w:firstColumn="0" w:lastColumn="0" w:oddVBand="0" w:evenVBand="0" w:oddHBand="0" w:evenHBand="0" w:firstRowFirstColumn="0" w:firstRowLastColumn="0" w:lastRowFirstColumn="0" w:lastRowLastColumn="0"/>
            </w:pPr>
            <w:bookmarkStart w:id="106" w:name="_Hlk108513558"/>
            <w:r>
              <w:t>Anaerobic digesters</w:t>
            </w:r>
            <w:r w:rsidR="004D6AC7">
              <w:t xml:space="preserve"> (AD)</w:t>
            </w:r>
            <w:r>
              <w:t xml:space="preserve"> </w:t>
            </w:r>
            <w:r w:rsidR="005737E4">
              <w:t xml:space="preserve">are market mature and </w:t>
            </w:r>
            <w:r w:rsidR="00F606CC">
              <w:t xml:space="preserve">a possible </w:t>
            </w:r>
            <w:r w:rsidR="003E2748">
              <w:t xml:space="preserve">capital </w:t>
            </w:r>
            <w:r w:rsidR="00F606CC">
              <w:t>cost decrease</w:t>
            </w:r>
            <w:r w:rsidR="005737E4">
              <w:t xml:space="preserve"> </w:t>
            </w:r>
            <w:r w:rsidR="003E2748">
              <w:t xml:space="preserve">in </w:t>
            </w:r>
            <w:r w:rsidR="00D43B6A">
              <w:t>traditional A</w:t>
            </w:r>
            <w:r w:rsidR="004D6AC7">
              <w:t>D</w:t>
            </w:r>
            <w:r w:rsidR="003E2748">
              <w:t xml:space="preserve"> </w:t>
            </w:r>
            <w:r w:rsidR="00495FF0">
              <w:t xml:space="preserve">is not foreseen. </w:t>
            </w:r>
            <w:r w:rsidR="0043409D">
              <w:t xml:space="preserve">It is possible that in future </w:t>
            </w:r>
            <w:r w:rsidR="0072762F">
              <w:t>different new versions of AD will be available on market</w:t>
            </w:r>
            <w:r w:rsidR="006E4506">
              <w:t>,</w:t>
            </w:r>
            <w:r w:rsidR="001E1E05">
              <w:t xml:space="preserve"> but </w:t>
            </w:r>
            <w:r w:rsidR="00FB207A">
              <w:t xml:space="preserve">investment </w:t>
            </w:r>
            <w:r w:rsidR="00812383">
              <w:t xml:space="preserve">cost and the future cost decrease in the AD </w:t>
            </w:r>
            <w:r w:rsidR="00B02007">
              <w:t xml:space="preserve">technology </w:t>
            </w:r>
            <w:r w:rsidR="005B5224">
              <w:t>are</w:t>
            </w:r>
            <w:r w:rsidR="00F562BB">
              <w:t xml:space="preserve"> unknown. </w:t>
            </w:r>
            <w:bookmarkEnd w:id="106"/>
          </w:p>
        </w:tc>
      </w:tr>
      <w:tr w:rsidR="004F6DFD" w:rsidRPr="00A22F4B" w14:paraId="7386DD18" w14:textId="77777777" w:rsidTr="00966826">
        <w:tc>
          <w:tcPr>
            <w:cnfStyle w:val="001000000000" w:firstRow="0" w:lastRow="0" w:firstColumn="1" w:lastColumn="0" w:oddVBand="0" w:evenVBand="0" w:oddHBand="0" w:evenHBand="0" w:firstRowFirstColumn="0" w:firstRowLastColumn="0" w:lastRowFirstColumn="0" w:lastRowLastColumn="0"/>
            <w:tcW w:w="1271" w:type="dxa"/>
          </w:tcPr>
          <w:p w14:paraId="51968DDE" w14:textId="6C8E01CF" w:rsidR="003D403C" w:rsidRPr="00A22F4B" w:rsidRDefault="000B355D" w:rsidP="00F35A04">
            <w:pPr>
              <w:spacing w:after="60"/>
              <w:ind w:left="0"/>
              <w:jc w:val="both"/>
            </w:pPr>
            <w:r>
              <w:t>SNG plant</w:t>
            </w:r>
          </w:p>
        </w:tc>
        <w:tc>
          <w:tcPr>
            <w:tcW w:w="567" w:type="dxa"/>
          </w:tcPr>
          <w:p w14:paraId="17CD58FD" w14:textId="2C3704B3" w:rsidR="003D403C" w:rsidRPr="00A22F4B" w:rsidRDefault="007E07D2" w:rsidP="00F35A04">
            <w:pPr>
              <w:spacing w:after="60"/>
              <w:ind w:left="0"/>
              <w:jc w:val="both"/>
              <w:cnfStyle w:val="000000000000" w:firstRow="0" w:lastRow="0" w:firstColumn="0" w:lastColumn="0" w:oddVBand="0" w:evenVBand="0" w:oddHBand="0" w:evenHBand="0" w:firstRowFirstColumn="0" w:firstRowLastColumn="0" w:lastRowFirstColumn="0" w:lastRowLastColumn="0"/>
            </w:pPr>
            <w:r>
              <w:t>8-9</w:t>
            </w:r>
            <w:r w:rsidR="002068AB" w:rsidRPr="002068AB">
              <w:rPr>
                <w:vertAlign w:val="superscript"/>
              </w:rPr>
              <w:fldChar w:fldCharType="begin"/>
            </w:r>
            <w:r w:rsidR="002068AB" w:rsidRPr="002068AB">
              <w:rPr>
                <w:vertAlign w:val="superscript"/>
              </w:rPr>
              <w:instrText xml:space="preserve"> NOTEREF _Ref108177303 \h </w:instrText>
            </w:r>
            <w:r w:rsidR="002068AB">
              <w:rPr>
                <w:vertAlign w:val="superscript"/>
              </w:rPr>
              <w:instrText xml:space="preserve"> \* MERGEFORMAT </w:instrText>
            </w:r>
            <w:r w:rsidR="002068AB" w:rsidRPr="002068AB">
              <w:rPr>
                <w:vertAlign w:val="superscript"/>
              </w:rPr>
            </w:r>
            <w:r w:rsidR="002068AB" w:rsidRPr="002068AB">
              <w:rPr>
                <w:vertAlign w:val="superscript"/>
              </w:rPr>
              <w:fldChar w:fldCharType="separate"/>
            </w:r>
            <w:r w:rsidR="00265258">
              <w:rPr>
                <w:vertAlign w:val="superscript"/>
              </w:rPr>
              <w:t>64</w:t>
            </w:r>
            <w:r w:rsidR="002068AB" w:rsidRPr="002068AB">
              <w:rPr>
                <w:vertAlign w:val="superscript"/>
              </w:rPr>
              <w:fldChar w:fldCharType="end"/>
            </w:r>
          </w:p>
        </w:tc>
        <w:tc>
          <w:tcPr>
            <w:tcW w:w="2977" w:type="dxa"/>
          </w:tcPr>
          <w:p w14:paraId="3BDBA57F" w14:textId="6F15C92C" w:rsidR="003D403C" w:rsidRPr="00A22F4B" w:rsidRDefault="00B1489B" w:rsidP="00F35A04">
            <w:pPr>
              <w:spacing w:after="60" w:line="240" w:lineRule="auto"/>
              <w:ind w:left="0"/>
              <w:jc w:val="both"/>
              <w:cnfStyle w:val="000000000000" w:firstRow="0" w:lastRow="0" w:firstColumn="0" w:lastColumn="0" w:oddVBand="0" w:evenVBand="0" w:oddHBand="0" w:evenHBand="0" w:firstRowFirstColumn="0" w:firstRowLastColumn="0" w:lastRowFirstColumn="0" w:lastRowLastColumn="0"/>
            </w:pPr>
            <w:r w:rsidRPr="00B1489B">
              <w:t xml:space="preserve">The methanation technology (transforming H2 into CH4) is available </w:t>
            </w:r>
            <w:r w:rsidRPr="00B1489B">
              <w:lastRenderedPageBreak/>
              <w:t xml:space="preserve">but not yet proven for large scale applications. Although the technology is still in demonstration phase, </w:t>
            </w:r>
            <w:r w:rsidR="00702645">
              <w:t>the</w:t>
            </w:r>
            <w:r w:rsidRPr="00B1489B">
              <w:t xml:space="preserve"> fixed-bed reactor has a high readiness level of TRL 8/9</w:t>
            </w:r>
          </w:p>
        </w:tc>
        <w:tc>
          <w:tcPr>
            <w:tcW w:w="3634" w:type="dxa"/>
          </w:tcPr>
          <w:p w14:paraId="7468CCD4" w14:textId="42686C0D" w:rsidR="003D403C" w:rsidRPr="00A22F4B" w:rsidRDefault="00EA77E8" w:rsidP="00F35A04">
            <w:pPr>
              <w:spacing w:after="60" w:line="240" w:lineRule="auto"/>
              <w:ind w:left="0"/>
              <w:jc w:val="both"/>
              <w:cnfStyle w:val="000000000000" w:firstRow="0" w:lastRow="0" w:firstColumn="0" w:lastColumn="0" w:oddVBand="0" w:evenVBand="0" w:oddHBand="0" w:evenHBand="0" w:firstRowFirstColumn="0" w:firstRowLastColumn="0" w:lastRowFirstColumn="0" w:lastRowLastColumn="0"/>
            </w:pPr>
            <w:r>
              <w:lastRenderedPageBreak/>
              <w:t xml:space="preserve">Different </w:t>
            </w:r>
            <w:r w:rsidR="00E81091">
              <w:t xml:space="preserve">options </w:t>
            </w:r>
            <w:r w:rsidR="00022691">
              <w:t xml:space="preserve">of </w:t>
            </w:r>
            <w:r w:rsidR="00246815">
              <w:t xml:space="preserve">SNG production </w:t>
            </w:r>
            <w:r w:rsidR="005A6408">
              <w:t xml:space="preserve">reactors </w:t>
            </w:r>
            <w:r w:rsidR="00371999">
              <w:t>have</w:t>
            </w:r>
            <w:r w:rsidR="00E15EC6">
              <w:t xml:space="preserve"> different </w:t>
            </w:r>
            <w:r w:rsidR="00E14D21">
              <w:t xml:space="preserve">investment costs </w:t>
            </w:r>
            <w:r w:rsidR="00371999">
              <w:t xml:space="preserve">and </w:t>
            </w:r>
            <w:r w:rsidR="00E14D21">
              <w:t xml:space="preserve">hence </w:t>
            </w:r>
            <w:r w:rsidR="00E14D21">
              <w:lastRenderedPageBreak/>
              <w:t xml:space="preserve">different cost learning curves. </w:t>
            </w:r>
            <w:r w:rsidR="0095754E">
              <w:t>The</w:t>
            </w:r>
            <w:r w:rsidR="00826301">
              <w:t xml:space="preserve"> </w:t>
            </w:r>
            <w:r w:rsidR="00823120">
              <w:t xml:space="preserve">presented </w:t>
            </w:r>
            <w:r w:rsidR="00826301">
              <w:t>investment cost</w:t>
            </w:r>
            <w:r w:rsidR="00A709A5">
              <w:t xml:space="preserve"> trend by 2050 </w:t>
            </w:r>
            <w:r w:rsidR="00823120">
              <w:t xml:space="preserve">in </w:t>
            </w:r>
            <w:r w:rsidR="00823120">
              <w:fldChar w:fldCharType="begin"/>
            </w:r>
            <w:r w:rsidR="00823120">
              <w:instrText xml:space="preserve"> REF _Ref108179146 \h </w:instrText>
            </w:r>
            <w:r w:rsidR="00823120">
              <w:fldChar w:fldCharType="separate"/>
            </w:r>
            <w:r w:rsidR="00265258">
              <w:t xml:space="preserve">Table </w:t>
            </w:r>
            <w:r w:rsidR="00265258">
              <w:rPr>
                <w:noProof/>
              </w:rPr>
              <w:t>6</w:t>
            </w:r>
            <w:r w:rsidR="00265258">
              <w:noBreakHyphen/>
            </w:r>
            <w:r w:rsidR="00265258">
              <w:rPr>
                <w:noProof/>
              </w:rPr>
              <w:t>4</w:t>
            </w:r>
            <w:r w:rsidR="00823120">
              <w:fldChar w:fldCharType="end"/>
            </w:r>
            <w:r w:rsidR="00823120">
              <w:t xml:space="preserve"> </w:t>
            </w:r>
            <w:r w:rsidR="00A709A5">
              <w:t xml:space="preserve">is for the </w:t>
            </w:r>
            <w:r w:rsidR="00C1013F">
              <w:t>che</w:t>
            </w:r>
            <w:r w:rsidR="009B3254">
              <w:t>mical catalytic</w:t>
            </w:r>
            <w:r w:rsidR="00A709A5">
              <w:t xml:space="preserve"> reactor technology which is </w:t>
            </w:r>
            <w:r w:rsidR="004F6DFD">
              <w:t xml:space="preserve">near market maturity. </w:t>
            </w:r>
          </w:p>
        </w:tc>
      </w:tr>
    </w:tbl>
    <w:p w14:paraId="027C6FBF" w14:textId="47CFD607" w:rsidR="00CD7EF9" w:rsidRPr="009E4C5C" w:rsidRDefault="00343909" w:rsidP="009E4C5C">
      <w:pPr>
        <w:pStyle w:val="Kop5"/>
      </w:pPr>
      <w:r>
        <w:lastRenderedPageBreak/>
        <w:t>Renewable h</w:t>
      </w:r>
      <w:r w:rsidR="00BD1376" w:rsidRPr="009E4C5C">
        <w:t xml:space="preserve">ydrogen production via </w:t>
      </w:r>
      <w:r w:rsidR="00371999">
        <w:t>e</w:t>
      </w:r>
      <w:r w:rsidR="00BD1376" w:rsidRPr="009E4C5C">
        <w:t>lectrolysis</w:t>
      </w:r>
    </w:p>
    <w:p w14:paraId="3DA6E519" w14:textId="280163B4" w:rsidR="00CD7EF9" w:rsidRPr="002E338E" w:rsidRDefault="002E338E" w:rsidP="002138FC">
      <w:pPr>
        <w:spacing w:after="240"/>
        <w:ind w:left="539"/>
        <w:jc w:val="both"/>
      </w:pPr>
      <w:r>
        <w:t xml:space="preserve">Hydrogen is one of the most abundant elements on </w:t>
      </w:r>
      <w:r w:rsidR="00343909">
        <w:t>the ear</w:t>
      </w:r>
      <w:r>
        <w:t>th</w:t>
      </w:r>
      <w:r w:rsidR="00343909">
        <w:t>,</w:t>
      </w:r>
      <w:r>
        <w:t xml:space="preserve"> mostly chemically bo</w:t>
      </w:r>
      <w:r w:rsidR="00CE7702">
        <w:t>u</w:t>
      </w:r>
      <w:r>
        <w:t xml:space="preserve">nded in hydrocarbons and water. The electrochemical splitting of water in electrolysers is a clean and efficient process to generate hydrogen and oxygen. Given the steadily increasing supply of electricity from </w:t>
      </w:r>
      <w:r w:rsidR="00BF5B89">
        <w:t xml:space="preserve">intermittent </w:t>
      </w:r>
      <w:r>
        <w:t xml:space="preserve">renewable energy sources, </w:t>
      </w:r>
      <w:r w:rsidR="00BF5B89">
        <w:t xml:space="preserve">power-to-hydrogen </w:t>
      </w:r>
      <w:r>
        <w:t xml:space="preserve">can </w:t>
      </w:r>
      <w:r w:rsidR="00BF5B89">
        <w:t xml:space="preserve">contribute to ensuring </w:t>
      </w:r>
      <w:r>
        <w:t>a reliable e</w:t>
      </w:r>
      <w:r w:rsidR="00BF5B89">
        <w:t xml:space="preserve">lectricity </w:t>
      </w:r>
      <w:r>
        <w:t xml:space="preserve">supply </w:t>
      </w:r>
      <w:r w:rsidR="007565EF">
        <w:t>and enable</w:t>
      </w:r>
      <w:r>
        <w:t xml:space="preserve"> long-term or seasonal storage in future energy systems. PEM water electrolysis, which </w:t>
      </w:r>
      <w:r w:rsidR="00371999">
        <w:t>uses</w:t>
      </w:r>
      <w:r>
        <w:t xml:space="preserve"> a </w:t>
      </w:r>
      <w:r w:rsidRPr="00EC1338">
        <w:rPr>
          <w:b/>
          <w:bCs/>
        </w:rPr>
        <w:t>proton exchange membrane (PEM)</w:t>
      </w:r>
      <w:r>
        <w:t xml:space="preserve">, is well suited for combination with renewable energy sources. </w:t>
      </w:r>
      <w:r w:rsidR="0002438B">
        <w:t>Currently, when compared to the other processes, t</w:t>
      </w:r>
      <w:r>
        <w:t>his process offers good efficiency</w:t>
      </w:r>
      <w:r w:rsidR="0002438B">
        <w:t xml:space="preserve"> (still need to be improved in the future)</w:t>
      </w:r>
      <w:r>
        <w:t xml:space="preserve"> values at high current densities and can be operated at high pressure and very dynamically in a wide operating window, i.e., also under partial-load conditions.</w:t>
      </w:r>
      <w:r w:rsidR="00671D10">
        <w:t xml:space="preserve"> </w:t>
      </w:r>
      <w:r w:rsidR="00734618">
        <w:t>PEM is a mature technology (TRL 9).</w:t>
      </w:r>
      <w:r w:rsidR="000B64F9">
        <w:rPr>
          <w:rStyle w:val="Voetnootmarkering"/>
        </w:rPr>
        <w:footnoteReference w:id="57"/>
      </w:r>
      <w:r w:rsidR="002138FC">
        <w:t xml:space="preserve"> </w:t>
      </w:r>
      <w:r>
        <w:t>The following table presents the typical characteristics of a PEM electrolyser stack.</w:t>
      </w:r>
    </w:p>
    <w:p w14:paraId="610A7298" w14:textId="43B72C29" w:rsidR="00CD7EF9" w:rsidRPr="007D2316" w:rsidRDefault="007D2316" w:rsidP="007D2316">
      <w:pPr>
        <w:pStyle w:val="Bijschrift"/>
      </w:pPr>
      <w:bookmarkStart w:id="107" w:name="_Ref108179190"/>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2</w:t>
      </w:r>
      <w:r w:rsidR="006D12F8">
        <w:rPr>
          <w:noProof/>
        </w:rPr>
        <w:fldChar w:fldCharType="end"/>
      </w:r>
      <w:bookmarkEnd w:id="107"/>
      <w:r>
        <w:t xml:space="preserve">. </w:t>
      </w:r>
      <w:r w:rsidR="002B591F">
        <w:t>C</w:t>
      </w:r>
      <w:r>
        <w:t>haracteristics of a PEM electrolyser stack</w:t>
      </w:r>
    </w:p>
    <w:tbl>
      <w:tblPr>
        <w:tblStyle w:val="Table1"/>
        <w:tblW w:w="0" w:type="auto"/>
        <w:tblInd w:w="562" w:type="dxa"/>
        <w:tblLook w:val="04A0" w:firstRow="1" w:lastRow="0" w:firstColumn="1" w:lastColumn="0" w:noHBand="0" w:noVBand="1"/>
      </w:tblPr>
      <w:tblGrid>
        <w:gridCol w:w="3261"/>
        <w:gridCol w:w="1551"/>
        <w:gridCol w:w="1698"/>
        <w:gridCol w:w="1944"/>
      </w:tblGrid>
      <w:tr w:rsidR="00576B7F" w14:paraId="39DE02D4" w14:textId="77777777" w:rsidTr="007B6C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3577066F" w14:textId="77777777" w:rsidR="00CE41F6" w:rsidRPr="00CE616F" w:rsidRDefault="00CE41F6" w:rsidP="00D025B4">
            <w:pPr>
              <w:rPr>
                <w:rFonts w:ascii="Trebuchet MS" w:hAnsi="Trebuchet MS"/>
                <w:b w:val="0"/>
              </w:rPr>
            </w:pPr>
            <w:r w:rsidRPr="00CE616F">
              <w:rPr>
                <w:rFonts w:ascii="Trebuchet MS" w:hAnsi="Trebuchet MS"/>
                <w:b w:val="0"/>
              </w:rPr>
              <w:t>PEM Electrolysis</w:t>
            </w:r>
          </w:p>
        </w:tc>
        <w:tc>
          <w:tcPr>
            <w:tcW w:w="1551" w:type="dxa"/>
          </w:tcPr>
          <w:p w14:paraId="323E9A0E" w14:textId="77777777" w:rsidR="00CE41F6" w:rsidRPr="00CE616F" w:rsidRDefault="00CE41F6" w:rsidP="00395BCD">
            <w:pPr>
              <w:jc w:val="left"/>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CE616F">
              <w:rPr>
                <w:rFonts w:ascii="Trebuchet MS" w:hAnsi="Trebuchet MS"/>
                <w:b w:val="0"/>
              </w:rPr>
              <w:t>Current</w:t>
            </w:r>
          </w:p>
        </w:tc>
        <w:tc>
          <w:tcPr>
            <w:tcW w:w="1698" w:type="dxa"/>
          </w:tcPr>
          <w:p w14:paraId="26A8DABD" w14:textId="77777777" w:rsidR="00CE41F6" w:rsidRPr="00CE616F" w:rsidRDefault="00CE41F6" w:rsidP="00395BCD">
            <w:pPr>
              <w:jc w:val="left"/>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CE616F">
              <w:rPr>
                <w:rFonts w:ascii="Trebuchet MS" w:hAnsi="Trebuchet MS"/>
                <w:b w:val="0"/>
              </w:rPr>
              <w:t>2030</w:t>
            </w:r>
          </w:p>
        </w:tc>
        <w:tc>
          <w:tcPr>
            <w:tcW w:w="1944" w:type="dxa"/>
          </w:tcPr>
          <w:p w14:paraId="36DC3B5C" w14:textId="03E5E7B8" w:rsidR="00CE41F6" w:rsidRPr="00CE616F" w:rsidRDefault="00CE41F6" w:rsidP="00395BCD">
            <w:pPr>
              <w:jc w:val="left"/>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CE616F">
              <w:rPr>
                <w:rFonts w:ascii="Trebuchet MS" w:hAnsi="Trebuchet MS"/>
                <w:b w:val="0"/>
              </w:rPr>
              <w:t>2050</w:t>
            </w:r>
          </w:p>
        </w:tc>
      </w:tr>
      <w:tr w:rsidR="00CE41F6" w14:paraId="2FA1FA1F" w14:textId="77777777" w:rsidTr="00C74E95">
        <w:tc>
          <w:tcPr>
            <w:cnfStyle w:val="001000000000" w:firstRow="0" w:lastRow="0" w:firstColumn="1" w:lastColumn="0" w:oddVBand="0" w:evenVBand="0" w:oddHBand="0" w:evenHBand="0" w:firstRowFirstColumn="0" w:firstRowLastColumn="0" w:lastRowFirstColumn="0" w:lastRowLastColumn="0"/>
            <w:tcW w:w="3261" w:type="dxa"/>
          </w:tcPr>
          <w:p w14:paraId="151F40A8" w14:textId="77777777" w:rsidR="00CE41F6" w:rsidRDefault="00CE41F6" w:rsidP="00716208">
            <w:pPr>
              <w:spacing w:after="60"/>
              <w:rPr>
                <w:b/>
                <w:bCs/>
              </w:rPr>
            </w:pPr>
            <w:r>
              <w:rPr>
                <w:b/>
                <w:bCs/>
              </w:rPr>
              <w:t>CAPEX [€/kW]</w:t>
            </w:r>
          </w:p>
        </w:tc>
        <w:tc>
          <w:tcPr>
            <w:tcW w:w="1551" w:type="dxa"/>
          </w:tcPr>
          <w:p w14:paraId="6B002500"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949.44</w:t>
            </w:r>
          </w:p>
        </w:tc>
        <w:tc>
          <w:tcPr>
            <w:tcW w:w="1698" w:type="dxa"/>
          </w:tcPr>
          <w:p w14:paraId="7F986523"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427.25</w:t>
            </w:r>
          </w:p>
        </w:tc>
        <w:tc>
          <w:tcPr>
            <w:tcW w:w="1944" w:type="dxa"/>
          </w:tcPr>
          <w:p w14:paraId="146CDE89"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284.83</w:t>
            </w:r>
          </w:p>
        </w:tc>
      </w:tr>
      <w:tr w:rsidR="00CE41F6" w14:paraId="425AEF28" w14:textId="77777777" w:rsidTr="00C74E95">
        <w:tc>
          <w:tcPr>
            <w:cnfStyle w:val="001000000000" w:firstRow="0" w:lastRow="0" w:firstColumn="1" w:lastColumn="0" w:oddVBand="0" w:evenVBand="0" w:oddHBand="0" w:evenHBand="0" w:firstRowFirstColumn="0" w:firstRowLastColumn="0" w:lastRowFirstColumn="0" w:lastRowLastColumn="0"/>
            <w:tcW w:w="3261" w:type="dxa"/>
          </w:tcPr>
          <w:p w14:paraId="7405549F" w14:textId="77777777" w:rsidR="00CE41F6" w:rsidRDefault="00CE41F6" w:rsidP="00716208">
            <w:pPr>
              <w:spacing w:after="60"/>
              <w:rPr>
                <w:b/>
                <w:bCs/>
              </w:rPr>
            </w:pPr>
            <w:r>
              <w:rPr>
                <w:b/>
                <w:bCs/>
              </w:rPr>
              <w:t>OPEX [€/(kW*a)] (1.5% of CAPEX)</w:t>
            </w:r>
          </w:p>
        </w:tc>
        <w:tc>
          <w:tcPr>
            <w:tcW w:w="1551" w:type="dxa"/>
          </w:tcPr>
          <w:p w14:paraId="0B8C3E0B"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14.24</w:t>
            </w:r>
          </w:p>
        </w:tc>
        <w:tc>
          <w:tcPr>
            <w:tcW w:w="1698" w:type="dxa"/>
          </w:tcPr>
          <w:p w14:paraId="1E34DD3A"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6.41</w:t>
            </w:r>
          </w:p>
        </w:tc>
        <w:tc>
          <w:tcPr>
            <w:tcW w:w="1944" w:type="dxa"/>
          </w:tcPr>
          <w:p w14:paraId="6D17BA82"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4.27</w:t>
            </w:r>
          </w:p>
        </w:tc>
      </w:tr>
      <w:tr w:rsidR="00CE41F6" w14:paraId="7D876D01" w14:textId="77777777" w:rsidTr="00C74E95">
        <w:tc>
          <w:tcPr>
            <w:cnfStyle w:val="001000000000" w:firstRow="0" w:lastRow="0" w:firstColumn="1" w:lastColumn="0" w:oddVBand="0" w:evenVBand="0" w:oddHBand="0" w:evenHBand="0" w:firstRowFirstColumn="0" w:firstRowLastColumn="0" w:lastRowFirstColumn="0" w:lastRowLastColumn="0"/>
            <w:tcW w:w="3261" w:type="dxa"/>
          </w:tcPr>
          <w:p w14:paraId="3595BAF5" w14:textId="77777777" w:rsidR="00CE41F6" w:rsidRDefault="00CE41F6" w:rsidP="00716208">
            <w:pPr>
              <w:spacing w:after="60"/>
              <w:rPr>
                <w:b/>
                <w:bCs/>
              </w:rPr>
            </w:pPr>
            <w:r>
              <w:rPr>
                <w:b/>
                <w:bCs/>
              </w:rPr>
              <w:t>Efficiency (%)</w:t>
            </w:r>
          </w:p>
        </w:tc>
        <w:tc>
          <w:tcPr>
            <w:tcW w:w="1551" w:type="dxa"/>
          </w:tcPr>
          <w:p w14:paraId="4C321249"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60</w:t>
            </w:r>
          </w:p>
        </w:tc>
        <w:tc>
          <w:tcPr>
            <w:tcW w:w="1698" w:type="dxa"/>
          </w:tcPr>
          <w:p w14:paraId="37F446B9"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68</w:t>
            </w:r>
          </w:p>
        </w:tc>
        <w:tc>
          <w:tcPr>
            <w:tcW w:w="1944" w:type="dxa"/>
          </w:tcPr>
          <w:p w14:paraId="3149F6A2"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74</w:t>
            </w:r>
          </w:p>
        </w:tc>
      </w:tr>
      <w:tr w:rsidR="00CE41F6" w14:paraId="6A772D5A" w14:textId="77777777" w:rsidTr="00C74E95">
        <w:tc>
          <w:tcPr>
            <w:cnfStyle w:val="001000000000" w:firstRow="0" w:lastRow="0" w:firstColumn="1" w:lastColumn="0" w:oddVBand="0" w:evenVBand="0" w:oddHBand="0" w:evenHBand="0" w:firstRowFirstColumn="0" w:firstRowLastColumn="0" w:lastRowFirstColumn="0" w:lastRowLastColumn="0"/>
            <w:tcW w:w="3261" w:type="dxa"/>
          </w:tcPr>
          <w:p w14:paraId="4F6DBC7E" w14:textId="77777777" w:rsidR="00CE41F6" w:rsidRDefault="00CE41F6" w:rsidP="00716208">
            <w:pPr>
              <w:spacing w:after="60"/>
              <w:rPr>
                <w:b/>
                <w:bCs/>
              </w:rPr>
            </w:pPr>
            <w:r w:rsidRPr="005B3967">
              <w:rPr>
                <w:b/>
                <w:bCs/>
              </w:rPr>
              <w:t>Stack lifetime [h]</w:t>
            </w:r>
          </w:p>
        </w:tc>
        <w:tc>
          <w:tcPr>
            <w:tcW w:w="1551" w:type="dxa"/>
          </w:tcPr>
          <w:p w14:paraId="3FE514CD"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90,000</w:t>
            </w:r>
          </w:p>
        </w:tc>
        <w:tc>
          <w:tcPr>
            <w:tcW w:w="1698" w:type="dxa"/>
          </w:tcPr>
          <w:p w14:paraId="525BCCF2" w14:textId="77777777"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90,000</w:t>
            </w:r>
          </w:p>
        </w:tc>
        <w:tc>
          <w:tcPr>
            <w:tcW w:w="1944" w:type="dxa"/>
          </w:tcPr>
          <w:p w14:paraId="26D23CE7" w14:textId="29C59ADB" w:rsidR="00CE41F6" w:rsidRPr="000E6707" w:rsidRDefault="00CE41F6" w:rsidP="00716208">
            <w:pPr>
              <w:spacing w:after="60"/>
              <w:jc w:val="left"/>
              <w:cnfStyle w:val="000000000000" w:firstRow="0" w:lastRow="0" w:firstColumn="0" w:lastColumn="0" w:oddVBand="0" w:evenVBand="0" w:oddHBand="0" w:evenHBand="0" w:firstRowFirstColumn="0" w:firstRowLastColumn="0" w:lastRowFirstColumn="0" w:lastRowLastColumn="0"/>
            </w:pPr>
            <w:r w:rsidRPr="000E6707">
              <w:t>150,000</w:t>
            </w:r>
          </w:p>
        </w:tc>
      </w:tr>
    </w:tbl>
    <w:p w14:paraId="390CF00D" w14:textId="4706F1DF" w:rsidR="00CD7EF9" w:rsidRPr="002A4F9D" w:rsidRDefault="002A4F9D" w:rsidP="00C74E95">
      <w:pPr>
        <w:spacing w:before="60" w:line="200" w:lineRule="atLeast"/>
        <w:ind w:left="0" w:firstLine="567"/>
        <w:jc w:val="both"/>
        <w:rPr>
          <w:sz w:val="14"/>
          <w:szCs w:val="14"/>
        </w:rPr>
      </w:pPr>
      <w:r w:rsidRPr="002A4F9D">
        <w:rPr>
          <w:sz w:val="14"/>
          <w:szCs w:val="14"/>
        </w:rPr>
        <w:t>Source: The Fu</w:t>
      </w:r>
      <w:bookmarkStart w:id="108" w:name="_Ref103385325"/>
      <w:r w:rsidRPr="002A4F9D">
        <w:rPr>
          <w:sz w:val="14"/>
          <w:szCs w:val="14"/>
        </w:rPr>
        <w:t>t</w:t>
      </w:r>
      <w:bookmarkEnd w:id="108"/>
      <w:r w:rsidRPr="002A4F9D">
        <w:rPr>
          <w:sz w:val="14"/>
          <w:szCs w:val="14"/>
        </w:rPr>
        <w:t>ure of Hydrogen [IEA 2019]</w:t>
      </w:r>
      <w:bookmarkStart w:id="109" w:name="_Ref103380800"/>
      <w:r w:rsidR="00156902">
        <w:rPr>
          <w:rStyle w:val="Voetnootmarkering"/>
          <w:sz w:val="14"/>
          <w:szCs w:val="14"/>
        </w:rPr>
        <w:footnoteReference w:id="58"/>
      </w:r>
      <w:bookmarkEnd w:id="109"/>
      <w:r w:rsidRPr="002A4F9D">
        <w:rPr>
          <w:sz w:val="14"/>
          <w:szCs w:val="14"/>
        </w:rPr>
        <w:t>, Global Hydrogen Review [IEA 2021]</w:t>
      </w:r>
      <w:r w:rsidR="004F2700">
        <w:rPr>
          <w:rStyle w:val="Voetnootmarkering"/>
          <w:sz w:val="14"/>
          <w:szCs w:val="14"/>
        </w:rPr>
        <w:footnoteReference w:id="59"/>
      </w:r>
      <w:r w:rsidRPr="002A4F9D">
        <w:rPr>
          <w:sz w:val="14"/>
          <w:szCs w:val="14"/>
        </w:rPr>
        <w:t>, 1 USD = 0.95 EUR</w:t>
      </w:r>
    </w:p>
    <w:p w14:paraId="6226073E" w14:textId="1A80C9F6" w:rsidR="00554C55" w:rsidRPr="006E1B38" w:rsidRDefault="00554C55" w:rsidP="00C301BB">
      <w:pPr>
        <w:pStyle w:val="Kop5"/>
        <w:spacing w:before="120"/>
      </w:pPr>
      <w:r w:rsidRPr="006E1B38">
        <w:t>Bio</w:t>
      </w:r>
      <w:r w:rsidR="00BF5B89">
        <w:rPr>
          <w:bCs/>
        </w:rPr>
        <w:t>gas/bio</w:t>
      </w:r>
      <w:r>
        <w:rPr>
          <w:bCs/>
        </w:rPr>
        <w:t xml:space="preserve">methane production </w:t>
      </w:r>
    </w:p>
    <w:p w14:paraId="67F0C4A4" w14:textId="73017851" w:rsidR="00554C55" w:rsidRDefault="00554C55" w:rsidP="00AA15C2">
      <w:pPr>
        <w:spacing w:after="120"/>
        <w:ind w:left="540"/>
        <w:jc w:val="both"/>
      </w:pPr>
      <w:r>
        <w:t>Bio</w:t>
      </w:r>
      <w:r w:rsidR="00BF5B89">
        <w:t>gas or bio</w:t>
      </w:r>
      <w:r>
        <w:t xml:space="preserve">methane is another possible sustainable alternative to natural gas. Biomethane production is a two-step process. The </w:t>
      </w:r>
      <w:r w:rsidRPr="00224C02">
        <w:rPr>
          <w:b/>
          <w:bCs/>
        </w:rPr>
        <w:t>first step</w:t>
      </w:r>
      <w:r>
        <w:t xml:space="preserve"> is to produce biogas</w:t>
      </w:r>
      <w:r w:rsidR="00BF5B89">
        <w:t xml:space="preserve">, for which </w:t>
      </w:r>
      <w:r>
        <w:t xml:space="preserve">a range of bio-feedstocks (food crops, bio/food-waste, bi-product of energy crops, sewage water, animal manure etc.) </w:t>
      </w:r>
      <w:r w:rsidR="00BF5B89">
        <w:t xml:space="preserve">can be used </w:t>
      </w:r>
      <w:r>
        <w:t xml:space="preserve">via different </w:t>
      </w:r>
      <w:r w:rsidRPr="00224C02">
        <w:rPr>
          <w:b/>
          <w:bCs/>
        </w:rPr>
        <w:t xml:space="preserve">biogas production </w:t>
      </w:r>
      <w:r w:rsidR="00EC1338">
        <w:rPr>
          <w:b/>
          <w:bCs/>
        </w:rPr>
        <w:t>technologies</w:t>
      </w:r>
      <w:r>
        <w:t xml:space="preserve"> (non-specific digestion, mono-digestion, co-digestion, and sewage sludge digestion). The </w:t>
      </w:r>
      <w:r w:rsidRPr="00224C02">
        <w:rPr>
          <w:b/>
          <w:bCs/>
        </w:rPr>
        <w:t>second step</w:t>
      </w:r>
      <w:r>
        <w:t xml:space="preserve"> is the upgrad</w:t>
      </w:r>
      <w:r w:rsidR="00EC1338">
        <w:t>ing</w:t>
      </w:r>
      <w:r>
        <w:t xml:space="preserve"> of the produced biogas to biomethane</w:t>
      </w:r>
      <w:r w:rsidR="00EC1338">
        <w:t xml:space="preserve">, which </w:t>
      </w:r>
      <w:r>
        <w:t>involves the removal of CO</w:t>
      </w:r>
      <w:r w:rsidRPr="00A0795C">
        <w:rPr>
          <w:vertAlign w:val="subscript"/>
        </w:rPr>
        <w:t>2</w:t>
      </w:r>
      <w:r>
        <w:t xml:space="preserve"> </w:t>
      </w:r>
      <w:r w:rsidR="00EC1338">
        <w:t xml:space="preserve">by using one of the </w:t>
      </w:r>
      <w:r>
        <w:t>process technologies (pressure swing adsorption, membrane separation, amine scrubber, or water scrubber). This step is required to reach the similar methane content a</w:t>
      </w:r>
      <w:r w:rsidR="00BF5B89">
        <w:t>s</w:t>
      </w:r>
      <w:r>
        <w:t xml:space="preserve"> natural gas </w:t>
      </w:r>
      <w:r w:rsidR="00BF5B89">
        <w:t>so that it</w:t>
      </w:r>
      <w:r>
        <w:t xml:space="preserve"> can be injected </w:t>
      </w:r>
      <w:r w:rsidR="00874659">
        <w:t>in</w:t>
      </w:r>
      <w:r>
        <w:t xml:space="preserve">to the natural gas </w:t>
      </w:r>
      <w:r w:rsidR="00874659">
        <w:t xml:space="preserve">grid </w:t>
      </w:r>
      <w:r>
        <w:t xml:space="preserve">or can be compressed </w:t>
      </w:r>
      <w:r w:rsidR="00874659">
        <w:t>for</w:t>
      </w:r>
      <w:r>
        <w:t xml:space="preserve"> use in </w:t>
      </w:r>
      <w:r w:rsidR="00874659">
        <w:t xml:space="preserve">the </w:t>
      </w:r>
      <w:r>
        <w:t>transport sector as bio-CNG.</w:t>
      </w:r>
      <w:r>
        <w:rPr>
          <w:rStyle w:val="Voetnootmarkering"/>
        </w:rPr>
        <w:footnoteReference w:id="60"/>
      </w:r>
    </w:p>
    <w:p w14:paraId="6A20D550" w14:textId="6F5B66D0" w:rsidR="00500E00" w:rsidRDefault="00500E00" w:rsidP="00AA15C2">
      <w:pPr>
        <w:spacing w:after="120"/>
        <w:ind w:left="540"/>
        <w:jc w:val="both"/>
      </w:pPr>
      <w:r>
        <w:t>Biogas/</w:t>
      </w:r>
      <w:r w:rsidR="00874659">
        <w:t>b</w:t>
      </w:r>
      <w:r>
        <w:t xml:space="preserve">iomethane production is a well proven and </w:t>
      </w:r>
      <w:r w:rsidR="00371999">
        <w:t xml:space="preserve">a mature </w:t>
      </w:r>
      <w:r>
        <w:t>industrial scale process (</w:t>
      </w:r>
      <w:r w:rsidRPr="00224C02">
        <w:rPr>
          <w:b/>
          <w:bCs/>
        </w:rPr>
        <w:t>TRL 9</w:t>
      </w:r>
      <w:r>
        <w:t>)</w:t>
      </w:r>
      <w:bookmarkStart w:id="110" w:name="_Ref108177259"/>
      <w:r w:rsidR="003351B9">
        <w:rPr>
          <w:rStyle w:val="Voetnootmarkering"/>
        </w:rPr>
        <w:footnoteReference w:id="61"/>
      </w:r>
      <w:bookmarkEnd w:id="110"/>
      <w:r w:rsidR="00874659">
        <w:t xml:space="preserve">, but its </w:t>
      </w:r>
      <w:r w:rsidRPr="006E7097">
        <w:t>potential development is limited by the availability of biomass resources</w:t>
      </w:r>
      <w:r w:rsidR="00770F41">
        <w:t xml:space="preserve"> (</w:t>
      </w:r>
      <w:r w:rsidR="00770F41" w:rsidRPr="006535B5">
        <w:rPr>
          <w:b/>
          <w:bCs/>
        </w:rPr>
        <w:t>see</w:t>
      </w:r>
      <w:r w:rsidR="00A3331C" w:rsidRPr="006535B5">
        <w:rPr>
          <w:b/>
          <w:bCs/>
        </w:rPr>
        <w:t xml:space="preserve"> section</w:t>
      </w:r>
      <w:r w:rsidR="00770F41" w:rsidRPr="006535B5">
        <w:rPr>
          <w:b/>
          <w:bCs/>
        </w:rPr>
        <w:t xml:space="preserve"> </w:t>
      </w:r>
      <w:r w:rsidR="00FF39C5" w:rsidRPr="006535B5">
        <w:rPr>
          <w:b/>
          <w:bCs/>
        </w:rPr>
        <w:fldChar w:fldCharType="begin"/>
      </w:r>
      <w:r w:rsidR="00FF39C5" w:rsidRPr="006535B5">
        <w:rPr>
          <w:b/>
          <w:bCs/>
        </w:rPr>
        <w:instrText xml:space="preserve"> REF _Ref108513441 \r \h </w:instrText>
      </w:r>
      <w:r w:rsidR="006535B5">
        <w:rPr>
          <w:b/>
          <w:bCs/>
        </w:rPr>
        <w:instrText xml:space="preserve"> \* MERGEFORMAT </w:instrText>
      </w:r>
      <w:r w:rsidR="00FF39C5" w:rsidRPr="006535B5">
        <w:rPr>
          <w:b/>
          <w:bCs/>
        </w:rPr>
      </w:r>
      <w:r w:rsidR="00FF39C5" w:rsidRPr="006535B5">
        <w:rPr>
          <w:b/>
          <w:bCs/>
        </w:rPr>
        <w:fldChar w:fldCharType="separate"/>
      </w:r>
      <w:r w:rsidR="00265258">
        <w:rPr>
          <w:b/>
          <w:bCs/>
        </w:rPr>
        <w:t>5.1</w:t>
      </w:r>
      <w:r w:rsidR="00FF39C5" w:rsidRPr="006535B5">
        <w:rPr>
          <w:b/>
          <w:bCs/>
        </w:rPr>
        <w:fldChar w:fldCharType="end"/>
      </w:r>
      <w:r w:rsidR="00A3331C">
        <w:t>)</w:t>
      </w:r>
      <w:r w:rsidRPr="006E7097">
        <w:t xml:space="preserve">, by the implementation of more strict sustainability criteria under the Renewable Energy Directive (RED II), and by competing </w:t>
      </w:r>
      <w:r w:rsidR="00EC1338">
        <w:t xml:space="preserve">biomass </w:t>
      </w:r>
      <w:r w:rsidRPr="006E7097">
        <w:t>uses for food, feed, and feedstock production.</w:t>
      </w:r>
      <w:r>
        <w:rPr>
          <w:rStyle w:val="Voetnootmarkering"/>
        </w:rPr>
        <w:footnoteReference w:id="62"/>
      </w:r>
    </w:p>
    <w:p w14:paraId="2E092C55" w14:textId="58CFFF2E" w:rsidR="00EC1338" w:rsidRPr="0095127D" w:rsidRDefault="00500E00" w:rsidP="00AE1762">
      <w:pPr>
        <w:spacing w:after="240"/>
        <w:ind w:left="539"/>
        <w:jc w:val="both"/>
        <w:rPr>
          <w:b/>
          <w:bCs/>
        </w:rPr>
      </w:pPr>
      <w:r>
        <w:lastRenderedPageBreak/>
        <w:t>The following table presents the investment</w:t>
      </w:r>
      <w:r w:rsidR="00874659">
        <w:t xml:space="preserve"> and operational costs </w:t>
      </w:r>
      <w:r>
        <w:t xml:space="preserve">(CAPEX &amp; OPEX) of </w:t>
      </w:r>
      <w:r w:rsidR="00874659">
        <w:t>a biogas plant</w:t>
      </w:r>
      <w:r>
        <w:t xml:space="preserve"> and a set of biogas upgradation technologies</w:t>
      </w:r>
      <w:r w:rsidR="007C77E5">
        <w:t xml:space="preserve">. </w:t>
      </w:r>
      <w:r w:rsidR="007C77E5" w:rsidRPr="007C77E5">
        <w:t xml:space="preserve">Anaerobic digesters (AD) are market mature and a possible capital cost decrease in traditional AD is not foreseen. </w:t>
      </w:r>
      <w:r w:rsidR="007C77E5" w:rsidRPr="0095127D">
        <w:rPr>
          <w:b/>
          <w:bCs/>
        </w:rPr>
        <w:t xml:space="preserve">It is possible that in future different new versions of AD will be available on </w:t>
      </w:r>
      <w:r w:rsidR="003D3130">
        <w:rPr>
          <w:b/>
          <w:bCs/>
        </w:rPr>
        <w:t xml:space="preserve">the </w:t>
      </w:r>
      <w:r w:rsidR="007C77E5" w:rsidRPr="0095127D">
        <w:rPr>
          <w:b/>
          <w:bCs/>
        </w:rPr>
        <w:t xml:space="preserve">market, </w:t>
      </w:r>
      <w:r w:rsidR="00F20DDE">
        <w:rPr>
          <w:b/>
          <w:bCs/>
        </w:rPr>
        <w:t>but with the current knowledge the</w:t>
      </w:r>
      <w:r w:rsidR="007C77E5" w:rsidRPr="0095127D">
        <w:rPr>
          <w:b/>
          <w:bCs/>
        </w:rPr>
        <w:t xml:space="preserve"> investment cost</w:t>
      </w:r>
      <w:r w:rsidR="00F20DDE">
        <w:rPr>
          <w:b/>
          <w:bCs/>
        </w:rPr>
        <w:t xml:space="preserve"> and the future cost curve</w:t>
      </w:r>
      <w:r w:rsidR="007C77E5" w:rsidRPr="0095127D">
        <w:rPr>
          <w:b/>
          <w:bCs/>
        </w:rPr>
        <w:t xml:space="preserve"> </w:t>
      </w:r>
      <w:r w:rsidR="00F20DDE">
        <w:rPr>
          <w:b/>
          <w:bCs/>
        </w:rPr>
        <w:t>for the new versions</w:t>
      </w:r>
      <w:r w:rsidR="007C77E5" w:rsidRPr="0095127D">
        <w:rPr>
          <w:b/>
          <w:bCs/>
        </w:rPr>
        <w:t xml:space="preserve"> </w:t>
      </w:r>
      <w:r w:rsidR="00F20DDE">
        <w:rPr>
          <w:b/>
          <w:bCs/>
        </w:rPr>
        <w:t>are</w:t>
      </w:r>
      <w:r w:rsidR="007C77E5" w:rsidRPr="0095127D">
        <w:rPr>
          <w:b/>
          <w:bCs/>
        </w:rPr>
        <w:t xml:space="preserve"> unknown.</w:t>
      </w:r>
    </w:p>
    <w:p w14:paraId="534D7B64" w14:textId="20F27781" w:rsidR="008414A8" w:rsidRDefault="00787AA3" w:rsidP="00787AA3">
      <w:pPr>
        <w:pStyle w:val="Bijschrift"/>
      </w:pPr>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3</w:t>
      </w:r>
      <w:r w:rsidR="006D12F8">
        <w:rPr>
          <w:noProof/>
        </w:rPr>
        <w:fldChar w:fldCharType="end"/>
      </w:r>
      <w:r>
        <w:t xml:space="preserve">. </w:t>
      </w:r>
      <w:r w:rsidR="008D5991">
        <w:t>Biogas</w:t>
      </w:r>
      <w:r w:rsidR="00874659">
        <w:t>/b</w:t>
      </w:r>
      <w:r w:rsidR="008D5991">
        <w:t xml:space="preserve">iomethane plant investment </w:t>
      </w:r>
      <w:r w:rsidR="00874659">
        <w:t xml:space="preserve">and operational </w:t>
      </w:r>
      <w:r w:rsidR="00E801D4">
        <w:t>costs</w:t>
      </w:r>
    </w:p>
    <w:tbl>
      <w:tblPr>
        <w:tblStyle w:val="Table1"/>
        <w:tblW w:w="0" w:type="auto"/>
        <w:tblInd w:w="562" w:type="dxa"/>
        <w:tblLook w:val="04A0" w:firstRow="1" w:lastRow="0" w:firstColumn="1" w:lastColumn="0" w:noHBand="0" w:noVBand="1"/>
      </w:tblPr>
      <w:tblGrid>
        <w:gridCol w:w="4435"/>
        <w:gridCol w:w="1715"/>
        <w:gridCol w:w="2304"/>
      </w:tblGrid>
      <w:tr w:rsidR="0091273F" w14:paraId="7C58BDE6" w14:textId="77777777" w:rsidTr="00C74E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35" w:type="dxa"/>
          </w:tcPr>
          <w:p w14:paraId="320E3240" w14:textId="19433523" w:rsidR="0091273F" w:rsidRPr="000237AE" w:rsidRDefault="0091273F" w:rsidP="0046221B">
            <w:pPr>
              <w:rPr>
                <w:rFonts w:ascii="Trebuchet MS" w:hAnsi="Trebuchet MS"/>
                <w:b w:val="0"/>
                <w:bCs/>
                <w:vertAlign w:val="superscript"/>
              </w:rPr>
            </w:pPr>
            <w:r w:rsidRPr="000237AE">
              <w:rPr>
                <w:rFonts w:ascii="Trebuchet MS" w:hAnsi="Trebuchet MS"/>
                <w:b w:val="0"/>
                <w:bCs/>
              </w:rPr>
              <w:t>Biogas/</w:t>
            </w:r>
            <w:r w:rsidR="00EC1338" w:rsidRPr="000237AE">
              <w:rPr>
                <w:rFonts w:ascii="Trebuchet MS" w:hAnsi="Trebuchet MS"/>
                <w:b w:val="0"/>
                <w:bCs/>
              </w:rPr>
              <w:t>b</w:t>
            </w:r>
            <w:r w:rsidRPr="000237AE">
              <w:rPr>
                <w:rFonts w:ascii="Trebuchet MS" w:hAnsi="Trebuchet MS"/>
                <w:b w:val="0"/>
                <w:bCs/>
              </w:rPr>
              <w:t>iomethane</w:t>
            </w:r>
            <w:r w:rsidRPr="000237AE">
              <w:rPr>
                <w:rFonts w:ascii="Trebuchet MS" w:hAnsi="Trebuchet MS"/>
                <w:b w:val="0"/>
                <w:bCs/>
                <w:vertAlign w:val="superscript"/>
              </w:rPr>
              <w:t>*</w:t>
            </w:r>
          </w:p>
        </w:tc>
        <w:tc>
          <w:tcPr>
            <w:tcW w:w="1715" w:type="dxa"/>
          </w:tcPr>
          <w:p w14:paraId="65AA7DA4" w14:textId="77777777" w:rsidR="0091273F" w:rsidRPr="000237AE" w:rsidRDefault="0091273F" w:rsidP="0046221B">
            <w:pPr>
              <w:cnfStyle w:val="100000000000" w:firstRow="1" w:lastRow="0" w:firstColumn="0" w:lastColumn="0" w:oddVBand="0" w:evenVBand="0" w:oddHBand="0" w:evenHBand="0" w:firstRowFirstColumn="0" w:firstRowLastColumn="0" w:lastRowFirstColumn="0" w:lastRowLastColumn="0"/>
              <w:rPr>
                <w:rFonts w:ascii="Trebuchet MS" w:hAnsi="Trebuchet MS"/>
                <w:b w:val="0"/>
                <w:bCs/>
              </w:rPr>
            </w:pPr>
            <w:r w:rsidRPr="000237AE">
              <w:rPr>
                <w:rFonts w:ascii="Trebuchet MS" w:hAnsi="Trebuchet MS"/>
                <w:b w:val="0"/>
                <w:bCs/>
              </w:rPr>
              <w:t>CAPEX [€/kW]</w:t>
            </w:r>
          </w:p>
        </w:tc>
        <w:tc>
          <w:tcPr>
            <w:tcW w:w="2304" w:type="dxa"/>
          </w:tcPr>
          <w:p w14:paraId="58A2E5DA" w14:textId="77777777" w:rsidR="0091273F" w:rsidRPr="000237AE" w:rsidRDefault="0091273F" w:rsidP="0046221B">
            <w:pPr>
              <w:jc w:val="left"/>
              <w:cnfStyle w:val="100000000000" w:firstRow="1" w:lastRow="0" w:firstColumn="0" w:lastColumn="0" w:oddVBand="0" w:evenVBand="0" w:oddHBand="0" w:evenHBand="0" w:firstRowFirstColumn="0" w:firstRowLastColumn="0" w:lastRowFirstColumn="0" w:lastRowLastColumn="0"/>
              <w:rPr>
                <w:rFonts w:ascii="Trebuchet MS" w:hAnsi="Trebuchet MS"/>
                <w:b w:val="0"/>
                <w:bCs/>
              </w:rPr>
            </w:pPr>
            <w:r w:rsidRPr="000237AE">
              <w:rPr>
                <w:rFonts w:ascii="Trebuchet MS" w:hAnsi="Trebuchet MS"/>
                <w:b w:val="0"/>
                <w:bCs/>
              </w:rPr>
              <w:t>OPEX [% of CAPEX/y]</w:t>
            </w:r>
          </w:p>
        </w:tc>
      </w:tr>
      <w:tr w:rsidR="0091273F" w14:paraId="19E02A8E" w14:textId="77777777" w:rsidTr="00C74E95">
        <w:tc>
          <w:tcPr>
            <w:cnfStyle w:val="001000000000" w:firstRow="0" w:lastRow="0" w:firstColumn="1" w:lastColumn="0" w:oddVBand="0" w:evenVBand="0" w:oddHBand="0" w:evenHBand="0" w:firstRowFirstColumn="0" w:firstRowLastColumn="0" w:lastRowFirstColumn="0" w:lastRowLastColumn="0"/>
            <w:tcW w:w="4435" w:type="dxa"/>
          </w:tcPr>
          <w:p w14:paraId="737A1B5C" w14:textId="77777777" w:rsidR="0091273F" w:rsidRDefault="0091273F" w:rsidP="00716208">
            <w:pPr>
              <w:spacing w:before="40" w:afterLines="30" w:after="72" w:line="0" w:lineRule="atLeast"/>
              <w:rPr>
                <w:b/>
                <w:bCs/>
              </w:rPr>
            </w:pPr>
            <w:r>
              <w:rPr>
                <w:b/>
                <w:bCs/>
              </w:rPr>
              <w:t xml:space="preserve">Biogas plant (Anaerobic Digester) </w:t>
            </w:r>
          </w:p>
        </w:tc>
        <w:tc>
          <w:tcPr>
            <w:tcW w:w="1715" w:type="dxa"/>
          </w:tcPr>
          <w:p w14:paraId="2E788D89" w14:textId="77777777" w:rsidR="0091273F" w:rsidRPr="00B91041" w:rsidRDefault="0091273F" w:rsidP="00716208">
            <w:pPr>
              <w:spacing w:before="40" w:afterLines="30" w:after="72" w:line="0" w:lineRule="atLeast"/>
              <w:cnfStyle w:val="000000000000" w:firstRow="0" w:lastRow="0" w:firstColumn="0" w:lastColumn="0" w:oddVBand="0" w:evenVBand="0" w:oddHBand="0" w:evenHBand="0" w:firstRowFirstColumn="0" w:firstRowLastColumn="0" w:lastRowFirstColumn="0" w:lastRowLastColumn="0"/>
            </w:pPr>
            <w:r>
              <w:t>170</w:t>
            </w:r>
          </w:p>
        </w:tc>
        <w:tc>
          <w:tcPr>
            <w:tcW w:w="2304" w:type="dxa"/>
            <w:vMerge w:val="restart"/>
          </w:tcPr>
          <w:p w14:paraId="61DA9703" w14:textId="77777777" w:rsidR="0091273F" w:rsidRPr="00557EBE" w:rsidRDefault="0091273F" w:rsidP="00716208">
            <w:pPr>
              <w:spacing w:afterLines="30" w:after="72"/>
              <w:ind w:left="0"/>
              <w:cnfStyle w:val="000000000000" w:firstRow="0" w:lastRow="0" w:firstColumn="0" w:lastColumn="0" w:oddVBand="0" w:evenVBand="0" w:oddHBand="0" w:evenHBand="0" w:firstRowFirstColumn="0" w:firstRowLastColumn="0" w:lastRowFirstColumn="0" w:lastRowLastColumn="0"/>
            </w:pPr>
            <w:r w:rsidRPr="00557EBE">
              <w:t>4 %</w:t>
            </w:r>
          </w:p>
        </w:tc>
      </w:tr>
      <w:tr w:rsidR="0091273F" w14:paraId="1D231BEB" w14:textId="77777777" w:rsidTr="00C74E95">
        <w:tc>
          <w:tcPr>
            <w:cnfStyle w:val="001000000000" w:firstRow="0" w:lastRow="0" w:firstColumn="1" w:lastColumn="0" w:oddVBand="0" w:evenVBand="0" w:oddHBand="0" w:evenHBand="0" w:firstRowFirstColumn="0" w:firstRowLastColumn="0" w:lastRowFirstColumn="0" w:lastRowLastColumn="0"/>
            <w:tcW w:w="4435" w:type="dxa"/>
          </w:tcPr>
          <w:p w14:paraId="47CD429B" w14:textId="77777777" w:rsidR="0091273F" w:rsidRDefault="0091273F" w:rsidP="00716208">
            <w:pPr>
              <w:spacing w:before="40" w:afterLines="30" w:after="72" w:line="0" w:lineRule="atLeast"/>
              <w:rPr>
                <w:b/>
                <w:bCs/>
              </w:rPr>
            </w:pPr>
            <w:r w:rsidRPr="00171407">
              <w:rPr>
                <w:b/>
                <w:bCs/>
              </w:rPr>
              <w:t>Biogas upgradation (</w:t>
            </w:r>
            <w:r w:rsidRPr="009A63B6">
              <w:rPr>
                <w:b/>
                <w:bCs/>
              </w:rPr>
              <w:t>Pressurised water scrubber</w:t>
            </w:r>
            <w:r w:rsidRPr="00171407">
              <w:rPr>
                <w:b/>
                <w:bCs/>
              </w:rPr>
              <w:t>)</w:t>
            </w:r>
          </w:p>
        </w:tc>
        <w:tc>
          <w:tcPr>
            <w:tcW w:w="1715" w:type="dxa"/>
          </w:tcPr>
          <w:p w14:paraId="288116EA" w14:textId="77777777" w:rsidR="0091273F" w:rsidRPr="00B91041" w:rsidRDefault="0091273F" w:rsidP="00716208">
            <w:pPr>
              <w:spacing w:before="40" w:afterLines="30" w:after="72" w:line="0" w:lineRule="atLeast"/>
              <w:cnfStyle w:val="000000000000" w:firstRow="0" w:lastRow="0" w:firstColumn="0" w:lastColumn="0" w:oddVBand="0" w:evenVBand="0" w:oddHBand="0" w:evenHBand="0" w:firstRowFirstColumn="0" w:firstRowLastColumn="0" w:lastRowFirstColumn="0" w:lastRowLastColumn="0"/>
            </w:pPr>
            <w:r>
              <w:t>113</w:t>
            </w:r>
          </w:p>
        </w:tc>
        <w:tc>
          <w:tcPr>
            <w:tcW w:w="2304" w:type="dxa"/>
            <w:vMerge/>
          </w:tcPr>
          <w:p w14:paraId="7B58EA58" w14:textId="77777777" w:rsidR="0091273F" w:rsidRPr="00B91041" w:rsidRDefault="0091273F" w:rsidP="00716208">
            <w:pPr>
              <w:spacing w:afterLines="30" w:after="72"/>
              <w:cnfStyle w:val="000000000000" w:firstRow="0" w:lastRow="0" w:firstColumn="0" w:lastColumn="0" w:oddVBand="0" w:evenVBand="0" w:oddHBand="0" w:evenHBand="0" w:firstRowFirstColumn="0" w:firstRowLastColumn="0" w:lastRowFirstColumn="0" w:lastRowLastColumn="0"/>
            </w:pPr>
          </w:p>
        </w:tc>
      </w:tr>
      <w:tr w:rsidR="0091273F" w14:paraId="64BEBC6E" w14:textId="77777777" w:rsidTr="00C74E95">
        <w:tc>
          <w:tcPr>
            <w:cnfStyle w:val="001000000000" w:firstRow="0" w:lastRow="0" w:firstColumn="1" w:lastColumn="0" w:oddVBand="0" w:evenVBand="0" w:oddHBand="0" w:evenHBand="0" w:firstRowFirstColumn="0" w:firstRowLastColumn="0" w:lastRowFirstColumn="0" w:lastRowLastColumn="0"/>
            <w:tcW w:w="4435" w:type="dxa"/>
          </w:tcPr>
          <w:p w14:paraId="66F2DA37" w14:textId="77777777" w:rsidR="0091273F" w:rsidRDefault="0091273F" w:rsidP="00716208">
            <w:pPr>
              <w:spacing w:before="40" w:afterLines="30" w:after="72" w:line="0" w:lineRule="atLeast"/>
              <w:rPr>
                <w:b/>
                <w:bCs/>
              </w:rPr>
            </w:pPr>
            <w:r>
              <w:rPr>
                <w:b/>
                <w:bCs/>
              </w:rPr>
              <w:t>Biogas upgradation (pressure swing adsorption)</w:t>
            </w:r>
          </w:p>
        </w:tc>
        <w:tc>
          <w:tcPr>
            <w:tcW w:w="1715" w:type="dxa"/>
          </w:tcPr>
          <w:p w14:paraId="0DAA53A3" w14:textId="77777777" w:rsidR="0091273F" w:rsidRPr="00B91041" w:rsidRDefault="0091273F" w:rsidP="00716208">
            <w:pPr>
              <w:spacing w:before="40" w:afterLines="30" w:after="72" w:line="0" w:lineRule="atLeast"/>
              <w:cnfStyle w:val="000000000000" w:firstRow="0" w:lastRow="0" w:firstColumn="0" w:lastColumn="0" w:oddVBand="0" w:evenVBand="0" w:oddHBand="0" w:evenHBand="0" w:firstRowFirstColumn="0" w:firstRowLastColumn="0" w:lastRowFirstColumn="0" w:lastRowLastColumn="0"/>
            </w:pPr>
            <w:r>
              <w:t>127</w:t>
            </w:r>
          </w:p>
        </w:tc>
        <w:tc>
          <w:tcPr>
            <w:tcW w:w="2304" w:type="dxa"/>
            <w:vMerge/>
          </w:tcPr>
          <w:p w14:paraId="5A575E05" w14:textId="77777777" w:rsidR="0091273F" w:rsidRPr="00B91041" w:rsidRDefault="0091273F" w:rsidP="00716208">
            <w:pPr>
              <w:spacing w:afterLines="30" w:after="72"/>
              <w:cnfStyle w:val="000000000000" w:firstRow="0" w:lastRow="0" w:firstColumn="0" w:lastColumn="0" w:oddVBand="0" w:evenVBand="0" w:oddHBand="0" w:evenHBand="0" w:firstRowFirstColumn="0" w:firstRowLastColumn="0" w:lastRowFirstColumn="0" w:lastRowLastColumn="0"/>
            </w:pPr>
          </w:p>
        </w:tc>
      </w:tr>
      <w:tr w:rsidR="0091273F" w14:paraId="0B2731FE" w14:textId="77777777" w:rsidTr="00C74E95">
        <w:tc>
          <w:tcPr>
            <w:cnfStyle w:val="001000000000" w:firstRow="0" w:lastRow="0" w:firstColumn="1" w:lastColumn="0" w:oddVBand="0" w:evenVBand="0" w:oddHBand="0" w:evenHBand="0" w:firstRowFirstColumn="0" w:firstRowLastColumn="0" w:lastRowFirstColumn="0" w:lastRowLastColumn="0"/>
            <w:tcW w:w="4435" w:type="dxa"/>
          </w:tcPr>
          <w:p w14:paraId="044FC745" w14:textId="77777777" w:rsidR="0091273F" w:rsidRDefault="0091273F" w:rsidP="00716208">
            <w:pPr>
              <w:spacing w:before="40" w:afterLines="30" w:after="72" w:line="0" w:lineRule="atLeast"/>
              <w:rPr>
                <w:b/>
                <w:bCs/>
              </w:rPr>
            </w:pPr>
            <w:r w:rsidRPr="00171407">
              <w:rPr>
                <w:b/>
                <w:bCs/>
              </w:rPr>
              <w:t>Biogas upgradation (</w:t>
            </w:r>
            <w:r w:rsidRPr="00923F8C">
              <w:rPr>
                <w:b/>
                <w:bCs/>
              </w:rPr>
              <w:t>membrane separation</w:t>
            </w:r>
            <w:r w:rsidRPr="00171407">
              <w:rPr>
                <w:b/>
                <w:bCs/>
              </w:rPr>
              <w:t>)</w:t>
            </w:r>
          </w:p>
        </w:tc>
        <w:tc>
          <w:tcPr>
            <w:tcW w:w="1715" w:type="dxa"/>
          </w:tcPr>
          <w:p w14:paraId="039C467C" w14:textId="77777777" w:rsidR="0091273F" w:rsidRPr="00B91041" w:rsidRDefault="0091273F" w:rsidP="00716208">
            <w:pPr>
              <w:spacing w:before="40" w:afterLines="30" w:after="72" w:line="0" w:lineRule="atLeast"/>
              <w:cnfStyle w:val="000000000000" w:firstRow="0" w:lastRow="0" w:firstColumn="0" w:lastColumn="0" w:oddVBand="0" w:evenVBand="0" w:oddHBand="0" w:evenHBand="0" w:firstRowFirstColumn="0" w:firstRowLastColumn="0" w:lastRowFirstColumn="0" w:lastRowLastColumn="0"/>
            </w:pPr>
            <w:r>
              <w:t>123</w:t>
            </w:r>
          </w:p>
        </w:tc>
        <w:tc>
          <w:tcPr>
            <w:tcW w:w="2304" w:type="dxa"/>
            <w:vMerge/>
          </w:tcPr>
          <w:p w14:paraId="1D48C12A" w14:textId="77777777" w:rsidR="0091273F" w:rsidRPr="00B91041" w:rsidRDefault="0091273F" w:rsidP="00716208">
            <w:pPr>
              <w:spacing w:afterLines="30" w:after="72"/>
              <w:cnfStyle w:val="000000000000" w:firstRow="0" w:lastRow="0" w:firstColumn="0" w:lastColumn="0" w:oddVBand="0" w:evenVBand="0" w:oddHBand="0" w:evenHBand="0" w:firstRowFirstColumn="0" w:firstRowLastColumn="0" w:lastRowFirstColumn="0" w:lastRowLastColumn="0"/>
            </w:pPr>
          </w:p>
        </w:tc>
      </w:tr>
      <w:tr w:rsidR="0091273F" w14:paraId="1D8A3385" w14:textId="77777777" w:rsidTr="00C74E95">
        <w:tc>
          <w:tcPr>
            <w:cnfStyle w:val="001000000000" w:firstRow="0" w:lastRow="0" w:firstColumn="1" w:lastColumn="0" w:oddVBand="0" w:evenVBand="0" w:oddHBand="0" w:evenHBand="0" w:firstRowFirstColumn="0" w:firstRowLastColumn="0" w:lastRowFirstColumn="0" w:lastRowLastColumn="0"/>
            <w:tcW w:w="4435" w:type="dxa"/>
          </w:tcPr>
          <w:p w14:paraId="79B5868E" w14:textId="77777777" w:rsidR="0091273F" w:rsidRDefault="0091273F" w:rsidP="00716208">
            <w:pPr>
              <w:spacing w:before="40" w:afterLines="30" w:after="72" w:line="0" w:lineRule="atLeast"/>
              <w:rPr>
                <w:b/>
                <w:bCs/>
              </w:rPr>
            </w:pPr>
            <w:r w:rsidRPr="00923F8C">
              <w:rPr>
                <w:b/>
                <w:bCs/>
              </w:rPr>
              <w:t>Biogas upgradation (</w:t>
            </w:r>
            <w:r w:rsidRPr="00DD7ED5">
              <w:rPr>
                <w:b/>
                <w:bCs/>
              </w:rPr>
              <w:t>Amine scrubber</w:t>
            </w:r>
            <w:r w:rsidRPr="00923F8C">
              <w:rPr>
                <w:b/>
                <w:bCs/>
              </w:rPr>
              <w:t>)</w:t>
            </w:r>
          </w:p>
        </w:tc>
        <w:tc>
          <w:tcPr>
            <w:tcW w:w="1715" w:type="dxa"/>
          </w:tcPr>
          <w:p w14:paraId="43F7F903" w14:textId="77777777" w:rsidR="0091273F" w:rsidRPr="00B91041" w:rsidRDefault="0091273F" w:rsidP="00716208">
            <w:pPr>
              <w:spacing w:before="40" w:afterLines="30" w:after="72" w:line="0" w:lineRule="atLeast"/>
              <w:cnfStyle w:val="000000000000" w:firstRow="0" w:lastRow="0" w:firstColumn="0" w:lastColumn="0" w:oddVBand="0" w:evenVBand="0" w:oddHBand="0" w:evenHBand="0" w:firstRowFirstColumn="0" w:firstRowLastColumn="0" w:lastRowFirstColumn="0" w:lastRowLastColumn="0"/>
            </w:pPr>
            <w:r>
              <w:t>128</w:t>
            </w:r>
          </w:p>
        </w:tc>
        <w:tc>
          <w:tcPr>
            <w:tcW w:w="2304" w:type="dxa"/>
            <w:vMerge/>
          </w:tcPr>
          <w:p w14:paraId="1B18B2A5" w14:textId="77777777" w:rsidR="0091273F" w:rsidRPr="00B91041" w:rsidRDefault="0091273F" w:rsidP="00716208">
            <w:pPr>
              <w:spacing w:afterLines="30" w:after="72"/>
              <w:cnfStyle w:val="000000000000" w:firstRow="0" w:lastRow="0" w:firstColumn="0" w:lastColumn="0" w:oddVBand="0" w:evenVBand="0" w:oddHBand="0" w:evenHBand="0" w:firstRowFirstColumn="0" w:firstRowLastColumn="0" w:lastRowFirstColumn="0" w:lastRowLastColumn="0"/>
            </w:pPr>
          </w:p>
        </w:tc>
      </w:tr>
    </w:tbl>
    <w:p w14:paraId="6A15C26D" w14:textId="1622F72E" w:rsidR="007C6C45" w:rsidRPr="00B55D22" w:rsidRDefault="007C6C45" w:rsidP="00C74E95">
      <w:pPr>
        <w:spacing w:before="60" w:line="0" w:lineRule="atLeast"/>
        <w:rPr>
          <w:sz w:val="14"/>
          <w:szCs w:val="14"/>
        </w:rPr>
      </w:pPr>
      <w:r w:rsidRPr="00B55D22">
        <w:rPr>
          <w:b/>
          <w:bCs/>
          <w:sz w:val="14"/>
          <w:szCs w:val="14"/>
        </w:rPr>
        <w:t>*</w:t>
      </w:r>
      <w:r w:rsidRPr="00B55D22">
        <w:rPr>
          <w:sz w:val="14"/>
          <w:szCs w:val="14"/>
        </w:rPr>
        <w:t>Biogas upgradation: CO</w:t>
      </w:r>
      <w:r w:rsidRPr="00B55D22">
        <w:rPr>
          <w:sz w:val="14"/>
          <w:szCs w:val="14"/>
          <w:vertAlign w:val="subscript"/>
        </w:rPr>
        <w:t>2</w:t>
      </w:r>
      <w:r w:rsidRPr="00B55D22">
        <w:rPr>
          <w:sz w:val="14"/>
          <w:szCs w:val="14"/>
        </w:rPr>
        <w:t xml:space="preserve"> &amp; other impurities removal from the biogas to convert i</w:t>
      </w:r>
      <w:r w:rsidR="003D3130">
        <w:rPr>
          <w:sz w:val="14"/>
          <w:szCs w:val="14"/>
        </w:rPr>
        <w:t>t</w:t>
      </w:r>
      <w:r w:rsidRPr="00B55D22">
        <w:rPr>
          <w:sz w:val="14"/>
          <w:szCs w:val="14"/>
        </w:rPr>
        <w:t xml:space="preserve"> to biomethane, Source: BIOSURF 2016</w:t>
      </w:r>
      <w:r w:rsidRPr="00B55D22">
        <w:rPr>
          <w:rStyle w:val="Voetnootmarkering"/>
          <w:sz w:val="14"/>
          <w:szCs w:val="14"/>
        </w:rPr>
        <w:footnoteReference w:id="63"/>
      </w:r>
    </w:p>
    <w:p w14:paraId="389D9719" w14:textId="2346F578" w:rsidR="00346D16" w:rsidRPr="007C51D2" w:rsidRDefault="00346D16" w:rsidP="00B86D14">
      <w:pPr>
        <w:pStyle w:val="Kop5"/>
        <w:spacing w:before="120"/>
        <w:rPr>
          <w:b w:val="0"/>
        </w:rPr>
      </w:pPr>
      <w:r w:rsidRPr="007C51D2">
        <w:t xml:space="preserve">Synthetic </w:t>
      </w:r>
      <w:r w:rsidR="00132BCB">
        <w:t>methane</w:t>
      </w:r>
      <w:r w:rsidRPr="007C51D2">
        <w:t xml:space="preserve"> </w:t>
      </w:r>
    </w:p>
    <w:p w14:paraId="10BA70DA" w14:textId="5AE22858" w:rsidR="00346D16" w:rsidRDefault="00346D16" w:rsidP="00AA15C2">
      <w:pPr>
        <w:ind w:left="540"/>
        <w:jc w:val="both"/>
      </w:pPr>
      <w:r w:rsidRPr="000E3C1B">
        <w:t xml:space="preserve">Synthetic </w:t>
      </w:r>
      <w:r w:rsidR="00132BCB">
        <w:t>methane</w:t>
      </w:r>
      <w:r w:rsidRPr="000E3C1B">
        <w:t xml:space="preserve"> production from hydrogen is an advanced technology but still in the demonst</w:t>
      </w:r>
      <w:r>
        <w:t>r</w:t>
      </w:r>
      <w:r w:rsidRPr="000E3C1B">
        <w:t>ation</w:t>
      </w:r>
      <w:r>
        <w:t xml:space="preserve"> </w:t>
      </w:r>
      <w:r w:rsidRPr="000E3C1B">
        <w:t xml:space="preserve">phase. As a gas, </w:t>
      </w:r>
      <w:r w:rsidR="00343909">
        <w:t xml:space="preserve">synthetic methane </w:t>
      </w:r>
      <w:r w:rsidRPr="000E3C1B">
        <w:t>can be further processed into liquefied methane, for</w:t>
      </w:r>
      <w:r w:rsidR="003D3130">
        <w:t xml:space="preserve"> </w:t>
      </w:r>
      <w:r w:rsidRPr="000E3C1B">
        <w:t xml:space="preserve">transport via </w:t>
      </w:r>
      <w:r w:rsidR="00F20DDE">
        <w:t>trucks</w:t>
      </w:r>
      <w:r w:rsidRPr="000E3C1B">
        <w:t xml:space="preserve">, or it can be fed in </w:t>
      </w:r>
      <w:r w:rsidR="003D3130">
        <w:t xml:space="preserve">into </w:t>
      </w:r>
      <w:r w:rsidRPr="000E3C1B">
        <w:t xml:space="preserve">the natural gas grid to substitute grey methane. It can </w:t>
      </w:r>
      <w:r w:rsidR="00B657FE">
        <w:t xml:space="preserve">also </w:t>
      </w:r>
      <w:r w:rsidRPr="000E3C1B">
        <w:t xml:space="preserve">be used as fuel </w:t>
      </w:r>
      <w:r w:rsidR="00343909">
        <w:t>(e.g</w:t>
      </w:r>
      <w:r w:rsidR="00AE1762">
        <w:t>.,</w:t>
      </w:r>
      <w:r w:rsidR="00343909">
        <w:t xml:space="preserve"> for transport purposes) </w:t>
      </w:r>
      <w:r w:rsidRPr="000E3C1B">
        <w:t xml:space="preserve">or in </w:t>
      </w:r>
      <w:r w:rsidR="00B657FE">
        <w:t xml:space="preserve">the </w:t>
      </w:r>
      <w:r w:rsidRPr="000E3C1B">
        <w:t>production industry as feedstock.</w:t>
      </w:r>
      <w:r>
        <w:t xml:space="preserve"> </w:t>
      </w:r>
      <w:r w:rsidRPr="00FA51C9">
        <w:t xml:space="preserve">The methanation technology (transforming H2 into CH4) is available but not </w:t>
      </w:r>
      <w:r w:rsidR="00874659">
        <w:t xml:space="preserve">yet </w:t>
      </w:r>
      <w:r w:rsidRPr="00FA51C9">
        <w:t>proven for large scale application</w:t>
      </w:r>
      <w:r w:rsidR="00874659">
        <w:t>s</w:t>
      </w:r>
      <w:r w:rsidRPr="00FA51C9">
        <w:t xml:space="preserve">. </w:t>
      </w:r>
      <w:r w:rsidR="00874659">
        <w:t>Although the technology</w:t>
      </w:r>
      <w:r w:rsidRPr="00FA51C9">
        <w:t xml:space="preserve"> is still in </w:t>
      </w:r>
      <w:r w:rsidR="00B657FE">
        <w:t xml:space="preserve">the </w:t>
      </w:r>
      <w:r w:rsidRPr="00FA51C9">
        <w:t>demonstration phase</w:t>
      </w:r>
      <w:r w:rsidR="00874659">
        <w:t xml:space="preserve">, </w:t>
      </w:r>
      <w:r w:rsidR="0012405D">
        <w:t>a</w:t>
      </w:r>
      <w:r w:rsidRPr="00FA51C9">
        <w:t xml:space="preserve"> fixed-bed reactor </w:t>
      </w:r>
      <w:r w:rsidR="00874659">
        <w:t>has a high readiness level of</w:t>
      </w:r>
      <w:r w:rsidRPr="00FA51C9">
        <w:t xml:space="preserve"> </w:t>
      </w:r>
      <w:r w:rsidRPr="00B3443D">
        <w:rPr>
          <w:b/>
        </w:rPr>
        <w:t>TRL 8/9</w:t>
      </w:r>
      <w:bookmarkStart w:id="111" w:name="_Ref103379231"/>
      <w:r w:rsidR="00DA5093" w:rsidRPr="007E07D2">
        <w:rPr>
          <w:rStyle w:val="Voetnootmarkering"/>
        </w:rPr>
        <w:footnoteReference w:id="64"/>
      </w:r>
      <w:bookmarkEnd w:id="111"/>
      <w:r w:rsidR="00DC7E99" w:rsidRPr="007E07D2">
        <w:rPr>
          <w:vertAlign w:val="superscript"/>
        </w:rPr>
        <w:t>,</w:t>
      </w:r>
      <w:bookmarkStart w:id="112" w:name="_Ref108177303"/>
      <w:r w:rsidR="00DC7E99" w:rsidRPr="007E07D2">
        <w:rPr>
          <w:rStyle w:val="Voetnootmarkering"/>
        </w:rPr>
        <w:footnoteReference w:id="65"/>
      </w:r>
      <w:bookmarkEnd w:id="112"/>
      <w:r>
        <w:t>. The following process assumptions are considered:</w:t>
      </w:r>
    </w:p>
    <w:p w14:paraId="5B881BB5" w14:textId="77777777" w:rsidR="00346D16" w:rsidRDefault="00346D16" w:rsidP="0095127D">
      <w:pPr>
        <w:pStyle w:val="Lijstalinea"/>
        <w:numPr>
          <w:ilvl w:val="0"/>
          <w:numId w:val="12"/>
        </w:numPr>
        <w:spacing w:after="60"/>
        <w:contextualSpacing w:val="0"/>
        <w:jc w:val="both"/>
      </w:pPr>
      <w:r>
        <w:t>Methanation efficiency: 77% – 80%</w:t>
      </w:r>
    </w:p>
    <w:p w14:paraId="0F9BD7A8" w14:textId="77777777" w:rsidR="00346D16" w:rsidRDefault="00346D16" w:rsidP="0095127D">
      <w:pPr>
        <w:pStyle w:val="Lijstalinea"/>
        <w:widowControl w:val="0"/>
        <w:numPr>
          <w:ilvl w:val="0"/>
          <w:numId w:val="12"/>
        </w:numPr>
        <w:tabs>
          <w:tab w:val="clear" w:pos="851"/>
          <w:tab w:val="left" w:pos="1712"/>
        </w:tabs>
        <w:autoSpaceDE w:val="0"/>
        <w:autoSpaceDN w:val="0"/>
        <w:spacing w:line="240" w:lineRule="auto"/>
        <w:ind w:right="363"/>
        <w:contextualSpacing w:val="0"/>
        <w:jc w:val="both"/>
      </w:pPr>
      <w:r>
        <w:t>CO</w:t>
      </w:r>
      <w:r w:rsidRPr="007A3980">
        <w:rPr>
          <w:vertAlign w:val="subscript"/>
        </w:rPr>
        <w:t>2</w:t>
      </w:r>
      <w:r>
        <w:t xml:space="preserve"> demand for methanation: 2.8 kg CO</w:t>
      </w:r>
      <w:r w:rsidRPr="007A3980">
        <w:rPr>
          <w:vertAlign w:val="subscript"/>
        </w:rPr>
        <w:t>2</w:t>
      </w:r>
      <w:r>
        <w:t>/kg methane</w:t>
      </w:r>
    </w:p>
    <w:p w14:paraId="13BA5A45" w14:textId="68CCA154" w:rsidR="00601E10" w:rsidRDefault="00601E10" w:rsidP="00AA15C2">
      <w:pPr>
        <w:spacing w:after="120"/>
        <w:ind w:left="540"/>
        <w:jc w:val="both"/>
      </w:pPr>
      <w:r>
        <w:t>Methanation plant investment</w:t>
      </w:r>
      <w:r w:rsidR="00343909">
        <w:t xml:space="preserve"> and operational costs </w:t>
      </w:r>
      <w:r>
        <w:t>are presented in</w:t>
      </w:r>
      <w:r w:rsidR="00891F5C">
        <w:t xml:space="preserve"> </w:t>
      </w:r>
      <w:r w:rsidR="00891F5C">
        <w:fldChar w:fldCharType="begin"/>
      </w:r>
      <w:r w:rsidR="00891F5C">
        <w:instrText xml:space="preserve"> REF _Ref108179146 \h </w:instrText>
      </w:r>
      <w:r w:rsidR="00891F5C">
        <w:fldChar w:fldCharType="separate"/>
      </w:r>
      <w:r w:rsidR="00265258">
        <w:t xml:space="preserve">Table </w:t>
      </w:r>
      <w:r w:rsidR="00265258">
        <w:rPr>
          <w:noProof/>
        </w:rPr>
        <w:t>6</w:t>
      </w:r>
      <w:r w:rsidR="00265258">
        <w:noBreakHyphen/>
      </w:r>
      <w:r w:rsidR="00265258">
        <w:rPr>
          <w:noProof/>
        </w:rPr>
        <w:t>4</w:t>
      </w:r>
      <w:r w:rsidR="00891F5C">
        <w:fldChar w:fldCharType="end"/>
      </w:r>
      <w:r>
        <w:t xml:space="preserve">.  </w:t>
      </w:r>
    </w:p>
    <w:p w14:paraId="1B6D3C23" w14:textId="7A5A2456" w:rsidR="009910E8" w:rsidRPr="00601E10" w:rsidRDefault="009910E8" w:rsidP="002138FC">
      <w:pPr>
        <w:pStyle w:val="Bijschrift"/>
        <w:spacing w:before="240"/>
        <w:rPr>
          <w:lang w:val="en-US"/>
        </w:rPr>
      </w:pPr>
      <w:bookmarkStart w:id="113" w:name="_Ref108179146"/>
      <w:r>
        <w:t xml:space="preserve">Table </w:t>
      </w:r>
      <w:r w:rsidR="006D12F8">
        <w:fldChar w:fldCharType="begin"/>
      </w:r>
      <w:r w:rsidR="006D12F8">
        <w:instrText xml:space="preserve"> STYLE</w:instrText>
      </w:r>
      <w:r w:rsidR="006D12F8">
        <w:instrText xml:space="preserv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4</w:t>
      </w:r>
      <w:r w:rsidR="006D12F8">
        <w:rPr>
          <w:noProof/>
        </w:rPr>
        <w:fldChar w:fldCharType="end"/>
      </w:r>
      <w:bookmarkEnd w:id="113"/>
      <w:r>
        <w:t xml:space="preserve">. </w:t>
      </w:r>
      <w:r w:rsidR="00B2458D">
        <w:t xml:space="preserve">SNG plant Investment </w:t>
      </w:r>
      <w:r w:rsidR="00343909">
        <w:t>and operational c</w:t>
      </w:r>
      <w:r w:rsidR="00B2458D">
        <w:t xml:space="preserve">osts </w:t>
      </w:r>
    </w:p>
    <w:tbl>
      <w:tblPr>
        <w:tblStyle w:val="Table1"/>
        <w:tblW w:w="0" w:type="auto"/>
        <w:tblInd w:w="562" w:type="dxa"/>
        <w:tblLook w:val="04A0" w:firstRow="1" w:lastRow="0" w:firstColumn="1" w:lastColumn="0" w:noHBand="0" w:noVBand="1"/>
      </w:tblPr>
      <w:tblGrid>
        <w:gridCol w:w="2648"/>
        <w:gridCol w:w="1917"/>
        <w:gridCol w:w="1829"/>
        <w:gridCol w:w="2060"/>
      </w:tblGrid>
      <w:tr w:rsidR="009910E8" w14:paraId="6ED4B264" w14:textId="77777777" w:rsidTr="00C74E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8" w:type="dxa"/>
          </w:tcPr>
          <w:p w14:paraId="0E03EB78" w14:textId="77777777" w:rsidR="009910E8" w:rsidRPr="001C20D8" w:rsidRDefault="009910E8" w:rsidP="004C5C45">
            <w:pPr>
              <w:jc w:val="center"/>
              <w:rPr>
                <w:rFonts w:ascii="Trebuchet MS" w:hAnsi="Trebuchet MS"/>
                <w:b w:val="0"/>
              </w:rPr>
            </w:pPr>
            <w:r w:rsidRPr="001C20D8">
              <w:rPr>
                <w:rFonts w:ascii="Trebuchet MS" w:hAnsi="Trebuchet MS"/>
                <w:b w:val="0"/>
              </w:rPr>
              <w:t>Methanation (SNG)</w:t>
            </w:r>
          </w:p>
        </w:tc>
        <w:tc>
          <w:tcPr>
            <w:tcW w:w="1917" w:type="dxa"/>
          </w:tcPr>
          <w:p w14:paraId="476D1A0F" w14:textId="77777777" w:rsidR="009910E8" w:rsidRPr="001C20D8" w:rsidRDefault="009910E8" w:rsidP="00AE72BE">
            <w:pP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1C20D8">
              <w:rPr>
                <w:rFonts w:ascii="Trebuchet MS" w:hAnsi="Trebuchet MS"/>
                <w:b w:val="0"/>
              </w:rPr>
              <w:t>Current</w:t>
            </w:r>
          </w:p>
        </w:tc>
        <w:tc>
          <w:tcPr>
            <w:tcW w:w="1829" w:type="dxa"/>
          </w:tcPr>
          <w:p w14:paraId="3F8D8585" w14:textId="77777777" w:rsidR="009910E8" w:rsidRPr="001C20D8" w:rsidRDefault="009910E8" w:rsidP="00AE72BE">
            <w:pP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1C20D8">
              <w:rPr>
                <w:rFonts w:ascii="Trebuchet MS" w:hAnsi="Trebuchet MS"/>
                <w:b w:val="0"/>
              </w:rPr>
              <w:t>2030</w:t>
            </w:r>
          </w:p>
        </w:tc>
        <w:tc>
          <w:tcPr>
            <w:tcW w:w="2060" w:type="dxa"/>
          </w:tcPr>
          <w:p w14:paraId="33481184" w14:textId="2ED632A2" w:rsidR="009910E8" w:rsidRPr="001C20D8" w:rsidRDefault="009910E8" w:rsidP="00AE72BE">
            <w:pPr>
              <w:cnfStyle w:val="100000000000" w:firstRow="1" w:lastRow="0" w:firstColumn="0" w:lastColumn="0" w:oddVBand="0" w:evenVBand="0" w:oddHBand="0" w:evenHBand="0" w:firstRowFirstColumn="0" w:firstRowLastColumn="0" w:lastRowFirstColumn="0" w:lastRowLastColumn="0"/>
              <w:rPr>
                <w:rFonts w:ascii="Trebuchet MS" w:hAnsi="Trebuchet MS"/>
                <w:b w:val="0"/>
              </w:rPr>
            </w:pPr>
            <w:r w:rsidRPr="001C20D8">
              <w:rPr>
                <w:rFonts w:ascii="Trebuchet MS" w:hAnsi="Trebuchet MS"/>
                <w:b w:val="0"/>
              </w:rPr>
              <w:t>2050</w:t>
            </w:r>
          </w:p>
        </w:tc>
      </w:tr>
      <w:tr w:rsidR="009910E8" w14:paraId="1B67075D" w14:textId="77777777" w:rsidTr="00C74E95">
        <w:tc>
          <w:tcPr>
            <w:cnfStyle w:val="001000000000" w:firstRow="0" w:lastRow="0" w:firstColumn="1" w:lastColumn="0" w:oddVBand="0" w:evenVBand="0" w:oddHBand="0" w:evenHBand="0" w:firstRowFirstColumn="0" w:firstRowLastColumn="0" w:lastRowFirstColumn="0" w:lastRowLastColumn="0"/>
            <w:tcW w:w="2648" w:type="dxa"/>
          </w:tcPr>
          <w:p w14:paraId="70CCA46E" w14:textId="77777777" w:rsidR="009910E8" w:rsidRDefault="009910E8" w:rsidP="00716208">
            <w:pPr>
              <w:spacing w:after="60"/>
              <w:rPr>
                <w:b/>
                <w:bCs/>
              </w:rPr>
            </w:pPr>
            <w:r w:rsidRPr="00DF09E7">
              <w:rPr>
                <w:b/>
                <w:bCs/>
              </w:rPr>
              <w:t>CAPEX [€/kW]</w:t>
            </w:r>
          </w:p>
        </w:tc>
        <w:tc>
          <w:tcPr>
            <w:tcW w:w="1917" w:type="dxa"/>
          </w:tcPr>
          <w:p w14:paraId="75CD04C5" w14:textId="77777777" w:rsidR="009910E8" w:rsidRPr="00B91041" w:rsidRDefault="009910E8" w:rsidP="00716208">
            <w:pPr>
              <w:spacing w:after="60"/>
              <w:cnfStyle w:val="000000000000" w:firstRow="0" w:lastRow="0" w:firstColumn="0" w:lastColumn="0" w:oddVBand="0" w:evenVBand="0" w:oddHBand="0" w:evenHBand="0" w:firstRowFirstColumn="0" w:firstRowLastColumn="0" w:lastRowFirstColumn="0" w:lastRowLastColumn="0"/>
            </w:pPr>
            <w:r w:rsidRPr="00B91041">
              <w:t>6</w:t>
            </w:r>
            <w:r>
              <w:t>00</w:t>
            </w:r>
          </w:p>
        </w:tc>
        <w:tc>
          <w:tcPr>
            <w:tcW w:w="1829" w:type="dxa"/>
          </w:tcPr>
          <w:p w14:paraId="553D00A9" w14:textId="77777777" w:rsidR="009910E8" w:rsidRPr="00B91041" w:rsidRDefault="009910E8" w:rsidP="00716208">
            <w:pPr>
              <w:spacing w:after="60"/>
              <w:cnfStyle w:val="000000000000" w:firstRow="0" w:lastRow="0" w:firstColumn="0" w:lastColumn="0" w:oddVBand="0" w:evenVBand="0" w:oddHBand="0" w:evenHBand="0" w:firstRowFirstColumn="0" w:firstRowLastColumn="0" w:lastRowFirstColumn="0" w:lastRowLastColumn="0"/>
            </w:pPr>
            <w:r>
              <w:t>562</w:t>
            </w:r>
          </w:p>
        </w:tc>
        <w:tc>
          <w:tcPr>
            <w:tcW w:w="2060" w:type="dxa"/>
          </w:tcPr>
          <w:p w14:paraId="204F406B" w14:textId="77777777" w:rsidR="009910E8" w:rsidRPr="00B91041" w:rsidRDefault="009910E8" w:rsidP="00716208">
            <w:pPr>
              <w:spacing w:after="60"/>
              <w:cnfStyle w:val="000000000000" w:firstRow="0" w:lastRow="0" w:firstColumn="0" w:lastColumn="0" w:oddVBand="0" w:evenVBand="0" w:oddHBand="0" w:evenHBand="0" w:firstRowFirstColumn="0" w:firstRowLastColumn="0" w:lastRowFirstColumn="0" w:lastRowLastColumn="0"/>
            </w:pPr>
            <w:r>
              <w:t>324</w:t>
            </w:r>
          </w:p>
        </w:tc>
      </w:tr>
      <w:tr w:rsidR="009910E8" w14:paraId="0D3B5AA6" w14:textId="77777777" w:rsidTr="00C74E95">
        <w:tc>
          <w:tcPr>
            <w:cnfStyle w:val="001000000000" w:firstRow="0" w:lastRow="0" w:firstColumn="1" w:lastColumn="0" w:oddVBand="0" w:evenVBand="0" w:oddHBand="0" w:evenHBand="0" w:firstRowFirstColumn="0" w:firstRowLastColumn="0" w:lastRowFirstColumn="0" w:lastRowLastColumn="0"/>
            <w:tcW w:w="2648" w:type="dxa"/>
          </w:tcPr>
          <w:p w14:paraId="5A9240FE" w14:textId="77777777" w:rsidR="009910E8" w:rsidRDefault="009910E8" w:rsidP="00716208">
            <w:pPr>
              <w:spacing w:after="60"/>
              <w:rPr>
                <w:b/>
                <w:bCs/>
              </w:rPr>
            </w:pPr>
            <w:r>
              <w:rPr>
                <w:b/>
                <w:bCs/>
              </w:rPr>
              <w:t>OPEX [% of CAPEX /y]</w:t>
            </w:r>
          </w:p>
        </w:tc>
        <w:tc>
          <w:tcPr>
            <w:tcW w:w="1917" w:type="dxa"/>
          </w:tcPr>
          <w:p w14:paraId="37D431AE" w14:textId="77777777" w:rsidR="009910E8" w:rsidRPr="00B91041" w:rsidRDefault="009910E8" w:rsidP="00716208">
            <w:pPr>
              <w:spacing w:after="60"/>
              <w:cnfStyle w:val="000000000000" w:firstRow="0" w:lastRow="0" w:firstColumn="0" w:lastColumn="0" w:oddVBand="0" w:evenVBand="0" w:oddHBand="0" w:evenHBand="0" w:firstRowFirstColumn="0" w:firstRowLastColumn="0" w:lastRowFirstColumn="0" w:lastRowLastColumn="0"/>
            </w:pPr>
            <w:r>
              <w:t>4%</w:t>
            </w:r>
          </w:p>
        </w:tc>
        <w:tc>
          <w:tcPr>
            <w:tcW w:w="1829" w:type="dxa"/>
          </w:tcPr>
          <w:p w14:paraId="6282BF25" w14:textId="77777777" w:rsidR="009910E8" w:rsidRPr="00B91041" w:rsidRDefault="009910E8" w:rsidP="00716208">
            <w:pPr>
              <w:spacing w:after="60"/>
              <w:cnfStyle w:val="000000000000" w:firstRow="0" w:lastRow="0" w:firstColumn="0" w:lastColumn="0" w:oddVBand="0" w:evenVBand="0" w:oddHBand="0" w:evenHBand="0" w:firstRowFirstColumn="0" w:firstRowLastColumn="0" w:lastRowFirstColumn="0" w:lastRowLastColumn="0"/>
            </w:pPr>
            <w:r>
              <w:t>4%</w:t>
            </w:r>
          </w:p>
        </w:tc>
        <w:tc>
          <w:tcPr>
            <w:tcW w:w="2060" w:type="dxa"/>
          </w:tcPr>
          <w:p w14:paraId="4CEBCD9A" w14:textId="77777777" w:rsidR="009910E8" w:rsidRPr="00B91041" w:rsidRDefault="009910E8" w:rsidP="00716208">
            <w:pPr>
              <w:spacing w:after="60"/>
              <w:cnfStyle w:val="000000000000" w:firstRow="0" w:lastRow="0" w:firstColumn="0" w:lastColumn="0" w:oddVBand="0" w:evenVBand="0" w:oddHBand="0" w:evenHBand="0" w:firstRowFirstColumn="0" w:firstRowLastColumn="0" w:lastRowFirstColumn="0" w:lastRowLastColumn="0"/>
            </w:pPr>
            <w:r>
              <w:t>4%</w:t>
            </w:r>
          </w:p>
        </w:tc>
      </w:tr>
    </w:tbl>
    <w:p w14:paraId="00E05FB1" w14:textId="38B29D5D" w:rsidR="00500E00" w:rsidRPr="004721D9" w:rsidRDefault="00CF464D" w:rsidP="00C74E95">
      <w:pPr>
        <w:spacing w:before="60" w:line="0" w:lineRule="atLeast"/>
        <w:jc w:val="both"/>
        <w:rPr>
          <w:sz w:val="16"/>
          <w:szCs w:val="16"/>
        </w:rPr>
      </w:pPr>
      <w:r w:rsidRPr="004721D9">
        <w:rPr>
          <w:sz w:val="14"/>
          <w:szCs w:val="10"/>
        </w:rPr>
        <w:t>Source</w:t>
      </w:r>
      <w:r w:rsidRPr="004721D9">
        <w:rPr>
          <w:sz w:val="14"/>
          <w:szCs w:val="14"/>
        </w:rPr>
        <w:t xml:space="preserve">: </w:t>
      </w:r>
      <w:proofErr w:type="spellStart"/>
      <w:r w:rsidRPr="004721D9">
        <w:rPr>
          <w:sz w:val="14"/>
          <w:szCs w:val="14"/>
        </w:rPr>
        <w:t>Taltech</w:t>
      </w:r>
      <w:proofErr w:type="spellEnd"/>
      <w:r w:rsidRPr="004721D9">
        <w:rPr>
          <w:sz w:val="14"/>
          <w:szCs w:val="14"/>
        </w:rPr>
        <w:t xml:space="preserve"> 2020</w:t>
      </w:r>
      <w:r w:rsidRPr="004721D9">
        <w:rPr>
          <w:rStyle w:val="Voetnootmarkering"/>
          <w:sz w:val="14"/>
          <w:szCs w:val="14"/>
        </w:rPr>
        <w:footnoteReference w:id="66"/>
      </w:r>
      <w:r w:rsidRPr="004721D9">
        <w:rPr>
          <w:sz w:val="14"/>
          <w:szCs w:val="14"/>
        </w:rPr>
        <w:t>, ENTEC 202</w:t>
      </w:r>
      <w:bookmarkStart w:id="114" w:name="_Ref103271403"/>
      <w:r w:rsidRPr="004721D9">
        <w:rPr>
          <w:sz w:val="14"/>
          <w:szCs w:val="14"/>
        </w:rPr>
        <w:t>2</w:t>
      </w:r>
      <w:bookmarkEnd w:id="114"/>
      <w:r w:rsidR="004721D9" w:rsidRPr="004721D9">
        <w:rPr>
          <w:sz w:val="14"/>
          <w:szCs w:val="14"/>
          <w:vertAlign w:val="superscript"/>
        </w:rPr>
        <w:fldChar w:fldCharType="begin"/>
      </w:r>
      <w:r w:rsidR="004721D9" w:rsidRPr="004721D9">
        <w:rPr>
          <w:sz w:val="14"/>
          <w:szCs w:val="14"/>
          <w:vertAlign w:val="superscript"/>
        </w:rPr>
        <w:instrText xml:space="preserve"> NOTEREF _Ref103379231 \h  \* MERGEFORMAT </w:instrText>
      </w:r>
      <w:r w:rsidR="004721D9" w:rsidRPr="004721D9">
        <w:rPr>
          <w:sz w:val="14"/>
          <w:szCs w:val="14"/>
          <w:vertAlign w:val="superscript"/>
        </w:rPr>
      </w:r>
      <w:r w:rsidR="004721D9" w:rsidRPr="004721D9">
        <w:rPr>
          <w:sz w:val="14"/>
          <w:szCs w:val="14"/>
          <w:vertAlign w:val="superscript"/>
        </w:rPr>
        <w:fldChar w:fldCharType="separate"/>
      </w:r>
      <w:r w:rsidR="00265258">
        <w:rPr>
          <w:sz w:val="14"/>
          <w:szCs w:val="14"/>
          <w:vertAlign w:val="superscript"/>
        </w:rPr>
        <w:t>63</w:t>
      </w:r>
      <w:r w:rsidR="004721D9" w:rsidRPr="004721D9">
        <w:rPr>
          <w:sz w:val="14"/>
          <w:szCs w:val="14"/>
          <w:vertAlign w:val="superscript"/>
        </w:rPr>
        <w:fldChar w:fldCharType="end"/>
      </w:r>
      <w:r w:rsidRPr="004721D9">
        <w:rPr>
          <w:sz w:val="14"/>
          <w:szCs w:val="14"/>
        </w:rPr>
        <w:t xml:space="preserve">, </w:t>
      </w:r>
      <w:proofErr w:type="spellStart"/>
      <w:r w:rsidRPr="004721D9">
        <w:rPr>
          <w:sz w:val="14"/>
          <w:szCs w:val="14"/>
        </w:rPr>
        <w:t>PtX</w:t>
      </w:r>
      <w:proofErr w:type="spellEnd"/>
      <w:r w:rsidRPr="004721D9">
        <w:rPr>
          <w:sz w:val="14"/>
          <w:szCs w:val="14"/>
        </w:rPr>
        <w:t xml:space="preserve"> Atlas - Fraunhofer IEE</w:t>
      </w:r>
      <w:bookmarkStart w:id="115" w:name="_Ref103186303"/>
      <w:r w:rsidRPr="004721D9">
        <w:rPr>
          <w:rStyle w:val="Voetnootmarkering"/>
          <w:sz w:val="14"/>
          <w:szCs w:val="14"/>
        </w:rPr>
        <w:footnoteReference w:id="67"/>
      </w:r>
      <w:bookmarkEnd w:id="115"/>
    </w:p>
    <w:p w14:paraId="0F680979" w14:textId="4A54682E" w:rsidR="00D069A6" w:rsidRDefault="00F66E6D" w:rsidP="003077BF">
      <w:pPr>
        <w:spacing w:before="120" w:after="120"/>
        <w:jc w:val="both"/>
      </w:pPr>
      <w:r>
        <w:t>CO</w:t>
      </w:r>
      <w:r w:rsidRPr="000B13A6">
        <w:rPr>
          <w:vertAlign w:val="subscript"/>
        </w:rPr>
        <w:t>2</w:t>
      </w:r>
      <w:r>
        <w:t xml:space="preserve"> is an integral part of SNG </w:t>
      </w:r>
      <w:r w:rsidR="006570FB">
        <w:t>production,</w:t>
      </w:r>
      <w:r>
        <w:t xml:space="preserve"> and the CO</w:t>
      </w:r>
      <w:r w:rsidRPr="005C5E13">
        <w:rPr>
          <w:vertAlign w:val="subscript"/>
        </w:rPr>
        <w:t>2</w:t>
      </w:r>
      <w:r>
        <w:t xml:space="preserve"> capture costs</w:t>
      </w:r>
      <w:r w:rsidR="001B1395">
        <w:t xml:space="preserve"> can </w:t>
      </w:r>
      <w:r w:rsidR="006570FB">
        <w:t>affect</w:t>
      </w:r>
      <w:r w:rsidR="001B1395">
        <w:t xml:space="preserve"> the levelized </w:t>
      </w:r>
      <w:r w:rsidR="00B657FE">
        <w:t xml:space="preserve">cost </w:t>
      </w:r>
      <w:r w:rsidR="001B1395">
        <w:t xml:space="preserve">of the produced SNG. </w:t>
      </w:r>
      <w:r w:rsidR="006570FB">
        <w:fldChar w:fldCharType="begin"/>
      </w:r>
      <w:r w:rsidR="006570FB">
        <w:instrText xml:space="preserve"> REF _Ref108547104 \h </w:instrText>
      </w:r>
      <w:r w:rsidR="006570FB">
        <w:fldChar w:fldCharType="separate"/>
      </w:r>
      <w:r w:rsidR="00265258">
        <w:t xml:space="preserve">Table </w:t>
      </w:r>
      <w:r w:rsidR="00265258">
        <w:rPr>
          <w:noProof/>
        </w:rPr>
        <w:t>6</w:t>
      </w:r>
      <w:r w:rsidR="00265258">
        <w:noBreakHyphen/>
      </w:r>
      <w:r w:rsidR="00265258">
        <w:rPr>
          <w:noProof/>
        </w:rPr>
        <w:t>5</w:t>
      </w:r>
      <w:r w:rsidR="006570FB">
        <w:fldChar w:fldCharType="end"/>
      </w:r>
      <w:r w:rsidR="006570FB">
        <w:t xml:space="preserve"> presents the CO</w:t>
      </w:r>
      <w:r w:rsidR="006570FB" w:rsidRPr="005C5E13">
        <w:rPr>
          <w:vertAlign w:val="subscript"/>
        </w:rPr>
        <w:t>2</w:t>
      </w:r>
      <w:r w:rsidR="006570FB">
        <w:t xml:space="preserve"> capture cost from different sources</w:t>
      </w:r>
      <w:r w:rsidR="0013639A">
        <w:t>. Since CO</w:t>
      </w:r>
      <w:r w:rsidR="0013639A" w:rsidRPr="005C5E13">
        <w:rPr>
          <w:vertAlign w:val="subscript"/>
        </w:rPr>
        <w:t>2</w:t>
      </w:r>
      <w:r w:rsidR="0013639A">
        <w:t xml:space="preserve"> is co-produce</w:t>
      </w:r>
      <w:r w:rsidR="004B3892">
        <w:t>d in biogas upgradation plants, the CO</w:t>
      </w:r>
      <w:r w:rsidR="004B3892" w:rsidRPr="005C5E13">
        <w:rPr>
          <w:vertAlign w:val="subscript"/>
        </w:rPr>
        <w:t>2</w:t>
      </w:r>
      <w:r w:rsidR="004B3892">
        <w:t xml:space="preserve"> capture cost is </w:t>
      </w:r>
      <w:r w:rsidR="00E324A1">
        <w:t xml:space="preserve">not considered additionally, as </w:t>
      </w:r>
      <w:r w:rsidR="003F743D">
        <w:t>CO</w:t>
      </w:r>
      <w:r w:rsidR="003F743D" w:rsidRPr="005C5E13">
        <w:rPr>
          <w:vertAlign w:val="subscript"/>
        </w:rPr>
        <w:t>2</w:t>
      </w:r>
      <w:r w:rsidR="003F743D">
        <w:t xml:space="preserve"> already </w:t>
      </w:r>
      <w:r w:rsidR="005C5E13">
        <w:t>must</w:t>
      </w:r>
      <w:r w:rsidR="003F743D">
        <w:t xml:space="preserve"> be separated</w:t>
      </w:r>
      <w:r w:rsidR="0026655E">
        <w:t xml:space="preserve"> to produce bi</w:t>
      </w:r>
      <w:r w:rsidR="00F20DDE">
        <w:t>omethane</w:t>
      </w:r>
      <w:r w:rsidR="0026655E">
        <w:t xml:space="preserve"> from bio</w:t>
      </w:r>
      <w:r w:rsidR="00F20DDE">
        <w:t>gas</w:t>
      </w:r>
      <w:r w:rsidR="000B13A6">
        <w:t xml:space="preserve"> The CO</w:t>
      </w:r>
      <w:r w:rsidR="000B13A6" w:rsidRPr="00BA6B4E">
        <w:rPr>
          <w:vertAlign w:val="subscript"/>
        </w:rPr>
        <w:t>2</w:t>
      </w:r>
      <w:r w:rsidR="000B13A6">
        <w:t xml:space="preserve"> capture costs </w:t>
      </w:r>
      <w:r w:rsidR="004A27AC">
        <w:t xml:space="preserve">by different sources are presented in the </w:t>
      </w:r>
      <w:r w:rsidR="004A27AC">
        <w:fldChar w:fldCharType="begin"/>
      </w:r>
      <w:r w:rsidR="004A27AC">
        <w:instrText xml:space="preserve"> REF _Ref108547104 \h </w:instrText>
      </w:r>
      <w:r w:rsidR="004A27AC">
        <w:fldChar w:fldCharType="separate"/>
      </w:r>
      <w:r w:rsidR="00265258">
        <w:t xml:space="preserve">Table </w:t>
      </w:r>
      <w:r w:rsidR="00265258">
        <w:rPr>
          <w:noProof/>
        </w:rPr>
        <w:t>6</w:t>
      </w:r>
      <w:r w:rsidR="00265258">
        <w:noBreakHyphen/>
      </w:r>
      <w:r w:rsidR="00265258">
        <w:rPr>
          <w:noProof/>
        </w:rPr>
        <w:t>5</w:t>
      </w:r>
      <w:r w:rsidR="004A27AC">
        <w:fldChar w:fldCharType="end"/>
      </w:r>
      <w:r w:rsidR="004A27AC">
        <w:t>.</w:t>
      </w:r>
    </w:p>
    <w:p w14:paraId="2B31496A" w14:textId="16B874ED" w:rsidR="003077BF" w:rsidRDefault="003077BF" w:rsidP="003077BF">
      <w:pPr>
        <w:spacing w:before="120" w:after="120"/>
        <w:jc w:val="both"/>
      </w:pPr>
    </w:p>
    <w:p w14:paraId="3D6A787F" w14:textId="7805CBBC" w:rsidR="003077BF" w:rsidRDefault="003077BF" w:rsidP="003077BF">
      <w:pPr>
        <w:spacing w:before="120" w:after="120"/>
        <w:jc w:val="both"/>
      </w:pPr>
    </w:p>
    <w:p w14:paraId="1165F325" w14:textId="77777777" w:rsidR="003077BF" w:rsidRDefault="003077BF" w:rsidP="003077BF">
      <w:pPr>
        <w:spacing w:before="120" w:after="120"/>
        <w:jc w:val="both"/>
      </w:pPr>
    </w:p>
    <w:p w14:paraId="6CC357B2" w14:textId="4DE8C600" w:rsidR="00A45D08" w:rsidRPr="00743E5F" w:rsidRDefault="00A45D08" w:rsidP="00A45D08">
      <w:pPr>
        <w:pStyle w:val="Bijschrift"/>
        <w:spacing w:before="240"/>
      </w:pPr>
      <w:bookmarkStart w:id="116" w:name="_Ref108547104"/>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5</w:t>
      </w:r>
      <w:r w:rsidR="006D12F8">
        <w:rPr>
          <w:noProof/>
        </w:rPr>
        <w:fldChar w:fldCharType="end"/>
      </w:r>
      <w:bookmarkEnd w:id="116"/>
      <w:r>
        <w:t xml:space="preserve">. </w:t>
      </w:r>
      <w:r w:rsidR="003210F0" w:rsidRPr="0040715A">
        <w:t>Levelized</w:t>
      </w:r>
      <w:r w:rsidR="0040715A" w:rsidRPr="0040715A">
        <w:t xml:space="preserve"> cost of CO2 capture by sector </w:t>
      </w:r>
      <w:r w:rsidR="00895AB3">
        <w:t>[Source</w:t>
      </w:r>
      <w:r w:rsidR="00BA6B4E">
        <w:t xml:space="preserve">: </w:t>
      </w:r>
      <w:r w:rsidR="00AF7EF1">
        <w:t xml:space="preserve">Adaptation of </w:t>
      </w:r>
      <w:r w:rsidR="00BA6B4E">
        <w:t>IEA</w:t>
      </w:r>
      <w:r w:rsidR="00AF7EF1">
        <w:t xml:space="preserve"> source</w:t>
      </w:r>
      <w:r w:rsidR="00AF7EF1">
        <w:rPr>
          <w:rStyle w:val="Voetnootmarkering"/>
        </w:rPr>
        <w:footnoteReference w:id="68"/>
      </w:r>
      <w:r w:rsidR="002F7226" w:rsidRPr="002F7226">
        <w:t>]</w:t>
      </w:r>
    </w:p>
    <w:tbl>
      <w:tblPr>
        <w:tblStyle w:val="Table1"/>
        <w:tblW w:w="8500" w:type="dxa"/>
        <w:tblLook w:val="04A0" w:firstRow="1" w:lastRow="0" w:firstColumn="1" w:lastColumn="0" w:noHBand="0" w:noVBand="1"/>
      </w:tblPr>
      <w:tblGrid>
        <w:gridCol w:w="4596"/>
        <w:gridCol w:w="3904"/>
      </w:tblGrid>
      <w:tr w:rsidR="009E3621" w:rsidRPr="009E3621" w14:paraId="1F07AE8C" w14:textId="77777777" w:rsidTr="009E3621">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4596" w:type="dxa"/>
            <w:noWrap/>
            <w:hideMark/>
          </w:tcPr>
          <w:p w14:paraId="2A9129FA" w14:textId="77777777" w:rsidR="009E3621" w:rsidRPr="009E3621" w:rsidRDefault="009E3621" w:rsidP="009E3621">
            <w:pPr>
              <w:spacing w:line="240" w:lineRule="auto"/>
              <w:ind w:left="462"/>
              <w:rPr>
                <w:rFonts w:ascii="Trebuchet MS" w:eastAsia="Times New Roman" w:hAnsi="Trebuchet MS" w:cs="Calibri"/>
                <w:bCs/>
                <w:sz w:val="18"/>
                <w:lang w:eastAsia="en-GB"/>
              </w:rPr>
            </w:pPr>
            <w:r w:rsidRPr="009E3621">
              <w:rPr>
                <w:rFonts w:ascii="Trebuchet MS" w:eastAsia="Times New Roman" w:hAnsi="Trebuchet MS" w:cs="Calibri"/>
                <w:bCs/>
                <w:sz w:val="18"/>
                <w:lang w:eastAsia="en-GB"/>
              </w:rPr>
              <w:t>CO</w:t>
            </w:r>
            <w:r w:rsidRPr="009E3621">
              <w:rPr>
                <w:rFonts w:ascii="Trebuchet MS" w:eastAsia="Times New Roman" w:hAnsi="Trebuchet MS" w:cs="Calibri"/>
                <w:bCs/>
                <w:sz w:val="18"/>
                <w:vertAlign w:val="subscript"/>
                <w:lang w:eastAsia="en-GB"/>
              </w:rPr>
              <w:t>2</w:t>
            </w:r>
            <w:r w:rsidRPr="009E3621">
              <w:rPr>
                <w:rFonts w:ascii="Trebuchet MS" w:eastAsia="Times New Roman" w:hAnsi="Trebuchet MS" w:cs="Calibri"/>
                <w:bCs/>
                <w:sz w:val="18"/>
                <w:lang w:eastAsia="en-GB"/>
              </w:rPr>
              <w:t xml:space="preserve"> input for SNG*</w:t>
            </w:r>
          </w:p>
        </w:tc>
        <w:tc>
          <w:tcPr>
            <w:tcW w:w="3904" w:type="dxa"/>
            <w:noWrap/>
            <w:hideMark/>
          </w:tcPr>
          <w:p w14:paraId="1E041E36" w14:textId="77777777" w:rsidR="009E3621" w:rsidRPr="009E3621" w:rsidRDefault="009E3621" w:rsidP="009E3621">
            <w:pPr>
              <w:spacing w:line="240" w:lineRule="auto"/>
              <w:ind w:left="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Cs/>
                <w:sz w:val="18"/>
                <w:lang w:eastAsia="en-GB"/>
              </w:rPr>
            </w:pPr>
            <w:r w:rsidRPr="009E3621">
              <w:rPr>
                <w:rFonts w:ascii="Trebuchet MS" w:eastAsia="Times New Roman" w:hAnsi="Trebuchet MS" w:cs="Calibri"/>
                <w:bCs/>
                <w:sz w:val="18"/>
                <w:lang w:eastAsia="en-GB"/>
              </w:rPr>
              <w:t>Euro/ton</w:t>
            </w:r>
          </w:p>
        </w:tc>
      </w:tr>
      <w:tr w:rsidR="009E3621" w:rsidRPr="009E3621" w14:paraId="1A53CA2D" w14:textId="77777777" w:rsidTr="009E3621">
        <w:trPr>
          <w:trHeight w:val="330"/>
        </w:trPr>
        <w:tc>
          <w:tcPr>
            <w:cnfStyle w:val="001000000000" w:firstRow="0" w:lastRow="0" w:firstColumn="1" w:lastColumn="0" w:oddVBand="0" w:evenVBand="0" w:oddHBand="0" w:evenHBand="0" w:firstRowFirstColumn="0" w:firstRowLastColumn="0" w:lastRowFirstColumn="0" w:lastRowLastColumn="0"/>
            <w:tcW w:w="4596" w:type="dxa"/>
            <w:noWrap/>
            <w:hideMark/>
          </w:tcPr>
          <w:p w14:paraId="04BFFBCB" w14:textId="2E5BB932" w:rsidR="009E3621" w:rsidRPr="009E3621" w:rsidRDefault="009E3621" w:rsidP="009E3621">
            <w:pPr>
              <w:spacing w:line="240" w:lineRule="auto"/>
              <w:ind w:left="462"/>
              <w:rPr>
                <w:rFonts w:eastAsia="Times New Roman" w:cs="Calibri"/>
                <w:sz w:val="18"/>
                <w:lang w:eastAsia="en-GB"/>
              </w:rPr>
            </w:pPr>
            <w:r w:rsidRPr="009E3621">
              <w:rPr>
                <w:rFonts w:eastAsia="Times New Roman" w:cs="Calibri"/>
                <w:sz w:val="18"/>
                <w:lang w:eastAsia="en-GB"/>
              </w:rPr>
              <w:t>Co-produced CO</w:t>
            </w:r>
            <w:r w:rsidRPr="009E3621">
              <w:rPr>
                <w:rFonts w:eastAsia="Times New Roman" w:cs="Calibri"/>
                <w:sz w:val="18"/>
                <w:vertAlign w:val="subscript"/>
                <w:lang w:eastAsia="en-GB"/>
              </w:rPr>
              <w:t>2</w:t>
            </w:r>
            <w:r w:rsidRPr="009E3621">
              <w:rPr>
                <w:rFonts w:eastAsia="Times New Roman" w:cs="Calibri"/>
                <w:sz w:val="18"/>
                <w:lang w:eastAsia="en-GB"/>
              </w:rPr>
              <w:t xml:space="preserve"> from biomethane plants</w:t>
            </w:r>
            <w:r w:rsidR="00694C7D">
              <w:rPr>
                <w:rStyle w:val="Voetnootmarkering"/>
                <w:rFonts w:eastAsia="Times New Roman" w:cs="Calibri"/>
                <w:sz w:val="18"/>
                <w:lang w:eastAsia="en-GB"/>
              </w:rPr>
              <w:footnoteReference w:id="69"/>
            </w:r>
          </w:p>
        </w:tc>
        <w:tc>
          <w:tcPr>
            <w:tcW w:w="3904" w:type="dxa"/>
            <w:noWrap/>
            <w:hideMark/>
          </w:tcPr>
          <w:p w14:paraId="542B406F" w14:textId="77777777" w:rsidR="009E3621" w:rsidRPr="009E3621" w:rsidRDefault="009E3621" w:rsidP="009E3621">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sz w:val="18"/>
                <w:lang w:eastAsia="en-GB"/>
              </w:rPr>
            </w:pPr>
            <w:r w:rsidRPr="009E3621">
              <w:rPr>
                <w:rFonts w:eastAsia="Times New Roman" w:cs="Calibri"/>
                <w:sz w:val="18"/>
                <w:lang w:eastAsia="en-GB"/>
              </w:rPr>
              <w:t>0</w:t>
            </w:r>
          </w:p>
        </w:tc>
      </w:tr>
      <w:tr w:rsidR="009E3621" w:rsidRPr="009E3621" w14:paraId="3C2D4E57" w14:textId="77777777" w:rsidTr="009E3621">
        <w:trPr>
          <w:trHeight w:val="330"/>
        </w:trPr>
        <w:tc>
          <w:tcPr>
            <w:cnfStyle w:val="001000000000" w:firstRow="0" w:lastRow="0" w:firstColumn="1" w:lastColumn="0" w:oddVBand="0" w:evenVBand="0" w:oddHBand="0" w:evenHBand="0" w:firstRowFirstColumn="0" w:firstRowLastColumn="0" w:lastRowFirstColumn="0" w:lastRowLastColumn="0"/>
            <w:tcW w:w="4596" w:type="dxa"/>
            <w:noWrap/>
            <w:hideMark/>
          </w:tcPr>
          <w:p w14:paraId="1B7FF0C0" w14:textId="77777777" w:rsidR="009E3621" w:rsidRPr="009E3621" w:rsidRDefault="009E3621" w:rsidP="009E3621">
            <w:pPr>
              <w:spacing w:line="240" w:lineRule="auto"/>
              <w:ind w:left="462"/>
              <w:rPr>
                <w:rFonts w:eastAsia="Times New Roman" w:cs="Calibri"/>
                <w:sz w:val="18"/>
                <w:lang w:eastAsia="en-GB"/>
              </w:rPr>
            </w:pPr>
            <w:r w:rsidRPr="009E3621">
              <w:rPr>
                <w:rFonts w:eastAsia="Times New Roman" w:cs="Calibri"/>
                <w:sz w:val="18"/>
                <w:lang w:eastAsia="en-GB"/>
              </w:rPr>
              <w:t>Direct Air capture</w:t>
            </w:r>
          </w:p>
        </w:tc>
        <w:tc>
          <w:tcPr>
            <w:tcW w:w="3904" w:type="dxa"/>
            <w:noWrap/>
            <w:hideMark/>
          </w:tcPr>
          <w:p w14:paraId="1643A568" w14:textId="36E0FBA8" w:rsidR="00A45D08" w:rsidRPr="009E3621" w:rsidRDefault="00A45D08" w:rsidP="00A45D08">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sz w:val="18"/>
                <w:lang w:eastAsia="en-GB"/>
              </w:rPr>
            </w:pPr>
            <w:r w:rsidRPr="00BA561F">
              <w:rPr>
                <w:rFonts w:eastAsia="Times New Roman" w:cs="Calibri"/>
                <w:sz w:val="18"/>
                <w:lang w:eastAsia="en-GB"/>
              </w:rPr>
              <w:t xml:space="preserve">133 – 339 </w:t>
            </w:r>
          </w:p>
        </w:tc>
      </w:tr>
      <w:tr w:rsidR="009E3621" w:rsidRPr="009E3621" w14:paraId="68DCE53A" w14:textId="77777777" w:rsidTr="009E3621">
        <w:trPr>
          <w:trHeight w:val="330"/>
        </w:trPr>
        <w:tc>
          <w:tcPr>
            <w:cnfStyle w:val="001000000000" w:firstRow="0" w:lastRow="0" w:firstColumn="1" w:lastColumn="0" w:oddVBand="0" w:evenVBand="0" w:oddHBand="0" w:evenHBand="0" w:firstRowFirstColumn="0" w:firstRowLastColumn="0" w:lastRowFirstColumn="0" w:lastRowLastColumn="0"/>
            <w:tcW w:w="4596" w:type="dxa"/>
            <w:noWrap/>
            <w:hideMark/>
          </w:tcPr>
          <w:p w14:paraId="312324FE" w14:textId="77777777" w:rsidR="009E3621" w:rsidRPr="009E3621" w:rsidRDefault="009E3621" w:rsidP="009E3621">
            <w:pPr>
              <w:spacing w:line="240" w:lineRule="auto"/>
              <w:ind w:left="462"/>
              <w:rPr>
                <w:rFonts w:eastAsia="Times New Roman" w:cs="Calibri"/>
                <w:sz w:val="18"/>
                <w:lang w:eastAsia="en-GB"/>
              </w:rPr>
            </w:pPr>
            <w:r w:rsidRPr="009E3621">
              <w:rPr>
                <w:rFonts w:eastAsia="Times New Roman" w:cs="Calibri"/>
                <w:sz w:val="18"/>
                <w:lang w:eastAsia="en-GB"/>
              </w:rPr>
              <w:t>Power generation</w:t>
            </w:r>
          </w:p>
        </w:tc>
        <w:tc>
          <w:tcPr>
            <w:tcW w:w="3904" w:type="dxa"/>
            <w:noWrap/>
            <w:hideMark/>
          </w:tcPr>
          <w:p w14:paraId="2C4EDF65" w14:textId="594F838F" w:rsidR="009E3621" w:rsidRPr="009E3621" w:rsidRDefault="009E3621" w:rsidP="009E3621">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sz w:val="18"/>
                <w:lang w:eastAsia="en-GB"/>
              </w:rPr>
            </w:pPr>
            <w:r w:rsidRPr="009E3621">
              <w:rPr>
                <w:rFonts w:eastAsia="Times New Roman" w:cs="Calibri"/>
                <w:sz w:val="18"/>
                <w:lang w:eastAsia="en-GB"/>
              </w:rPr>
              <w:t>49.5</w:t>
            </w:r>
            <w:r w:rsidR="00A45D08" w:rsidRPr="00BA561F">
              <w:rPr>
                <w:rFonts w:eastAsia="Times New Roman" w:cs="Calibri"/>
                <w:sz w:val="18"/>
                <w:lang w:eastAsia="en-GB"/>
              </w:rPr>
              <w:t xml:space="preserve"> </w:t>
            </w:r>
            <w:r w:rsidRPr="009E3621">
              <w:rPr>
                <w:rFonts w:eastAsia="Times New Roman" w:cs="Calibri"/>
                <w:sz w:val="18"/>
                <w:lang w:eastAsia="en-GB"/>
              </w:rPr>
              <w:t>-</w:t>
            </w:r>
            <w:r w:rsidR="00A45D08" w:rsidRPr="00BA561F">
              <w:rPr>
                <w:rFonts w:eastAsia="Times New Roman" w:cs="Calibri"/>
                <w:sz w:val="18"/>
                <w:lang w:eastAsia="en-GB"/>
              </w:rPr>
              <w:t xml:space="preserve"> </w:t>
            </w:r>
            <w:r w:rsidRPr="009E3621">
              <w:rPr>
                <w:rFonts w:eastAsia="Times New Roman" w:cs="Calibri"/>
                <w:sz w:val="18"/>
                <w:lang w:eastAsia="en-GB"/>
              </w:rPr>
              <w:t>99</w:t>
            </w:r>
          </w:p>
        </w:tc>
      </w:tr>
      <w:tr w:rsidR="009E3621" w:rsidRPr="009E3621" w14:paraId="0196823D" w14:textId="77777777" w:rsidTr="009E3621">
        <w:trPr>
          <w:trHeight w:val="330"/>
        </w:trPr>
        <w:tc>
          <w:tcPr>
            <w:cnfStyle w:val="001000000000" w:firstRow="0" w:lastRow="0" w:firstColumn="1" w:lastColumn="0" w:oddVBand="0" w:evenVBand="0" w:oddHBand="0" w:evenHBand="0" w:firstRowFirstColumn="0" w:firstRowLastColumn="0" w:lastRowFirstColumn="0" w:lastRowLastColumn="0"/>
            <w:tcW w:w="4596" w:type="dxa"/>
            <w:noWrap/>
            <w:hideMark/>
          </w:tcPr>
          <w:p w14:paraId="7D52E378" w14:textId="77777777" w:rsidR="009E3621" w:rsidRPr="009E3621" w:rsidRDefault="009E3621" w:rsidP="009E3621">
            <w:pPr>
              <w:spacing w:line="240" w:lineRule="auto"/>
              <w:ind w:left="462"/>
              <w:rPr>
                <w:rFonts w:eastAsia="Times New Roman" w:cs="Calibri"/>
                <w:sz w:val="18"/>
                <w:lang w:eastAsia="en-GB"/>
              </w:rPr>
            </w:pPr>
            <w:r w:rsidRPr="009E3621">
              <w:rPr>
                <w:rFonts w:eastAsia="Times New Roman" w:cs="Calibri"/>
                <w:sz w:val="18"/>
                <w:lang w:eastAsia="en-GB"/>
              </w:rPr>
              <w:t>Hydrogen (SMR)</w:t>
            </w:r>
          </w:p>
        </w:tc>
        <w:tc>
          <w:tcPr>
            <w:tcW w:w="3904" w:type="dxa"/>
            <w:noWrap/>
            <w:hideMark/>
          </w:tcPr>
          <w:p w14:paraId="6FED6708" w14:textId="1F02A966" w:rsidR="009E3621" w:rsidRPr="009E3621" w:rsidRDefault="009E3621" w:rsidP="009E3621">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sz w:val="18"/>
                <w:lang w:eastAsia="en-GB"/>
              </w:rPr>
            </w:pPr>
            <w:r w:rsidRPr="009E3621">
              <w:rPr>
                <w:rFonts w:eastAsia="Times New Roman" w:cs="Calibri"/>
                <w:sz w:val="18"/>
                <w:lang w:eastAsia="en-GB"/>
              </w:rPr>
              <w:t>49.5</w:t>
            </w:r>
            <w:r w:rsidR="00A45D08" w:rsidRPr="00BA561F">
              <w:rPr>
                <w:rFonts w:eastAsia="Times New Roman" w:cs="Calibri"/>
                <w:sz w:val="18"/>
                <w:lang w:eastAsia="en-GB"/>
              </w:rPr>
              <w:t xml:space="preserve"> </w:t>
            </w:r>
            <w:r w:rsidRPr="009E3621">
              <w:rPr>
                <w:rFonts w:eastAsia="Times New Roman" w:cs="Calibri"/>
                <w:sz w:val="18"/>
                <w:lang w:eastAsia="en-GB"/>
              </w:rPr>
              <w:t>-</w:t>
            </w:r>
            <w:r w:rsidR="00A45D08" w:rsidRPr="00BA561F">
              <w:rPr>
                <w:rFonts w:eastAsia="Times New Roman" w:cs="Calibri"/>
                <w:sz w:val="18"/>
                <w:lang w:eastAsia="en-GB"/>
              </w:rPr>
              <w:t xml:space="preserve"> </w:t>
            </w:r>
            <w:r w:rsidRPr="009E3621">
              <w:rPr>
                <w:rFonts w:eastAsia="Times New Roman" w:cs="Calibri"/>
                <w:sz w:val="18"/>
                <w:lang w:eastAsia="en-GB"/>
              </w:rPr>
              <w:t>79</w:t>
            </w:r>
          </w:p>
        </w:tc>
      </w:tr>
    </w:tbl>
    <w:p w14:paraId="48F00892" w14:textId="1F05E336" w:rsidR="00471798" w:rsidRPr="00471798" w:rsidRDefault="00471798" w:rsidP="00471798">
      <w:pPr>
        <w:spacing w:before="120" w:after="120"/>
        <w:jc w:val="both"/>
      </w:pPr>
      <w:r>
        <w:t xml:space="preserve">Considering the energy value loss (see </w:t>
      </w:r>
      <w:r>
        <w:fldChar w:fldCharType="begin"/>
      </w:r>
      <w:r>
        <w:instrText xml:space="preserve"> REF _Ref108119018 \h </w:instrText>
      </w:r>
      <w:r>
        <w:fldChar w:fldCharType="separate"/>
      </w:r>
      <w:r w:rsidR="00265258">
        <w:t xml:space="preserve">Figure </w:t>
      </w:r>
      <w:r w:rsidR="00265258">
        <w:rPr>
          <w:noProof/>
        </w:rPr>
        <w:t>6</w:t>
      </w:r>
      <w:r w:rsidR="00265258">
        <w:noBreakHyphen/>
      </w:r>
      <w:r w:rsidR="00265258">
        <w:rPr>
          <w:noProof/>
        </w:rPr>
        <w:t>2</w:t>
      </w:r>
      <w:r>
        <w:fldChar w:fldCharType="end"/>
      </w:r>
      <w:r>
        <w:t>) to convert renewable electricity to hydrogen and then into synthetic methane, and the related investment and opera</w:t>
      </w:r>
      <w:r w:rsidR="00FC43AC">
        <w:t>t</w:t>
      </w:r>
      <w:r>
        <w:t>ional costs, this technical solution is not considered as an optimal choice</w:t>
      </w:r>
      <w:r w:rsidR="00B657FE">
        <w:t xml:space="preserve"> from an energy and economic perspective</w:t>
      </w:r>
      <w:r>
        <w:t xml:space="preserve">. The main advantage is however that synthetic methane has similar characteristics as natural gas and can hence be used in existing transport/distribution infrastructure and end-user appliances without any technical changes. </w:t>
      </w:r>
    </w:p>
    <w:p w14:paraId="7D0C6958" w14:textId="1ED374B6" w:rsidR="00AF7619" w:rsidRDefault="00AF7619" w:rsidP="009B43EA">
      <w:pPr>
        <w:spacing w:after="240"/>
        <w:jc w:val="both"/>
      </w:pPr>
      <w:r w:rsidRPr="00FB776B">
        <w:rPr>
          <w:b/>
          <w:bCs/>
        </w:rPr>
        <w:t xml:space="preserve">The largest methanation plant in operation in the world (as of October 2016) is a catalytic methanation plant located in </w:t>
      </w:r>
      <w:proofErr w:type="spellStart"/>
      <w:r w:rsidRPr="00FB776B">
        <w:rPr>
          <w:b/>
          <w:bCs/>
        </w:rPr>
        <w:t>Werlte</w:t>
      </w:r>
      <w:proofErr w:type="spellEnd"/>
      <w:r w:rsidRPr="00FB776B">
        <w:rPr>
          <w:b/>
          <w:bCs/>
        </w:rPr>
        <w:t>, Lower Saxony, Germany</w:t>
      </w:r>
      <w:r>
        <w:t xml:space="preserve">. The plant was constructed by </w:t>
      </w:r>
      <w:proofErr w:type="spellStart"/>
      <w:r>
        <w:t>Etogas</w:t>
      </w:r>
      <w:proofErr w:type="spellEnd"/>
      <w:r>
        <w:t xml:space="preserve"> (formerly called </w:t>
      </w:r>
      <w:proofErr w:type="spellStart"/>
      <w:r>
        <w:t>Solarfuel</w:t>
      </w:r>
      <w:proofErr w:type="spellEnd"/>
      <w:r>
        <w:t xml:space="preserve">) for the German </w:t>
      </w:r>
      <w:r w:rsidR="00343909">
        <w:t xml:space="preserve">car manufacturer </w:t>
      </w:r>
      <w:r>
        <w:t>Audi, in collaboration with the research institutions Fraunhofer IWES and ZSW and the energy company EWE. The plant is a hybrid methane production plant as it produces biomethane from biogas (with amine scrubbing) and the captured CO</w:t>
      </w:r>
      <w:r w:rsidRPr="00B3443D">
        <w:rPr>
          <w:vertAlign w:val="subscript"/>
        </w:rPr>
        <w:t>2</w:t>
      </w:r>
      <w:r>
        <w:t xml:space="preserve"> from biogas upgradation unit reacts with the renewable hydrogen (from an alkaline electrolyser) to produce the second methane stream. The produced </w:t>
      </w:r>
      <w:r w:rsidR="0012405D">
        <w:t xml:space="preserve">synthetic methane </w:t>
      </w:r>
      <w:r>
        <w:t xml:space="preserve">is then injected </w:t>
      </w:r>
      <w:r w:rsidR="007A7564">
        <w:t>in</w:t>
      </w:r>
      <w:r>
        <w:t>to the natural gas grid.</w:t>
      </w:r>
      <w:bookmarkStart w:id="117" w:name="_Ref103195362"/>
      <w:r>
        <w:rPr>
          <w:rStyle w:val="Voetnootmarkering"/>
        </w:rPr>
        <w:footnoteReference w:id="70"/>
      </w:r>
      <w:bookmarkEnd w:id="117"/>
      <w:r>
        <w:t xml:space="preserve">   </w:t>
      </w:r>
    </w:p>
    <w:p w14:paraId="0408A42A" w14:textId="05E8E1B9" w:rsidR="00E06321" w:rsidRDefault="00E06321" w:rsidP="00632A41">
      <w:pPr>
        <w:pStyle w:val="Bijschrift"/>
      </w:pPr>
      <w:r>
        <w:t xml:space="preserve">Figure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noBreakHyphen/>
      </w:r>
      <w:r w:rsidR="00632A41">
        <w:t>20</w:t>
      </w:r>
      <w:r>
        <w:t>.</w:t>
      </w:r>
      <w:r w:rsidR="009C3FB9">
        <w:t xml:space="preserve"> </w:t>
      </w:r>
      <w:r w:rsidR="00CD0EDD">
        <w:t>S</w:t>
      </w:r>
      <w:r w:rsidR="009C3FB9" w:rsidRPr="007D19DE">
        <w:t>chematic</w:t>
      </w:r>
      <w:r w:rsidR="009C3FB9">
        <w:t xml:space="preserve"> </w:t>
      </w:r>
      <w:r w:rsidR="009C3FB9" w:rsidRPr="007D19DE">
        <w:t>of</w:t>
      </w:r>
      <w:r w:rsidR="009C3FB9">
        <w:t xml:space="preserve"> </w:t>
      </w:r>
      <w:r w:rsidR="009C3FB9" w:rsidRPr="007D19DE">
        <w:t>the</w:t>
      </w:r>
      <w:r w:rsidR="009C3FB9">
        <w:t xml:space="preserve"> </w:t>
      </w:r>
      <w:r w:rsidR="009C3FB9" w:rsidRPr="007D19DE">
        <w:t>system</w:t>
      </w:r>
      <w:r w:rsidR="009C3FB9">
        <w:t xml:space="preserve"> </w:t>
      </w:r>
      <w:r w:rsidR="009C3FB9" w:rsidRPr="007D19DE">
        <w:t>layout</w:t>
      </w:r>
      <w:r w:rsidR="009C3FB9">
        <w:t xml:space="preserve"> </w:t>
      </w:r>
      <w:r w:rsidR="009C3FB9" w:rsidRPr="007D19DE">
        <w:t>of</w:t>
      </w:r>
      <w:r w:rsidR="009C3FB9">
        <w:t xml:space="preserve"> </w:t>
      </w:r>
      <w:r w:rsidR="009C3FB9" w:rsidRPr="007D19DE">
        <w:t>the</w:t>
      </w:r>
      <w:r w:rsidR="009C3FB9">
        <w:t xml:space="preserve"> </w:t>
      </w:r>
      <w:r w:rsidR="009C3FB9" w:rsidRPr="007D19DE">
        <w:t>biogas</w:t>
      </w:r>
      <w:r w:rsidR="009C3FB9">
        <w:t xml:space="preserve"> </w:t>
      </w:r>
      <w:r w:rsidR="009C3FB9" w:rsidRPr="007D19DE">
        <w:t>methanation</w:t>
      </w:r>
      <w:r w:rsidR="009C3FB9">
        <w:t xml:space="preserve"> </w:t>
      </w:r>
      <w:r w:rsidR="009C3FB9" w:rsidRPr="007D19DE">
        <w:t>facility</w:t>
      </w:r>
      <w:r w:rsidR="009C3FB9">
        <w:t xml:space="preserve"> </w:t>
      </w:r>
      <w:r w:rsidR="009C3FB9" w:rsidRPr="007D19DE">
        <w:t>in</w:t>
      </w:r>
      <w:r w:rsidR="009C3FB9">
        <w:t xml:space="preserve"> </w:t>
      </w:r>
      <w:proofErr w:type="spellStart"/>
      <w:r w:rsidR="009C3FB9" w:rsidRPr="007D19DE">
        <w:t>Werlte</w:t>
      </w:r>
      <w:proofErr w:type="spellEnd"/>
      <w:r w:rsidR="009C3FB9">
        <w:t xml:space="preserve">, Germany. </w:t>
      </w:r>
      <w:r w:rsidR="009C3FB9" w:rsidRPr="00A2613E">
        <w:rPr>
          <w:b w:val="0"/>
          <w:bCs w:val="0"/>
        </w:rPr>
        <w:t>Source:</w:t>
      </w:r>
      <w:r w:rsidR="009C3FB9">
        <w:rPr>
          <w:b w:val="0"/>
          <w:bCs w:val="0"/>
        </w:rPr>
        <w:t xml:space="preserve"> </w:t>
      </w:r>
      <w:r w:rsidR="009C3FB9" w:rsidRPr="00A2613E">
        <w:rPr>
          <w:b w:val="0"/>
          <w:bCs w:val="0"/>
        </w:rPr>
        <w:t>[Future Gas 2017]</w:t>
      </w:r>
      <w:r w:rsidR="007224C1" w:rsidRPr="007224C1">
        <w:rPr>
          <w:b w:val="0"/>
          <w:bCs w:val="0"/>
          <w:vertAlign w:val="superscript"/>
        </w:rPr>
        <w:fldChar w:fldCharType="begin"/>
      </w:r>
      <w:r w:rsidR="007224C1" w:rsidRPr="007224C1">
        <w:rPr>
          <w:b w:val="0"/>
          <w:bCs w:val="0"/>
          <w:vertAlign w:val="superscript"/>
        </w:rPr>
        <w:instrText xml:space="preserve"> NOTEREF _Ref103195362 \h </w:instrText>
      </w:r>
      <w:r w:rsidR="007224C1">
        <w:rPr>
          <w:b w:val="0"/>
          <w:bCs w:val="0"/>
          <w:vertAlign w:val="superscript"/>
        </w:rPr>
        <w:instrText xml:space="preserve"> \* MERGEFORMAT </w:instrText>
      </w:r>
      <w:r w:rsidR="007224C1" w:rsidRPr="007224C1">
        <w:rPr>
          <w:b w:val="0"/>
          <w:bCs w:val="0"/>
          <w:vertAlign w:val="superscript"/>
        </w:rPr>
      </w:r>
      <w:r w:rsidR="007224C1" w:rsidRPr="007224C1">
        <w:rPr>
          <w:b w:val="0"/>
          <w:bCs w:val="0"/>
          <w:vertAlign w:val="superscript"/>
        </w:rPr>
        <w:fldChar w:fldCharType="separate"/>
      </w:r>
      <w:r w:rsidR="00265258">
        <w:rPr>
          <w:b w:val="0"/>
          <w:bCs w:val="0"/>
          <w:vertAlign w:val="superscript"/>
        </w:rPr>
        <w:t>69</w:t>
      </w:r>
      <w:r w:rsidR="007224C1" w:rsidRPr="007224C1">
        <w:rPr>
          <w:b w:val="0"/>
          <w:bCs w:val="0"/>
          <w:vertAlign w:val="superscript"/>
        </w:rPr>
        <w:fldChar w:fldCharType="end"/>
      </w:r>
    </w:p>
    <w:p w14:paraId="4047FCD6" w14:textId="2B8B7CFC" w:rsidR="00AF7619" w:rsidRDefault="00243DEA" w:rsidP="00E41CE6">
      <w:pPr>
        <w:spacing w:after="240"/>
        <w:jc w:val="center"/>
      </w:pPr>
      <w:r>
        <w:rPr>
          <w:noProof/>
        </w:rPr>
        <w:drawing>
          <wp:inline distT="0" distB="0" distL="0" distR="0" wp14:anchorId="3AE8D0B9" wp14:editId="5A7FD556">
            <wp:extent cx="5398936" cy="1716424"/>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455140" cy="1734292"/>
                    </a:xfrm>
                    <a:prstGeom prst="rect">
                      <a:avLst/>
                    </a:prstGeom>
                  </pic:spPr>
                </pic:pic>
              </a:graphicData>
            </a:graphic>
          </wp:inline>
        </w:drawing>
      </w:r>
    </w:p>
    <w:p w14:paraId="3809BAD1" w14:textId="3007EDE2" w:rsidR="00275339" w:rsidRPr="00474B71" w:rsidRDefault="00275339" w:rsidP="00474B71">
      <w:pPr>
        <w:pStyle w:val="Kop2"/>
        <w:ind w:left="1134" w:hanging="567"/>
        <w:rPr>
          <w:color w:val="005962" w:themeColor="accent1"/>
        </w:rPr>
      </w:pPr>
      <w:bookmarkStart w:id="118" w:name="_Toc104738353"/>
      <w:bookmarkStart w:id="119" w:name="_Toc114565060"/>
      <w:r w:rsidRPr="00474B71">
        <w:rPr>
          <w:color w:val="005962" w:themeColor="accent1"/>
        </w:rPr>
        <w:t>Storage</w:t>
      </w:r>
      <w:r w:rsidR="0012405D" w:rsidRPr="00474B71">
        <w:rPr>
          <w:color w:val="005962" w:themeColor="accent1"/>
        </w:rPr>
        <w:t xml:space="preserve"> of renewable gases</w:t>
      </w:r>
      <w:bookmarkEnd w:id="118"/>
      <w:bookmarkEnd w:id="119"/>
    </w:p>
    <w:p w14:paraId="0B8C923B" w14:textId="59AA7E16" w:rsidR="00431822" w:rsidRPr="00935C66" w:rsidRDefault="00275339" w:rsidP="00431822">
      <w:pPr>
        <w:spacing w:after="240"/>
        <w:jc w:val="both"/>
        <w:rPr>
          <w:szCs w:val="22"/>
        </w:rPr>
      </w:pPr>
      <w:r w:rsidRPr="008B3254">
        <w:rPr>
          <w:szCs w:val="22"/>
        </w:rPr>
        <w:t xml:space="preserve">The choice of the most appropriate </w:t>
      </w:r>
      <w:r w:rsidR="00D7228A">
        <w:rPr>
          <w:szCs w:val="22"/>
        </w:rPr>
        <w:t xml:space="preserve">gas </w:t>
      </w:r>
      <w:r w:rsidRPr="008B3254">
        <w:rPr>
          <w:szCs w:val="22"/>
        </w:rPr>
        <w:t xml:space="preserve">storage option is contingent on the application. Key metrics to </w:t>
      </w:r>
      <w:r w:rsidR="00003FCC" w:rsidRPr="008B3254">
        <w:rPr>
          <w:szCs w:val="22"/>
        </w:rPr>
        <w:t>investigate</w:t>
      </w:r>
      <w:r w:rsidRPr="008B3254">
        <w:rPr>
          <w:szCs w:val="22"/>
        </w:rPr>
        <w:t xml:space="preserve"> are energy density (e.g., kWh per mass and per volume), energy capacity (energy that can be stored per unit of technology, e.g., MWh per tank), maximum cycling rate (in MW) and investment and operational costs (storage usually includes pre-processing such as compression and liqu</w:t>
      </w:r>
      <w:r w:rsidR="00CB5F28">
        <w:rPr>
          <w:szCs w:val="22"/>
        </w:rPr>
        <w:t>efaction</w:t>
      </w:r>
      <w:r w:rsidRPr="008B3254">
        <w:rPr>
          <w:szCs w:val="22"/>
        </w:rPr>
        <w:t>). Further requirements could include safety, efficiency, space requirements and availability</w:t>
      </w:r>
      <w:r>
        <w:rPr>
          <w:szCs w:val="22"/>
        </w:rPr>
        <w:t xml:space="preserve">. Storage options can be segregated based on the surface and subsurface storage options and can be further divided on the storage phase (gas/liquid). Additionally, storage time (seasonal, monthly, daily/hourly), is another </w:t>
      </w:r>
      <w:r>
        <w:rPr>
          <w:szCs w:val="22"/>
        </w:rPr>
        <w:lastRenderedPageBreak/>
        <w:t xml:space="preserve">parameter to take into consideration while </w:t>
      </w:r>
      <w:r w:rsidR="00CD0EDD">
        <w:rPr>
          <w:szCs w:val="22"/>
        </w:rPr>
        <w:t xml:space="preserve">evaluating and </w:t>
      </w:r>
      <w:r>
        <w:rPr>
          <w:szCs w:val="22"/>
        </w:rPr>
        <w:t xml:space="preserve">planning storage options. The following figure shows the storage technology segregation based on the above defined parameters. </w:t>
      </w:r>
    </w:p>
    <w:p w14:paraId="79457FA3" w14:textId="6AA2E6EF" w:rsidR="00275339" w:rsidRDefault="00275339" w:rsidP="00431822">
      <w:pPr>
        <w:pStyle w:val="Bijschrift"/>
        <w:spacing w:before="360" w:after="240"/>
        <w:rPr>
          <w:szCs w:val="22"/>
        </w:rPr>
      </w:pPr>
      <w:r>
        <w:t xml:space="preserve">Figure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noBreakHyphen/>
      </w:r>
      <w:r w:rsidR="00632A41">
        <w:t>21</w:t>
      </w:r>
      <w:r w:rsidRPr="002F5E58">
        <w:rPr>
          <w:b w:val="0"/>
          <w:bCs w:val="0"/>
        </w:rPr>
        <w:t>.</w:t>
      </w:r>
      <w:r>
        <w:t xml:space="preserve"> Gas storage options</w:t>
      </w:r>
    </w:p>
    <w:p w14:paraId="7A3E77B0" w14:textId="2595974E" w:rsidR="00275339" w:rsidRDefault="008B1E66" w:rsidP="00431822">
      <w:pPr>
        <w:jc w:val="center"/>
        <w:rPr>
          <w:szCs w:val="22"/>
        </w:rPr>
      </w:pPr>
      <w:r>
        <w:rPr>
          <w:noProof/>
        </w:rPr>
        <w:drawing>
          <wp:inline distT="0" distB="0" distL="0" distR="0" wp14:anchorId="76DA5A3B" wp14:editId="34BF4035">
            <wp:extent cx="4067175" cy="2054315"/>
            <wp:effectExtent l="0" t="0" r="0" b="3175"/>
            <wp:docPr id="96" name="Picture 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10;&#10;Description automatically generated"/>
                    <pic:cNvPicPr/>
                  </pic:nvPicPr>
                  <pic:blipFill>
                    <a:blip r:embed="rId49"/>
                    <a:stretch>
                      <a:fillRect/>
                    </a:stretch>
                  </pic:blipFill>
                  <pic:spPr>
                    <a:xfrm>
                      <a:off x="0" y="0"/>
                      <a:ext cx="4086895" cy="2064275"/>
                    </a:xfrm>
                    <a:prstGeom prst="rect">
                      <a:avLst/>
                    </a:prstGeom>
                  </pic:spPr>
                </pic:pic>
              </a:graphicData>
            </a:graphic>
          </wp:inline>
        </w:drawing>
      </w:r>
    </w:p>
    <w:p w14:paraId="4982954C" w14:textId="21F467CE" w:rsidR="00275339" w:rsidRDefault="00275339" w:rsidP="00E41CE6">
      <w:pPr>
        <w:spacing w:after="120"/>
        <w:jc w:val="both"/>
        <w:rPr>
          <w:szCs w:val="22"/>
        </w:rPr>
      </w:pPr>
      <w:r>
        <w:rPr>
          <w:szCs w:val="22"/>
        </w:rPr>
        <w:t xml:space="preserve">The storage scale, storage duration and technology readiness level </w:t>
      </w:r>
      <w:r w:rsidR="00CD0EDD">
        <w:rPr>
          <w:szCs w:val="22"/>
        </w:rPr>
        <w:t xml:space="preserve">are </w:t>
      </w:r>
      <w:r>
        <w:rPr>
          <w:szCs w:val="22"/>
        </w:rPr>
        <w:t>discussed in the following table. Compression, liqu</w:t>
      </w:r>
      <w:r w:rsidR="00CB5F28">
        <w:rPr>
          <w:szCs w:val="22"/>
        </w:rPr>
        <w:t>efaction</w:t>
      </w:r>
      <w:r>
        <w:rPr>
          <w:szCs w:val="22"/>
        </w:rPr>
        <w:t>, and hydrogen derivatives present short</w:t>
      </w:r>
      <w:r w:rsidR="00B828DA">
        <w:rPr>
          <w:szCs w:val="22"/>
        </w:rPr>
        <w:t>-</w:t>
      </w:r>
      <w:r>
        <w:rPr>
          <w:szCs w:val="22"/>
        </w:rPr>
        <w:t xml:space="preserve"> to medium</w:t>
      </w:r>
      <w:r w:rsidR="00B828DA">
        <w:rPr>
          <w:szCs w:val="22"/>
        </w:rPr>
        <w:t>-</w:t>
      </w:r>
      <w:r>
        <w:rPr>
          <w:szCs w:val="22"/>
        </w:rPr>
        <w:t xml:space="preserve">term storage </w:t>
      </w:r>
      <w:r w:rsidR="00CD0EDD">
        <w:rPr>
          <w:szCs w:val="22"/>
        </w:rPr>
        <w:t xml:space="preserve">options </w:t>
      </w:r>
      <w:r>
        <w:rPr>
          <w:szCs w:val="22"/>
        </w:rPr>
        <w:t xml:space="preserve">used to have </w:t>
      </w:r>
      <w:r w:rsidR="00CD0EDD">
        <w:rPr>
          <w:szCs w:val="22"/>
        </w:rPr>
        <w:t xml:space="preserve">storage capacity during </w:t>
      </w:r>
      <w:r w:rsidR="00B828DA">
        <w:rPr>
          <w:szCs w:val="22"/>
        </w:rPr>
        <w:t>some</w:t>
      </w:r>
      <w:r w:rsidR="00CD0EDD">
        <w:rPr>
          <w:szCs w:val="22"/>
        </w:rPr>
        <w:t xml:space="preserve"> </w:t>
      </w:r>
      <w:r>
        <w:rPr>
          <w:szCs w:val="22"/>
        </w:rPr>
        <w:t>hours</w:t>
      </w:r>
      <w:r w:rsidR="00B828DA">
        <w:rPr>
          <w:szCs w:val="22"/>
        </w:rPr>
        <w:t xml:space="preserve"> up to a few </w:t>
      </w:r>
      <w:r>
        <w:rPr>
          <w:szCs w:val="22"/>
        </w:rPr>
        <w:t>days</w:t>
      </w:r>
      <w:r w:rsidR="00D7228A">
        <w:rPr>
          <w:szCs w:val="22"/>
        </w:rPr>
        <w:t>, w</w:t>
      </w:r>
      <w:r>
        <w:rPr>
          <w:szCs w:val="22"/>
        </w:rPr>
        <w:t xml:space="preserve">hereas salt caverns present the </w:t>
      </w:r>
      <w:r w:rsidR="00D7228A">
        <w:rPr>
          <w:szCs w:val="22"/>
        </w:rPr>
        <w:t xml:space="preserve">gas </w:t>
      </w:r>
      <w:r>
        <w:rPr>
          <w:szCs w:val="22"/>
        </w:rPr>
        <w:t>storage option for medium</w:t>
      </w:r>
      <w:r w:rsidR="00B828DA">
        <w:rPr>
          <w:szCs w:val="22"/>
        </w:rPr>
        <w:t>- to long-</w:t>
      </w:r>
      <w:r>
        <w:rPr>
          <w:szCs w:val="22"/>
        </w:rPr>
        <w:t>term storage (weeks – months</w:t>
      </w:r>
      <w:r w:rsidR="00B828DA">
        <w:rPr>
          <w:szCs w:val="22"/>
        </w:rPr>
        <w:t xml:space="preserve"> - seasonal</w:t>
      </w:r>
      <w:r>
        <w:rPr>
          <w:szCs w:val="22"/>
        </w:rPr>
        <w:t>). Only porous reservoir storage (depleted gas fields or aquifers) presents the large enough capacities which can serve for seasonal gas storage facilities.</w:t>
      </w:r>
      <w:r w:rsidR="00B828DA">
        <w:rPr>
          <w:szCs w:val="22"/>
        </w:rPr>
        <w:t xml:space="preserve"> Some types of existing natural gas storage sites (in particular salt caverns) are also considered suitable for later repurposing for hydrogen storage. Field tests are ongoing at the initiative of ENTSOG and some of its </w:t>
      </w:r>
      <w:r w:rsidR="00A82817">
        <w:rPr>
          <w:szCs w:val="22"/>
        </w:rPr>
        <w:t xml:space="preserve">gas TSO </w:t>
      </w:r>
      <w:r w:rsidR="00B828DA">
        <w:rPr>
          <w:szCs w:val="22"/>
        </w:rPr>
        <w:t>members.</w:t>
      </w:r>
    </w:p>
    <w:p w14:paraId="57F3E425" w14:textId="77013C39" w:rsidR="00243DEA" w:rsidRDefault="00881BBD" w:rsidP="002138FC">
      <w:pPr>
        <w:pStyle w:val="Bijschrift"/>
        <w:spacing w:before="240"/>
      </w:pPr>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6</w:t>
      </w:r>
      <w:r w:rsidR="006D12F8">
        <w:rPr>
          <w:noProof/>
        </w:rPr>
        <w:fldChar w:fldCharType="end"/>
      </w:r>
      <w:r>
        <w:t xml:space="preserve">. </w:t>
      </w:r>
      <w:r w:rsidR="004D0FA1">
        <w:t>Gas storage technologies</w:t>
      </w:r>
    </w:p>
    <w:tbl>
      <w:tblPr>
        <w:tblStyle w:val="Table1"/>
        <w:tblW w:w="0" w:type="auto"/>
        <w:tblInd w:w="562" w:type="dxa"/>
        <w:tblLook w:val="04A0" w:firstRow="1" w:lastRow="0" w:firstColumn="1" w:lastColumn="0" w:noHBand="0" w:noVBand="1"/>
      </w:tblPr>
      <w:tblGrid>
        <w:gridCol w:w="1784"/>
        <w:gridCol w:w="1373"/>
        <w:gridCol w:w="1510"/>
        <w:gridCol w:w="656"/>
        <w:gridCol w:w="3131"/>
      </w:tblGrid>
      <w:tr w:rsidR="00645794" w:rsidRPr="00E30889" w14:paraId="4EA5D8FE" w14:textId="77777777" w:rsidTr="00EE30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50" w:type="dxa"/>
          </w:tcPr>
          <w:p w14:paraId="0DE2060D" w14:textId="77777777" w:rsidR="00645794" w:rsidRPr="00A83CF0" w:rsidRDefault="00645794" w:rsidP="00430743">
            <w:pPr>
              <w:spacing w:before="40" w:after="40" w:line="0" w:lineRule="atLeast"/>
              <w:ind w:left="29" w:right="113"/>
              <w:jc w:val="center"/>
              <w:rPr>
                <w:rFonts w:ascii="Trebuchet MS" w:hAnsi="Trebuchet MS"/>
                <w:bCs/>
                <w:szCs w:val="16"/>
              </w:rPr>
            </w:pPr>
            <w:r w:rsidRPr="00A83CF0">
              <w:rPr>
                <w:rFonts w:ascii="Trebuchet MS" w:hAnsi="Trebuchet MS"/>
                <w:bCs/>
                <w:szCs w:val="16"/>
              </w:rPr>
              <w:t>Storage Technology</w:t>
            </w:r>
          </w:p>
        </w:tc>
        <w:tc>
          <w:tcPr>
            <w:tcW w:w="1424" w:type="dxa"/>
          </w:tcPr>
          <w:p w14:paraId="330EDEB1" w14:textId="6509AB1F" w:rsidR="00645794" w:rsidRPr="00A83CF0" w:rsidRDefault="00645794" w:rsidP="00430743">
            <w:pPr>
              <w:spacing w:before="40" w:after="40" w:line="0" w:lineRule="atLeast"/>
              <w:ind w:left="23" w:right="113" w:firstLine="13"/>
              <w:cnfStyle w:val="100000000000" w:firstRow="1" w:lastRow="0" w:firstColumn="0" w:lastColumn="0" w:oddVBand="0" w:evenVBand="0" w:oddHBand="0" w:evenHBand="0" w:firstRowFirstColumn="0" w:firstRowLastColumn="0" w:lastRowFirstColumn="0" w:lastRowLastColumn="0"/>
              <w:rPr>
                <w:rFonts w:ascii="Trebuchet MS" w:hAnsi="Trebuchet MS"/>
                <w:bCs/>
                <w:szCs w:val="16"/>
              </w:rPr>
            </w:pPr>
            <w:r w:rsidRPr="00A83CF0">
              <w:rPr>
                <w:rFonts w:ascii="Trebuchet MS" w:hAnsi="Trebuchet MS"/>
                <w:bCs/>
                <w:szCs w:val="16"/>
              </w:rPr>
              <w:t>Storage scale</w:t>
            </w:r>
          </w:p>
        </w:tc>
        <w:tc>
          <w:tcPr>
            <w:tcW w:w="1552" w:type="dxa"/>
          </w:tcPr>
          <w:p w14:paraId="5C81E818" w14:textId="77777777" w:rsidR="00645794" w:rsidRPr="00A83CF0" w:rsidRDefault="00645794" w:rsidP="00430743">
            <w:pPr>
              <w:tabs>
                <w:tab w:val="left" w:pos="1531"/>
              </w:tabs>
              <w:spacing w:before="40" w:after="40" w:line="0" w:lineRule="atLeast"/>
              <w:ind w:left="182" w:right="113" w:hanging="182"/>
              <w:cnfStyle w:val="100000000000" w:firstRow="1" w:lastRow="0" w:firstColumn="0" w:lastColumn="0" w:oddVBand="0" w:evenVBand="0" w:oddHBand="0" w:evenHBand="0" w:firstRowFirstColumn="0" w:firstRowLastColumn="0" w:lastRowFirstColumn="0" w:lastRowLastColumn="0"/>
              <w:rPr>
                <w:rFonts w:ascii="Trebuchet MS" w:hAnsi="Trebuchet MS"/>
                <w:bCs/>
                <w:szCs w:val="16"/>
              </w:rPr>
            </w:pPr>
            <w:r w:rsidRPr="00A83CF0">
              <w:rPr>
                <w:rFonts w:ascii="Trebuchet MS" w:hAnsi="Trebuchet MS"/>
                <w:bCs/>
                <w:szCs w:val="16"/>
              </w:rPr>
              <w:t>Storage duration</w:t>
            </w:r>
          </w:p>
        </w:tc>
        <w:tc>
          <w:tcPr>
            <w:tcW w:w="277" w:type="dxa"/>
          </w:tcPr>
          <w:p w14:paraId="7EB1B89B" w14:textId="77777777" w:rsidR="00645794" w:rsidRPr="00A83CF0" w:rsidRDefault="00645794" w:rsidP="00430743">
            <w:pPr>
              <w:spacing w:before="40" w:after="40" w:line="0" w:lineRule="atLeast"/>
              <w:ind w:left="-27" w:right="113"/>
              <w:cnfStyle w:val="100000000000" w:firstRow="1" w:lastRow="0" w:firstColumn="0" w:lastColumn="0" w:oddVBand="0" w:evenVBand="0" w:oddHBand="0" w:evenHBand="0" w:firstRowFirstColumn="0" w:firstRowLastColumn="0" w:lastRowFirstColumn="0" w:lastRowLastColumn="0"/>
              <w:rPr>
                <w:rFonts w:ascii="Trebuchet MS" w:hAnsi="Trebuchet MS"/>
                <w:bCs/>
                <w:szCs w:val="16"/>
              </w:rPr>
            </w:pPr>
            <w:r w:rsidRPr="00A83CF0">
              <w:rPr>
                <w:rFonts w:ascii="Trebuchet MS" w:hAnsi="Trebuchet MS"/>
                <w:bCs/>
                <w:szCs w:val="16"/>
              </w:rPr>
              <w:t>TRL*</w:t>
            </w:r>
          </w:p>
        </w:tc>
        <w:tc>
          <w:tcPr>
            <w:tcW w:w="3351" w:type="dxa"/>
          </w:tcPr>
          <w:p w14:paraId="030414FD" w14:textId="77777777" w:rsidR="00645794" w:rsidRPr="00A83CF0" w:rsidRDefault="00645794" w:rsidP="00430743">
            <w:pPr>
              <w:spacing w:before="40" w:after="40" w:line="0" w:lineRule="atLeast"/>
              <w:ind w:right="113" w:hanging="567"/>
              <w:cnfStyle w:val="100000000000" w:firstRow="1" w:lastRow="0" w:firstColumn="0" w:lastColumn="0" w:oddVBand="0" w:evenVBand="0" w:oddHBand="0" w:evenHBand="0" w:firstRowFirstColumn="0" w:firstRowLastColumn="0" w:lastRowFirstColumn="0" w:lastRowLastColumn="0"/>
              <w:rPr>
                <w:rFonts w:ascii="Trebuchet MS" w:hAnsi="Trebuchet MS"/>
                <w:bCs/>
                <w:szCs w:val="16"/>
              </w:rPr>
            </w:pPr>
            <w:r w:rsidRPr="00A83CF0">
              <w:rPr>
                <w:rFonts w:ascii="Trebuchet MS" w:hAnsi="Trebuchet MS"/>
                <w:bCs/>
                <w:szCs w:val="16"/>
              </w:rPr>
              <w:t>Comments</w:t>
            </w:r>
          </w:p>
        </w:tc>
      </w:tr>
      <w:tr w:rsidR="00645794" w:rsidRPr="00E30889" w14:paraId="37696FA3" w14:textId="77777777" w:rsidTr="00430743">
        <w:tc>
          <w:tcPr>
            <w:cnfStyle w:val="001000000000" w:firstRow="0" w:lastRow="0" w:firstColumn="1" w:lastColumn="0" w:oddVBand="0" w:evenVBand="0" w:oddHBand="0" w:evenHBand="0" w:firstRowFirstColumn="0" w:firstRowLastColumn="0" w:lastRowFirstColumn="0" w:lastRowLastColumn="0"/>
            <w:tcW w:w="1850" w:type="dxa"/>
          </w:tcPr>
          <w:p w14:paraId="4B827320" w14:textId="77777777" w:rsidR="00645794" w:rsidRPr="00E30889" w:rsidRDefault="00645794" w:rsidP="00E30889">
            <w:pPr>
              <w:spacing w:line="0" w:lineRule="atLeast"/>
              <w:ind w:left="0"/>
              <w:rPr>
                <w:sz w:val="14"/>
                <w:szCs w:val="14"/>
              </w:rPr>
            </w:pPr>
            <w:r w:rsidRPr="00E30889">
              <w:rPr>
                <w:sz w:val="14"/>
                <w:szCs w:val="14"/>
              </w:rPr>
              <w:t>Compressed gas (CNG, Bio-CNG, CGH2)</w:t>
            </w:r>
          </w:p>
        </w:tc>
        <w:tc>
          <w:tcPr>
            <w:tcW w:w="1424" w:type="dxa"/>
          </w:tcPr>
          <w:p w14:paraId="66875DDA" w14:textId="77777777" w:rsidR="00645794" w:rsidRPr="00E30889" w:rsidRDefault="00645794" w:rsidP="00E30889">
            <w:pPr>
              <w:spacing w:line="0" w:lineRule="atLeast"/>
              <w:ind w:left="0"/>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 xml:space="preserve">Small-scale to medium-scale storage </w:t>
            </w:r>
          </w:p>
        </w:tc>
        <w:tc>
          <w:tcPr>
            <w:tcW w:w="1552" w:type="dxa"/>
          </w:tcPr>
          <w:p w14:paraId="72285C1E" w14:textId="77777777" w:rsidR="00645794" w:rsidRPr="00E30889" w:rsidRDefault="00645794" w:rsidP="00E30889">
            <w:pPr>
              <w:spacing w:line="0" w:lineRule="atLeast"/>
              <w:ind w:left="0" w:right="-106"/>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Short to medium (hours, days)</w:t>
            </w:r>
          </w:p>
        </w:tc>
        <w:tc>
          <w:tcPr>
            <w:tcW w:w="277" w:type="dxa"/>
          </w:tcPr>
          <w:p w14:paraId="1162E8A2" w14:textId="77777777" w:rsidR="00645794" w:rsidRPr="00E30889" w:rsidRDefault="00645794" w:rsidP="00E30889">
            <w:pPr>
              <w:spacing w:line="0" w:lineRule="atLeast"/>
              <w:ind w:left="0" w:right="40" w:hanging="109"/>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9</w:t>
            </w:r>
          </w:p>
        </w:tc>
        <w:tc>
          <w:tcPr>
            <w:tcW w:w="3351" w:type="dxa"/>
          </w:tcPr>
          <w:p w14:paraId="1A833A8A" w14:textId="3C3D03D1" w:rsidR="00645794" w:rsidRPr="00E30889" w:rsidRDefault="00645794" w:rsidP="00E30889">
            <w:pPr>
              <w:spacing w:line="0" w:lineRule="atLeast"/>
              <w:ind w:left="0" w:right="-22"/>
              <w:jc w:val="both"/>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The most used gas storage type but offer</w:t>
            </w:r>
            <w:r w:rsidR="00A82817">
              <w:rPr>
                <w:sz w:val="14"/>
                <w:szCs w:val="14"/>
              </w:rPr>
              <w:t>s</w:t>
            </w:r>
            <w:r w:rsidRPr="00E30889">
              <w:rPr>
                <w:sz w:val="14"/>
                <w:szCs w:val="14"/>
              </w:rPr>
              <w:t xml:space="preserve"> l</w:t>
            </w:r>
            <w:r w:rsidR="00A82817">
              <w:rPr>
                <w:sz w:val="14"/>
                <w:szCs w:val="14"/>
              </w:rPr>
              <w:t xml:space="preserve">ow </w:t>
            </w:r>
            <w:r w:rsidRPr="00E30889">
              <w:rPr>
                <w:sz w:val="14"/>
                <w:szCs w:val="14"/>
              </w:rPr>
              <w:t xml:space="preserve">energy density and </w:t>
            </w:r>
            <w:r w:rsidR="00A82817">
              <w:rPr>
                <w:sz w:val="14"/>
                <w:szCs w:val="14"/>
              </w:rPr>
              <w:t>hence r</w:t>
            </w:r>
            <w:r w:rsidRPr="00E30889">
              <w:rPr>
                <w:sz w:val="14"/>
                <w:szCs w:val="14"/>
              </w:rPr>
              <w:t>equire</w:t>
            </w:r>
            <w:r w:rsidR="00A82817">
              <w:rPr>
                <w:sz w:val="14"/>
                <w:szCs w:val="14"/>
              </w:rPr>
              <w:t>s</w:t>
            </w:r>
            <w:r w:rsidRPr="00E30889">
              <w:rPr>
                <w:sz w:val="14"/>
                <w:szCs w:val="14"/>
              </w:rPr>
              <w:t xml:space="preserve"> large storage volumes</w:t>
            </w:r>
          </w:p>
        </w:tc>
      </w:tr>
      <w:tr w:rsidR="00645794" w:rsidRPr="00E30889" w14:paraId="27CE4A4C" w14:textId="77777777" w:rsidTr="00430743">
        <w:tc>
          <w:tcPr>
            <w:cnfStyle w:val="001000000000" w:firstRow="0" w:lastRow="0" w:firstColumn="1" w:lastColumn="0" w:oddVBand="0" w:evenVBand="0" w:oddHBand="0" w:evenHBand="0" w:firstRowFirstColumn="0" w:firstRowLastColumn="0" w:lastRowFirstColumn="0" w:lastRowLastColumn="0"/>
            <w:tcW w:w="1850" w:type="dxa"/>
          </w:tcPr>
          <w:p w14:paraId="62ECA032" w14:textId="383F1417" w:rsidR="00645794" w:rsidRPr="00E30889" w:rsidRDefault="00645794" w:rsidP="00E30889">
            <w:pPr>
              <w:spacing w:line="0" w:lineRule="atLeast"/>
              <w:ind w:left="0"/>
              <w:rPr>
                <w:sz w:val="14"/>
                <w:szCs w:val="14"/>
              </w:rPr>
            </w:pPr>
            <w:r w:rsidRPr="00E30889">
              <w:rPr>
                <w:sz w:val="14"/>
                <w:szCs w:val="14"/>
              </w:rPr>
              <w:t>Liqu</w:t>
            </w:r>
            <w:r w:rsidR="00CB5F28">
              <w:rPr>
                <w:sz w:val="14"/>
                <w:szCs w:val="14"/>
              </w:rPr>
              <w:t>efaction</w:t>
            </w:r>
            <w:r w:rsidRPr="00E30889">
              <w:rPr>
                <w:sz w:val="14"/>
                <w:szCs w:val="14"/>
              </w:rPr>
              <w:t xml:space="preserve"> (LNG, Bio-LNG, LH2)</w:t>
            </w:r>
          </w:p>
        </w:tc>
        <w:tc>
          <w:tcPr>
            <w:tcW w:w="1424" w:type="dxa"/>
          </w:tcPr>
          <w:p w14:paraId="2ACA9228" w14:textId="77777777" w:rsidR="00645794" w:rsidRPr="00E30889" w:rsidRDefault="00645794" w:rsidP="00E30889">
            <w:pPr>
              <w:spacing w:line="0" w:lineRule="atLeast"/>
              <w:ind w:left="0"/>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Small-scale to medium-scale storage</w:t>
            </w:r>
          </w:p>
        </w:tc>
        <w:tc>
          <w:tcPr>
            <w:tcW w:w="1552" w:type="dxa"/>
          </w:tcPr>
          <w:p w14:paraId="3855C2E7" w14:textId="77777777" w:rsidR="00645794" w:rsidRPr="00E30889" w:rsidRDefault="00645794" w:rsidP="00E30889">
            <w:pPr>
              <w:spacing w:line="0" w:lineRule="atLeast"/>
              <w:ind w:left="0" w:right="-106"/>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Short to medium (hours, days)</w:t>
            </w:r>
          </w:p>
        </w:tc>
        <w:tc>
          <w:tcPr>
            <w:tcW w:w="277" w:type="dxa"/>
          </w:tcPr>
          <w:p w14:paraId="4D22DE80" w14:textId="77777777" w:rsidR="00645794" w:rsidRPr="00E30889" w:rsidRDefault="00645794" w:rsidP="00E30889">
            <w:pPr>
              <w:spacing w:line="0" w:lineRule="atLeast"/>
              <w:ind w:left="0" w:right="40" w:hanging="109"/>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9</w:t>
            </w:r>
          </w:p>
        </w:tc>
        <w:tc>
          <w:tcPr>
            <w:tcW w:w="3351" w:type="dxa"/>
          </w:tcPr>
          <w:p w14:paraId="4DBEB262" w14:textId="77777777" w:rsidR="00645794" w:rsidRPr="00E30889" w:rsidRDefault="00645794" w:rsidP="00E30889">
            <w:pPr>
              <w:spacing w:line="0" w:lineRule="atLeast"/>
              <w:ind w:left="0" w:right="-22"/>
              <w:jc w:val="both"/>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Largely deployed capacities across EU: 8.5-9.1 mil. m3 exists in EU (173 (</w:t>
            </w:r>
            <w:proofErr w:type="spellStart"/>
            <w:r w:rsidRPr="00E30889">
              <w:rPr>
                <w:sz w:val="14"/>
                <w:szCs w:val="14"/>
              </w:rPr>
              <w:t>bcm</w:t>
            </w:r>
            <w:proofErr w:type="spellEnd"/>
            <w:r w:rsidRPr="00E30889">
              <w:rPr>
                <w:sz w:val="14"/>
                <w:szCs w:val="14"/>
              </w:rPr>
              <w:t>(N) / year) regasification capacity)</w:t>
            </w:r>
          </w:p>
        </w:tc>
      </w:tr>
      <w:tr w:rsidR="00645794" w:rsidRPr="00E30889" w14:paraId="022FCD65" w14:textId="77777777" w:rsidTr="00430743">
        <w:tc>
          <w:tcPr>
            <w:cnfStyle w:val="001000000000" w:firstRow="0" w:lastRow="0" w:firstColumn="1" w:lastColumn="0" w:oddVBand="0" w:evenVBand="0" w:oddHBand="0" w:evenHBand="0" w:firstRowFirstColumn="0" w:firstRowLastColumn="0" w:lastRowFirstColumn="0" w:lastRowLastColumn="0"/>
            <w:tcW w:w="1850" w:type="dxa"/>
          </w:tcPr>
          <w:p w14:paraId="30050048" w14:textId="77777777" w:rsidR="00645794" w:rsidRPr="00E30889" w:rsidRDefault="00645794" w:rsidP="00E30889">
            <w:pPr>
              <w:spacing w:line="0" w:lineRule="atLeast"/>
              <w:ind w:left="0"/>
              <w:rPr>
                <w:sz w:val="14"/>
                <w:szCs w:val="14"/>
              </w:rPr>
            </w:pPr>
            <w:r w:rsidRPr="00E30889">
              <w:rPr>
                <w:sz w:val="14"/>
                <w:szCs w:val="14"/>
              </w:rPr>
              <w:t xml:space="preserve">Liquid derivatives of Hydrogen – </w:t>
            </w:r>
            <w:proofErr w:type="spellStart"/>
            <w:r w:rsidRPr="00E30889">
              <w:rPr>
                <w:sz w:val="14"/>
                <w:szCs w:val="14"/>
              </w:rPr>
              <w:t>PtG</w:t>
            </w:r>
            <w:proofErr w:type="spellEnd"/>
            <w:r w:rsidRPr="00E30889">
              <w:rPr>
                <w:sz w:val="14"/>
                <w:szCs w:val="14"/>
              </w:rPr>
              <w:t xml:space="preserve"> (ammonia, methanol) </w:t>
            </w:r>
          </w:p>
        </w:tc>
        <w:tc>
          <w:tcPr>
            <w:tcW w:w="1424" w:type="dxa"/>
          </w:tcPr>
          <w:p w14:paraId="4AE88640" w14:textId="77777777" w:rsidR="00645794" w:rsidRPr="00E30889" w:rsidRDefault="00645794" w:rsidP="00E30889">
            <w:pPr>
              <w:spacing w:line="0" w:lineRule="atLeast"/>
              <w:ind w:left="0"/>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Small-scale to medium-scale storage</w:t>
            </w:r>
          </w:p>
        </w:tc>
        <w:tc>
          <w:tcPr>
            <w:tcW w:w="1552" w:type="dxa"/>
          </w:tcPr>
          <w:p w14:paraId="557312A6" w14:textId="77777777" w:rsidR="00645794" w:rsidRPr="00E30889" w:rsidRDefault="00645794" w:rsidP="00E30889">
            <w:pPr>
              <w:spacing w:line="0" w:lineRule="atLeast"/>
              <w:ind w:left="0" w:right="-106"/>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Short to medium (hours, days)</w:t>
            </w:r>
          </w:p>
        </w:tc>
        <w:tc>
          <w:tcPr>
            <w:tcW w:w="277" w:type="dxa"/>
          </w:tcPr>
          <w:p w14:paraId="3A9F5C7F" w14:textId="77777777" w:rsidR="00645794" w:rsidRPr="00E30889" w:rsidRDefault="00645794" w:rsidP="00E30889">
            <w:pPr>
              <w:spacing w:line="0" w:lineRule="atLeast"/>
              <w:ind w:left="0" w:right="40" w:hanging="109"/>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9</w:t>
            </w:r>
          </w:p>
        </w:tc>
        <w:tc>
          <w:tcPr>
            <w:tcW w:w="3351" w:type="dxa"/>
          </w:tcPr>
          <w:p w14:paraId="0EAC4716" w14:textId="498ECADE" w:rsidR="00645794" w:rsidRPr="00E30889" w:rsidRDefault="00645794" w:rsidP="00E30889">
            <w:pPr>
              <w:spacing w:line="0" w:lineRule="atLeast"/>
              <w:ind w:left="0" w:right="-22"/>
              <w:jc w:val="both"/>
              <w:cnfStyle w:val="000000000000" w:firstRow="0" w:lastRow="0" w:firstColumn="0" w:lastColumn="0" w:oddVBand="0" w:evenVBand="0" w:oddHBand="0" w:evenHBand="0" w:firstRowFirstColumn="0" w:firstRowLastColumn="0" w:lastRowFirstColumn="0" w:lastRowLastColumn="0"/>
              <w:rPr>
                <w:sz w:val="14"/>
                <w:szCs w:val="14"/>
              </w:rPr>
            </w:pPr>
            <w:proofErr w:type="spellStart"/>
            <w:r w:rsidRPr="00E30889">
              <w:rPr>
                <w:sz w:val="14"/>
                <w:szCs w:val="14"/>
              </w:rPr>
              <w:t>PtG</w:t>
            </w:r>
            <w:proofErr w:type="spellEnd"/>
            <w:r w:rsidRPr="00E30889">
              <w:rPr>
                <w:sz w:val="14"/>
                <w:szCs w:val="14"/>
              </w:rPr>
              <w:t xml:space="preserve"> is a mature storage option for hydrogen which allows then the use of these derivatives (ammonia, methanol) in </w:t>
            </w:r>
            <w:r w:rsidR="00A82817">
              <w:rPr>
                <w:sz w:val="14"/>
                <w:szCs w:val="14"/>
              </w:rPr>
              <w:t xml:space="preserve">transport or </w:t>
            </w:r>
            <w:r w:rsidRPr="00E30889">
              <w:rPr>
                <w:sz w:val="14"/>
                <w:szCs w:val="14"/>
              </w:rPr>
              <w:t xml:space="preserve">industry or can </w:t>
            </w:r>
            <w:r w:rsidR="00A82817">
              <w:rPr>
                <w:sz w:val="14"/>
                <w:szCs w:val="14"/>
              </w:rPr>
              <w:t xml:space="preserve">be </w:t>
            </w:r>
            <w:r w:rsidRPr="00E30889">
              <w:rPr>
                <w:sz w:val="14"/>
                <w:szCs w:val="14"/>
              </w:rPr>
              <w:t>dehydrogenated to recover the stored hydrogen</w:t>
            </w:r>
          </w:p>
        </w:tc>
      </w:tr>
      <w:tr w:rsidR="00645794" w:rsidRPr="00E30889" w14:paraId="3F511284" w14:textId="77777777" w:rsidTr="00430743">
        <w:tc>
          <w:tcPr>
            <w:cnfStyle w:val="001000000000" w:firstRow="0" w:lastRow="0" w:firstColumn="1" w:lastColumn="0" w:oddVBand="0" w:evenVBand="0" w:oddHBand="0" w:evenHBand="0" w:firstRowFirstColumn="0" w:firstRowLastColumn="0" w:lastRowFirstColumn="0" w:lastRowLastColumn="0"/>
            <w:tcW w:w="1850" w:type="dxa"/>
          </w:tcPr>
          <w:p w14:paraId="7EE74A38" w14:textId="77777777" w:rsidR="00645794" w:rsidRPr="00E30889" w:rsidRDefault="00645794" w:rsidP="00E30889">
            <w:pPr>
              <w:spacing w:line="0" w:lineRule="atLeast"/>
              <w:ind w:left="0"/>
              <w:rPr>
                <w:sz w:val="14"/>
                <w:szCs w:val="14"/>
              </w:rPr>
            </w:pPr>
            <w:r w:rsidRPr="00E30889">
              <w:rPr>
                <w:sz w:val="14"/>
                <w:szCs w:val="14"/>
              </w:rPr>
              <w:t>Liquid derivatives of Hydrogen (LOHC)</w:t>
            </w:r>
          </w:p>
        </w:tc>
        <w:tc>
          <w:tcPr>
            <w:tcW w:w="1424" w:type="dxa"/>
          </w:tcPr>
          <w:p w14:paraId="0A173ED6" w14:textId="77777777" w:rsidR="00645794" w:rsidRPr="00E30889" w:rsidRDefault="00645794" w:rsidP="00E30889">
            <w:pPr>
              <w:spacing w:line="0" w:lineRule="atLeast"/>
              <w:ind w:left="0"/>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Medium-scale storage</w:t>
            </w:r>
          </w:p>
        </w:tc>
        <w:tc>
          <w:tcPr>
            <w:tcW w:w="1552" w:type="dxa"/>
          </w:tcPr>
          <w:p w14:paraId="38D23EEE" w14:textId="77777777" w:rsidR="00645794" w:rsidRPr="00E30889" w:rsidRDefault="00645794" w:rsidP="00E30889">
            <w:pPr>
              <w:spacing w:line="0" w:lineRule="atLeast"/>
              <w:ind w:left="0" w:right="-106"/>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Short to medium (hours, days)</w:t>
            </w:r>
          </w:p>
        </w:tc>
        <w:tc>
          <w:tcPr>
            <w:tcW w:w="277" w:type="dxa"/>
          </w:tcPr>
          <w:p w14:paraId="74C50A39" w14:textId="77777777" w:rsidR="00645794" w:rsidRPr="00E30889" w:rsidRDefault="00645794" w:rsidP="00E30889">
            <w:pPr>
              <w:spacing w:line="0" w:lineRule="atLeast"/>
              <w:ind w:left="-109" w:right="40"/>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9</w:t>
            </w:r>
          </w:p>
        </w:tc>
        <w:tc>
          <w:tcPr>
            <w:tcW w:w="3351" w:type="dxa"/>
          </w:tcPr>
          <w:p w14:paraId="46261DC6" w14:textId="4CD79858" w:rsidR="00645794" w:rsidRPr="00E30889" w:rsidRDefault="00645794" w:rsidP="00E30889">
            <w:pPr>
              <w:spacing w:line="0" w:lineRule="atLeast"/>
              <w:ind w:left="0" w:right="-22"/>
              <w:jc w:val="both"/>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 xml:space="preserve">After hydrogenation, the LOHC can be treated same as diesel. It can potentially be stored in large diesel storage tanks without requiring any </w:t>
            </w:r>
            <w:r w:rsidR="00A82817">
              <w:rPr>
                <w:sz w:val="14"/>
                <w:szCs w:val="14"/>
              </w:rPr>
              <w:t xml:space="preserve">major </w:t>
            </w:r>
            <w:r w:rsidRPr="00E30889">
              <w:rPr>
                <w:sz w:val="14"/>
                <w:szCs w:val="14"/>
              </w:rPr>
              <w:t xml:space="preserve">modification to the existing storage facility. </w:t>
            </w:r>
          </w:p>
        </w:tc>
      </w:tr>
      <w:tr w:rsidR="00645794" w:rsidRPr="00E30889" w14:paraId="6926F126" w14:textId="77777777" w:rsidTr="00430743">
        <w:tc>
          <w:tcPr>
            <w:cnfStyle w:val="001000000000" w:firstRow="0" w:lastRow="0" w:firstColumn="1" w:lastColumn="0" w:oddVBand="0" w:evenVBand="0" w:oddHBand="0" w:evenHBand="0" w:firstRowFirstColumn="0" w:firstRowLastColumn="0" w:lastRowFirstColumn="0" w:lastRowLastColumn="0"/>
            <w:tcW w:w="1850" w:type="dxa"/>
          </w:tcPr>
          <w:p w14:paraId="244026C6" w14:textId="77777777" w:rsidR="00645794" w:rsidRPr="00E30889" w:rsidRDefault="00645794" w:rsidP="00E30889">
            <w:pPr>
              <w:spacing w:line="0" w:lineRule="atLeast"/>
              <w:ind w:left="0"/>
              <w:rPr>
                <w:sz w:val="14"/>
                <w:szCs w:val="14"/>
              </w:rPr>
            </w:pPr>
            <w:r w:rsidRPr="00E30889">
              <w:rPr>
                <w:sz w:val="14"/>
                <w:szCs w:val="14"/>
              </w:rPr>
              <w:t>Salt caverns (hydrogen storage)</w:t>
            </w:r>
          </w:p>
        </w:tc>
        <w:tc>
          <w:tcPr>
            <w:tcW w:w="1424" w:type="dxa"/>
          </w:tcPr>
          <w:p w14:paraId="4C1C4515" w14:textId="77777777" w:rsidR="00645794" w:rsidRPr="00E30889" w:rsidRDefault="00645794" w:rsidP="00E30889">
            <w:pPr>
              <w:spacing w:line="0" w:lineRule="atLeast"/>
              <w:ind w:left="0"/>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Large-scale storage</w:t>
            </w:r>
          </w:p>
        </w:tc>
        <w:tc>
          <w:tcPr>
            <w:tcW w:w="1552" w:type="dxa"/>
          </w:tcPr>
          <w:p w14:paraId="73931795" w14:textId="77777777" w:rsidR="00645794" w:rsidRPr="00E30889" w:rsidRDefault="00645794" w:rsidP="00E30889">
            <w:pPr>
              <w:spacing w:line="0" w:lineRule="atLeast"/>
              <w:ind w:left="0" w:right="-106"/>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 xml:space="preserve">Medium-term storage (weeks, months) </w:t>
            </w:r>
          </w:p>
        </w:tc>
        <w:tc>
          <w:tcPr>
            <w:tcW w:w="277" w:type="dxa"/>
          </w:tcPr>
          <w:p w14:paraId="6CFCB0FA" w14:textId="77777777" w:rsidR="00645794" w:rsidRPr="00E30889" w:rsidRDefault="00645794" w:rsidP="00E30889">
            <w:pPr>
              <w:spacing w:line="0" w:lineRule="atLeast"/>
              <w:ind w:left="0" w:right="40" w:hanging="109"/>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6-9</w:t>
            </w:r>
          </w:p>
        </w:tc>
        <w:tc>
          <w:tcPr>
            <w:tcW w:w="3351" w:type="dxa"/>
          </w:tcPr>
          <w:p w14:paraId="351E5EC8" w14:textId="77777777" w:rsidR="00645794" w:rsidRPr="00E30889" w:rsidRDefault="00645794" w:rsidP="00E30889">
            <w:pPr>
              <w:spacing w:line="0" w:lineRule="atLeast"/>
              <w:ind w:left="0" w:right="-22"/>
              <w:jc w:val="both"/>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 xml:space="preserve">Fast cycle operation storage service is yet to be demonstrated, hence TRL is lower than 7. TRL = 9 for security of supply services where continuous supply is required. </w:t>
            </w:r>
          </w:p>
        </w:tc>
      </w:tr>
      <w:tr w:rsidR="00645794" w:rsidRPr="00E30889" w14:paraId="5B518E5C" w14:textId="77777777" w:rsidTr="00430743">
        <w:tc>
          <w:tcPr>
            <w:cnfStyle w:val="001000000000" w:firstRow="0" w:lastRow="0" w:firstColumn="1" w:lastColumn="0" w:oddVBand="0" w:evenVBand="0" w:oddHBand="0" w:evenHBand="0" w:firstRowFirstColumn="0" w:firstRowLastColumn="0" w:lastRowFirstColumn="0" w:lastRowLastColumn="0"/>
            <w:tcW w:w="1850" w:type="dxa"/>
          </w:tcPr>
          <w:p w14:paraId="15FE3E7C" w14:textId="77777777" w:rsidR="00645794" w:rsidRPr="00E30889" w:rsidRDefault="00645794" w:rsidP="00E30889">
            <w:pPr>
              <w:spacing w:line="0" w:lineRule="atLeast"/>
              <w:ind w:left="0"/>
              <w:rPr>
                <w:sz w:val="14"/>
                <w:szCs w:val="14"/>
              </w:rPr>
            </w:pPr>
            <w:r w:rsidRPr="00E30889">
              <w:rPr>
                <w:sz w:val="14"/>
                <w:szCs w:val="14"/>
              </w:rPr>
              <w:t>Porous reservoirs (NG, Biomethane, H</w:t>
            </w:r>
            <w:r w:rsidRPr="00C87DE3">
              <w:rPr>
                <w:sz w:val="14"/>
                <w:szCs w:val="14"/>
                <w:vertAlign w:val="subscript"/>
              </w:rPr>
              <w:t>2</w:t>
            </w:r>
            <w:r w:rsidRPr="00E30889">
              <w:rPr>
                <w:sz w:val="14"/>
                <w:szCs w:val="14"/>
              </w:rPr>
              <w:t>)</w:t>
            </w:r>
          </w:p>
        </w:tc>
        <w:tc>
          <w:tcPr>
            <w:tcW w:w="1424" w:type="dxa"/>
          </w:tcPr>
          <w:p w14:paraId="55AFE24D" w14:textId="77777777" w:rsidR="00645794" w:rsidRPr="00E30889" w:rsidRDefault="00645794" w:rsidP="00E30889">
            <w:pPr>
              <w:spacing w:line="0" w:lineRule="atLeast"/>
              <w:ind w:left="0"/>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Large-scale storage</w:t>
            </w:r>
          </w:p>
        </w:tc>
        <w:tc>
          <w:tcPr>
            <w:tcW w:w="1552" w:type="dxa"/>
          </w:tcPr>
          <w:p w14:paraId="57899A35" w14:textId="77777777" w:rsidR="00645794" w:rsidRPr="00E30889" w:rsidRDefault="00645794" w:rsidP="00E30889">
            <w:pPr>
              <w:spacing w:line="0" w:lineRule="atLeast"/>
              <w:ind w:left="0" w:right="-106"/>
              <w:jc w:val="left"/>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 xml:space="preserve">Seasonal </w:t>
            </w:r>
          </w:p>
        </w:tc>
        <w:tc>
          <w:tcPr>
            <w:tcW w:w="277" w:type="dxa"/>
          </w:tcPr>
          <w:p w14:paraId="54EDD538" w14:textId="77777777" w:rsidR="00645794" w:rsidRPr="00E30889" w:rsidRDefault="00645794" w:rsidP="00E30889">
            <w:pPr>
              <w:spacing w:line="0" w:lineRule="atLeast"/>
              <w:ind w:left="0" w:right="40" w:hanging="109"/>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 xml:space="preserve">9, </w:t>
            </w:r>
          </w:p>
          <w:p w14:paraId="4319A9BF" w14:textId="77777777" w:rsidR="00645794" w:rsidRPr="00E30889" w:rsidRDefault="00645794" w:rsidP="00E30889">
            <w:pPr>
              <w:spacing w:line="0" w:lineRule="atLeast"/>
              <w:ind w:left="0" w:right="40" w:hanging="109"/>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2-3</w:t>
            </w:r>
          </w:p>
        </w:tc>
        <w:tc>
          <w:tcPr>
            <w:tcW w:w="3351" w:type="dxa"/>
          </w:tcPr>
          <w:p w14:paraId="4A91ED83" w14:textId="77777777" w:rsidR="00645794" w:rsidRPr="00E30889" w:rsidRDefault="00645794" w:rsidP="00E30889">
            <w:pPr>
              <w:spacing w:line="0" w:lineRule="atLeast"/>
              <w:ind w:left="0" w:right="-22"/>
              <w:jc w:val="both"/>
              <w:cnfStyle w:val="000000000000" w:firstRow="0" w:lastRow="0" w:firstColumn="0" w:lastColumn="0" w:oddVBand="0" w:evenVBand="0" w:oddHBand="0" w:evenHBand="0" w:firstRowFirstColumn="0" w:firstRowLastColumn="0" w:lastRowFirstColumn="0" w:lastRowLastColumn="0"/>
              <w:rPr>
                <w:sz w:val="14"/>
                <w:szCs w:val="14"/>
              </w:rPr>
            </w:pPr>
            <w:r w:rsidRPr="00E30889">
              <w:rPr>
                <w:sz w:val="14"/>
                <w:szCs w:val="14"/>
              </w:rPr>
              <w:t xml:space="preserve">Porous UGS (NG) reservoirs exists EU wide. Biomethane acceptance in UGS facilities has been tested by </w:t>
            </w:r>
            <w:proofErr w:type="spellStart"/>
            <w:r w:rsidRPr="00E30889">
              <w:rPr>
                <w:sz w:val="14"/>
                <w:szCs w:val="14"/>
              </w:rPr>
              <w:t>Marcogaz</w:t>
            </w:r>
            <w:proofErr w:type="spellEnd"/>
            <w:r w:rsidRPr="00E30889">
              <w:rPr>
                <w:sz w:val="14"/>
                <w:szCs w:val="14"/>
              </w:rPr>
              <w:t xml:space="preserve"> recently (in 2022) and the results presented the oxygen levels implications on the storage facility. It was concluded that biomethane can be injected in UGS facilities as an exchange gas equivalent to natural gas provided that the NG standards are met. But these reservoirs have not been tested yet with pure hydrogen. Early-stage pilot testing with natural gas and H</w:t>
            </w:r>
            <w:r w:rsidRPr="00E30889">
              <w:rPr>
                <w:sz w:val="14"/>
                <w:szCs w:val="14"/>
                <w:vertAlign w:val="subscript"/>
              </w:rPr>
              <w:t xml:space="preserve">2 </w:t>
            </w:r>
            <w:r w:rsidRPr="00E30889">
              <w:rPr>
                <w:sz w:val="14"/>
                <w:szCs w:val="14"/>
              </w:rPr>
              <w:t xml:space="preserve">mixture has been performed in Austria, hence the TRL 2-3. </w:t>
            </w:r>
          </w:p>
        </w:tc>
      </w:tr>
    </w:tbl>
    <w:p w14:paraId="73D2C020" w14:textId="3F11196E" w:rsidR="009F358D" w:rsidRDefault="004A7B58" w:rsidP="00AA795E">
      <w:pPr>
        <w:spacing w:before="60" w:line="0" w:lineRule="atLeast"/>
        <w:rPr>
          <w:sz w:val="14"/>
          <w:szCs w:val="14"/>
        </w:rPr>
      </w:pPr>
      <w:r w:rsidRPr="00D2797F">
        <w:rPr>
          <w:sz w:val="14"/>
          <w:szCs w:val="14"/>
        </w:rPr>
        <w:t xml:space="preserve">Source: </w:t>
      </w:r>
      <w:proofErr w:type="spellStart"/>
      <w:r w:rsidRPr="00D2797F">
        <w:rPr>
          <w:sz w:val="14"/>
          <w:szCs w:val="14"/>
        </w:rPr>
        <w:t>Hydrogenious</w:t>
      </w:r>
      <w:proofErr w:type="spellEnd"/>
      <w:r w:rsidRPr="00D2797F">
        <w:rPr>
          <w:rStyle w:val="Voetnootmarkering"/>
          <w:sz w:val="14"/>
          <w:szCs w:val="14"/>
        </w:rPr>
        <w:footnoteReference w:id="71"/>
      </w:r>
      <w:r w:rsidRPr="00D2797F">
        <w:rPr>
          <w:sz w:val="14"/>
          <w:szCs w:val="14"/>
        </w:rPr>
        <w:t>, ENTEC 2022</w:t>
      </w:r>
      <w:r w:rsidR="00803F5B" w:rsidRPr="00D2797F">
        <w:rPr>
          <w:sz w:val="14"/>
          <w:szCs w:val="14"/>
          <w:vertAlign w:val="superscript"/>
        </w:rPr>
        <w:fldChar w:fldCharType="begin"/>
      </w:r>
      <w:r w:rsidR="00803F5B" w:rsidRPr="00D2797F">
        <w:rPr>
          <w:sz w:val="14"/>
          <w:szCs w:val="14"/>
          <w:vertAlign w:val="superscript"/>
        </w:rPr>
        <w:instrText xml:space="preserve"> NOTEREF _Ref103379231 \h  \* MERGEFORMAT </w:instrText>
      </w:r>
      <w:r w:rsidR="00803F5B" w:rsidRPr="00D2797F">
        <w:rPr>
          <w:sz w:val="14"/>
          <w:szCs w:val="14"/>
          <w:vertAlign w:val="superscript"/>
        </w:rPr>
      </w:r>
      <w:r w:rsidR="00803F5B" w:rsidRPr="00D2797F">
        <w:rPr>
          <w:sz w:val="14"/>
          <w:szCs w:val="14"/>
          <w:vertAlign w:val="superscript"/>
        </w:rPr>
        <w:fldChar w:fldCharType="separate"/>
      </w:r>
      <w:r w:rsidR="00265258">
        <w:rPr>
          <w:sz w:val="14"/>
          <w:szCs w:val="14"/>
          <w:vertAlign w:val="superscript"/>
        </w:rPr>
        <w:t>63</w:t>
      </w:r>
      <w:r w:rsidR="00803F5B" w:rsidRPr="00D2797F">
        <w:rPr>
          <w:sz w:val="14"/>
          <w:szCs w:val="14"/>
          <w:vertAlign w:val="superscript"/>
        </w:rPr>
        <w:fldChar w:fldCharType="end"/>
      </w:r>
      <w:r w:rsidRPr="00D2797F">
        <w:rPr>
          <w:sz w:val="14"/>
          <w:szCs w:val="14"/>
        </w:rPr>
        <w:t xml:space="preserve">, </w:t>
      </w:r>
      <w:proofErr w:type="spellStart"/>
      <w:r w:rsidRPr="00D2797F">
        <w:rPr>
          <w:sz w:val="14"/>
          <w:szCs w:val="14"/>
        </w:rPr>
        <w:t>Marcogaz</w:t>
      </w:r>
      <w:proofErr w:type="spellEnd"/>
      <w:r w:rsidRPr="00D2797F">
        <w:rPr>
          <w:sz w:val="14"/>
          <w:szCs w:val="14"/>
        </w:rPr>
        <w:t xml:space="preserve"> 2022</w:t>
      </w:r>
      <w:bookmarkStart w:id="120" w:name="_Ref103346775"/>
      <w:r w:rsidRPr="00D2797F">
        <w:rPr>
          <w:rStyle w:val="Voetnootmarkering"/>
          <w:sz w:val="14"/>
          <w:szCs w:val="14"/>
        </w:rPr>
        <w:footnoteReference w:id="72"/>
      </w:r>
      <w:bookmarkEnd w:id="120"/>
    </w:p>
    <w:p w14:paraId="71E240CB" w14:textId="54A55442" w:rsidR="000A069B" w:rsidRDefault="00D804FB" w:rsidP="00E527F0">
      <w:pPr>
        <w:spacing w:before="120" w:after="240"/>
        <w:jc w:val="both"/>
        <w:rPr>
          <w:szCs w:val="22"/>
        </w:rPr>
      </w:pPr>
      <w:r>
        <w:rPr>
          <w:szCs w:val="22"/>
        </w:rPr>
        <w:lastRenderedPageBreak/>
        <w:t xml:space="preserve">Gas storage in </w:t>
      </w:r>
      <w:r w:rsidR="004D73BD">
        <w:rPr>
          <w:szCs w:val="22"/>
        </w:rPr>
        <w:t>pressurized tanks is the most common</w:t>
      </w:r>
      <w:r w:rsidR="00DE2C0C">
        <w:rPr>
          <w:szCs w:val="22"/>
        </w:rPr>
        <w:t xml:space="preserve"> option for surface gas storage technologies. </w:t>
      </w:r>
      <w:r w:rsidR="006745AE" w:rsidRPr="006745AE">
        <w:rPr>
          <w:szCs w:val="22"/>
        </w:rPr>
        <w:t>Compressed hydrogen gas storage in</w:t>
      </w:r>
      <w:r w:rsidR="00E527F0">
        <w:rPr>
          <w:szCs w:val="22"/>
        </w:rPr>
        <w:t xml:space="preserve"> </w:t>
      </w:r>
      <w:r w:rsidR="006745AE" w:rsidRPr="006745AE">
        <w:rPr>
          <w:szCs w:val="22"/>
        </w:rPr>
        <w:t>tanks is currently among the most expensive storage options but tanks can be operated at high</w:t>
      </w:r>
      <w:r w:rsidR="00E527F0">
        <w:rPr>
          <w:szCs w:val="22"/>
        </w:rPr>
        <w:t xml:space="preserve"> </w:t>
      </w:r>
      <w:r w:rsidR="006745AE" w:rsidRPr="006745AE">
        <w:rPr>
          <w:szCs w:val="22"/>
        </w:rPr>
        <w:t xml:space="preserve">cycling </w:t>
      </w:r>
      <w:r w:rsidR="00E527F0" w:rsidRPr="006745AE">
        <w:rPr>
          <w:szCs w:val="22"/>
        </w:rPr>
        <w:t>rate,</w:t>
      </w:r>
      <w:r w:rsidR="006745AE" w:rsidRPr="006745AE">
        <w:rPr>
          <w:szCs w:val="22"/>
        </w:rPr>
        <w:t xml:space="preserve"> and this can help amortize the high investment cost. </w:t>
      </w:r>
      <w:r>
        <w:rPr>
          <w:szCs w:val="22"/>
        </w:rPr>
        <w:t>The</w:t>
      </w:r>
      <w:r w:rsidR="00A70600">
        <w:rPr>
          <w:szCs w:val="22"/>
        </w:rPr>
        <w:t xml:space="preserve"> investment and operational costs of the </w:t>
      </w:r>
      <w:r w:rsidR="000A069B">
        <w:rPr>
          <w:szCs w:val="22"/>
        </w:rPr>
        <w:t xml:space="preserve">compressed gas storage tanks for hydrogen and methane is given in the </w:t>
      </w:r>
      <w:r w:rsidR="00E3036F">
        <w:rPr>
          <w:szCs w:val="22"/>
        </w:rPr>
        <w:fldChar w:fldCharType="begin"/>
      </w:r>
      <w:r w:rsidR="00E3036F">
        <w:rPr>
          <w:szCs w:val="22"/>
        </w:rPr>
        <w:instrText xml:space="preserve"> REF _Ref113014757 \h </w:instrText>
      </w:r>
      <w:r w:rsidR="00E3036F">
        <w:rPr>
          <w:szCs w:val="22"/>
        </w:rPr>
      </w:r>
      <w:r w:rsidR="00E3036F">
        <w:rPr>
          <w:szCs w:val="22"/>
        </w:rPr>
        <w:fldChar w:fldCharType="separate"/>
      </w:r>
      <w:r w:rsidR="00265258">
        <w:t xml:space="preserve">Table </w:t>
      </w:r>
      <w:r w:rsidR="00265258">
        <w:rPr>
          <w:noProof/>
        </w:rPr>
        <w:t>6</w:t>
      </w:r>
      <w:r w:rsidR="00265258">
        <w:noBreakHyphen/>
      </w:r>
      <w:r w:rsidR="00265258">
        <w:rPr>
          <w:noProof/>
        </w:rPr>
        <w:t>7</w:t>
      </w:r>
      <w:r w:rsidR="00E3036F">
        <w:rPr>
          <w:szCs w:val="22"/>
        </w:rPr>
        <w:fldChar w:fldCharType="end"/>
      </w:r>
      <w:r w:rsidR="000A069B">
        <w:rPr>
          <w:szCs w:val="22"/>
        </w:rPr>
        <w:t>.</w:t>
      </w:r>
    </w:p>
    <w:p w14:paraId="4BA9C426" w14:textId="58DBD821" w:rsidR="00FF790D" w:rsidRDefault="003817D9" w:rsidP="003817D9">
      <w:pPr>
        <w:pStyle w:val="Bijschrift"/>
        <w:spacing w:before="120"/>
        <w:rPr>
          <w:szCs w:val="22"/>
        </w:rPr>
      </w:pPr>
      <w:bookmarkStart w:id="121" w:name="_Ref113014757"/>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7</w:t>
      </w:r>
      <w:r w:rsidR="006D12F8">
        <w:rPr>
          <w:noProof/>
        </w:rPr>
        <w:fldChar w:fldCharType="end"/>
      </w:r>
      <w:bookmarkEnd w:id="121"/>
      <w:r>
        <w:t>. Compressed gas storage investment costs</w:t>
      </w:r>
    </w:p>
    <w:tbl>
      <w:tblPr>
        <w:tblStyle w:val="Table1"/>
        <w:tblW w:w="8500" w:type="dxa"/>
        <w:tblLook w:val="04A0" w:firstRow="1" w:lastRow="0" w:firstColumn="1" w:lastColumn="0" w:noHBand="0" w:noVBand="1"/>
      </w:tblPr>
      <w:tblGrid>
        <w:gridCol w:w="2603"/>
        <w:gridCol w:w="1928"/>
        <w:gridCol w:w="1843"/>
        <w:gridCol w:w="2126"/>
      </w:tblGrid>
      <w:tr w:rsidR="00FF790D" w:rsidRPr="00FF790D" w14:paraId="2935A920" w14:textId="77777777" w:rsidTr="00FF790D">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8500" w:type="dxa"/>
            <w:gridSpan w:val="4"/>
            <w:noWrap/>
            <w:hideMark/>
          </w:tcPr>
          <w:p w14:paraId="4AD6B048" w14:textId="0D70BF3A" w:rsidR="00FF790D" w:rsidRPr="00FF790D" w:rsidRDefault="00FF790D" w:rsidP="00FF790D">
            <w:pPr>
              <w:spacing w:line="240" w:lineRule="auto"/>
              <w:ind w:left="0"/>
              <w:jc w:val="center"/>
              <w:rPr>
                <w:rFonts w:ascii="Trebuchet MS" w:eastAsia="Times New Roman" w:hAnsi="Trebuchet MS" w:cs="Calibri"/>
                <w:bCs/>
                <w:color w:val="auto"/>
                <w:szCs w:val="16"/>
                <w:lang w:eastAsia="en-GB"/>
              </w:rPr>
            </w:pPr>
            <w:r w:rsidRPr="00FF790D">
              <w:rPr>
                <w:rFonts w:ascii="Trebuchet MS" w:eastAsia="Times New Roman" w:hAnsi="Trebuchet MS" w:cs="Calibri"/>
                <w:bCs/>
                <w:szCs w:val="16"/>
                <w:lang w:eastAsia="en-GB"/>
              </w:rPr>
              <w:t>Compressed H</w:t>
            </w:r>
            <w:r w:rsidRPr="00FF790D">
              <w:rPr>
                <w:rFonts w:ascii="Trebuchet MS" w:eastAsia="Times New Roman" w:hAnsi="Trebuchet MS" w:cs="Calibri"/>
                <w:bCs/>
                <w:szCs w:val="16"/>
                <w:vertAlign w:val="subscript"/>
                <w:lang w:eastAsia="en-GB"/>
              </w:rPr>
              <w:t>2</w:t>
            </w:r>
            <w:r w:rsidRPr="00FF790D">
              <w:rPr>
                <w:rFonts w:ascii="Trebuchet MS" w:eastAsia="Times New Roman" w:hAnsi="Trebuchet MS" w:cs="Calibri"/>
                <w:bCs/>
                <w:szCs w:val="16"/>
                <w:lang w:eastAsia="en-GB"/>
              </w:rPr>
              <w:t xml:space="preserve"> storage</w:t>
            </w:r>
          </w:p>
        </w:tc>
      </w:tr>
      <w:tr w:rsidR="00FF790D" w:rsidRPr="00FF790D" w14:paraId="739CEFB1" w14:textId="77777777" w:rsidTr="00FF790D">
        <w:trPr>
          <w:trHeight w:val="330"/>
        </w:trPr>
        <w:tc>
          <w:tcPr>
            <w:cnfStyle w:val="001000000000" w:firstRow="0" w:lastRow="0" w:firstColumn="1" w:lastColumn="0" w:oddVBand="0" w:evenVBand="0" w:oddHBand="0" w:evenHBand="0" w:firstRowFirstColumn="0" w:firstRowLastColumn="0" w:lastRowFirstColumn="0" w:lastRowLastColumn="0"/>
            <w:tcW w:w="2603" w:type="dxa"/>
            <w:noWrap/>
            <w:hideMark/>
          </w:tcPr>
          <w:p w14:paraId="0AA60AD8" w14:textId="77777777" w:rsidR="00FF790D" w:rsidRPr="00FF790D" w:rsidRDefault="00FF790D" w:rsidP="00FF790D">
            <w:pPr>
              <w:spacing w:line="240" w:lineRule="auto"/>
              <w:ind w:left="0"/>
              <w:rPr>
                <w:rFonts w:eastAsia="Times New Roman" w:cs="Calibri"/>
                <w:szCs w:val="16"/>
                <w:lang w:eastAsia="en-GB"/>
              </w:rPr>
            </w:pPr>
            <w:r w:rsidRPr="00FF790D">
              <w:rPr>
                <w:rFonts w:eastAsia="Times New Roman" w:cs="Calibri"/>
                <w:szCs w:val="16"/>
                <w:lang w:eastAsia="en-GB"/>
              </w:rPr>
              <w:t> </w:t>
            </w:r>
          </w:p>
        </w:tc>
        <w:tc>
          <w:tcPr>
            <w:tcW w:w="1928" w:type="dxa"/>
            <w:noWrap/>
            <w:hideMark/>
          </w:tcPr>
          <w:p w14:paraId="1EFAA842" w14:textId="77777777" w:rsidR="00FF790D" w:rsidRPr="00FF790D" w:rsidRDefault="00FF790D" w:rsidP="00FF790D">
            <w:pPr>
              <w:spacing w:line="240" w:lineRule="auto"/>
              <w:ind w:left="0"/>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 xml:space="preserve">Current </w:t>
            </w:r>
          </w:p>
        </w:tc>
        <w:tc>
          <w:tcPr>
            <w:tcW w:w="1843" w:type="dxa"/>
            <w:noWrap/>
            <w:hideMark/>
          </w:tcPr>
          <w:p w14:paraId="1115B0C4"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2030</w:t>
            </w:r>
          </w:p>
        </w:tc>
        <w:tc>
          <w:tcPr>
            <w:tcW w:w="2126" w:type="dxa"/>
            <w:noWrap/>
            <w:hideMark/>
          </w:tcPr>
          <w:p w14:paraId="082AF8F1"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2050</w:t>
            </w:r>
          </w:p>
        </w:tc>
      </w:tr>
      <w:tr w:rsidR="00FF790D" w:rsidRPr="00FF790D" w14:paraId="795C675C" w14:textId="77777777" w:rsidTr="00FF790D">
        <w:trPr>
          <w:trHeight w:val="330"/>
        </w:trPr>
        <w:tc>
          <w:tcPr>
            <w:cnfStyle w:val="001000000000" w:firstRow="0" w:lastRow="0" w:firstColumn="1" w:lastColumn="0" w:oddVBand="0" w:evenVBand="0" w:oddHBand="0" w:evenHBand="0" w:firstRowFirstColumn="0" w:firstRowLastColumn="0" w:lastRowFirstColumn="0" w:lastRowLastColumn="0"/>
            <w:tcW w:w="2603" w:type="dxa"/>
            <w:noWrap/>
            <w:hideMark/>
          </w:tcPr>
          <w:p w14:paraId="66A457B4" w14:textId="77777777" w:rsidR="00FF790D" w:rsidRPr="00FF790D" w:rsidRDefault="00FF790D" w:rsidP="00FF790D">
            <w:pPr>
              <w:spacing w:line="240" w:lineRule="auto"/>
              <w:ind w:left="0"/>
              <w:rPr>
                <w:rFonts w:eastAsia="Times New Roman" w:cs="Calibri"/>
                <w:b/>
                <w:bCs/>
                <w:szCs w:val="16"/>
                <w:lang w:eastAsia="en-GB"/>
              </w:rPr>
            </w:pPr>
            <w:r w:rsidRPr="00FF790D">
              <w:rPr>
                <w:rFonts w:eastAsia="Times New Roman" w:cs="Calibri"/>
                <w:b/>
                <w:bCs/>
                <w:szCs w:val="16"/>
                <w:lang w:eastAsia="en-GB"/>
              </w:rPr>
              <w:t>CAPEX (€/MWhH</w:t>
            </w:r>
            <w:r w:rsidRPr="00FF790D">
              <w:rPr>
                <w:rFonts w:eastAsia="Times New Roman" w:cs="Calibri"/>
                <w:b/>
                <w:bCs/>
                <w:szCs w:val="16"/>
                <w:vertAlign w:val="subscript"/>
                <w:lang w:eastAsia="en-GB"/>
              </w:rPr>
              <w:t>2</w:t>
            </w:r>
            <w:r w:rsidRPr="00FF790D">
              <w:rPr>
                <w:rFonts w:eastAsia="Times New Roman" w:cs="Calibri"/>
                <w:b/>
                <w:bCs/>
                <w:szCs w:val="16"/>
                <w:lang w:eastAsia="en-GB"/>
              </w:rPr>
              <w:t>)</w:t>
            </w:r>
          </w:p>
        </w:tc>
        <w:tc>
          <w:tcPr>
            <w:tcW w:w="1928" w:type="dxa"/>
            <w:noWrap/>
            <w:hideMark/>
          </w:tcPr>
          <w:p w14:paraId="49C57EB7" w14:textId="7B81844B" w:rsidR="00FF790D" w:rsidRPr="00FF790D" w:rsidRDefault="00FF790D" w:rsidP="004D694C">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 xml:space="preserve"> 33330</w:t>
            </w:r>
          </w:p>
        </w:tc>
        <w:tc>
          <w:tcPr>
            <w:tcW w:w="1843" w:type="dxa"/>
            <w:noWrap/>
            <w:hideMark/>
          </w:tcPr>
          <w:p w14:paraId="389B02A8" w14:textId="0893B549" w:rsidR="00FF790D" w:rsidRPr="00FF790D" w:rsidRDefault="00FF790D" w:rsidP="004D694C">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 xml:space="preserve"> 18001</w:t>
            </w:r>
          </w:p>
        </w:tc>
        <w:tc>
          <w:tcPr>
            <w:tcW w:w="2126" w:type="dxa"/>
            <w:noWrap/>
            <w:hideMark/>
          </w:tcPr>
          <w:p w14:paraId="2DC1A825" w14:textId="59B9C9C2" w:rsidR="00FF790D" w:rsidRPr="00FF790D" w:rsidRDefault="00FF790D" w:rsidP="004D694C">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 xml:space="preserve"> 14100 </w:t>
            </w:r>
          </w:p>
        </w:tc>
      </w:tr>
      <w:tr w:rsidR="00FF790D" w:rsidRPr="00FF790D" w14:paraId="52DBAB41" w14:textId="77777777" w:rsidTr="00FF790D">
        <w:trPr>
          <w:trHeight w:val="330"/>
        </w:trPr>
        <w:tc>
          <w:tcPr>
            <w:cnfStyle w:val="001000000000" w:firstRow="0" w:lastRow="0" w:firstColumn="1" w:lastColumn="0" w:oddVBand="0" w:evenVBand="0" w:oddHBand="0" w:evenHBand="0" w:firstRowFirstColumn="0" w:firstRowLastColumn="0" w:lastRowFirstColumn="0" w:lastRowLastColumn="0"/>
            <w:tcW w:w="2603" w:type="dxa"/>
            <w:noWrap/>
            <w:hideMark/>
          </w:tcPr>
          <w:p w14:paraId="68F61F0B" w14:textId="77777777" w:rsidR="00FF790D" w:rsidRPr="00FF790D" w:rsidRDefault="00FF790D" w:rsidP="00FF790D">
            <w:pPr>
              <w:spacing w:line="240" w:lineRule="auto"/>
              <w:ind w:left="0"/>
              <w:rPr>
                <w:rFonts w:eastAsia="Times New Roman" w:cs="Calibri"/>
                <w:b/>
                <w:bCs/>
                <w:szCs w:val="16"/>
                <w:lang w:eastAsia="en-GB"/>
              </w:rPr>
            </w:pPr>
            <w:r w:rsidRPr="00FF790D">
              <w:rPr>
                <w:rFonts w:eastAsia="Times New Roman" w:cs="Calibri"/>
                <w:b/>
                <w:bCs/>
                <w:szCs w:val="16"/>
                <w:lang w:eastAsia="en-GB"/>
              </w:rPr>
              <w:t>OPEX [% of CAPEX /y]</w:t>
            </w:r>
          </w:p>
        </w:tc>
        <w:tc>
          <w:tcPr>
            <w:tcW w:w="1928" w:type="dxa"/>
            <w:noWrap/>
            <w:hideMark/>
          </w:tcPr>
          <w:p w14:paraId="4511D51E"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w:t>
            </w:r>
          </w:p>
        </w:tc>
        <w:tc>
          <w:tcPr>
            <w:tcW w:w="1843" w:type="dxa"/>
            <w:noWrap/>
            <w:hideMark/>
          </w:tcPr>
          <w:p w14:paraId="5829BDDB"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w:t>
            </w:r>
          </w:p>
        </w:tc>
        <w:tc>
          <w:tcPr>
            <w:tcW w:w="2126" w:type="dxa"/>
            <w:noWrap/>
            <w:hideMark/>
          </w:tcPr>
          <w:p w14:paraId="54657238"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1.5%</w:t>
            </w:r>
          </w:p>
        </w:tc>
      </w:tr>
      <w:tr w:rsidR="00FF790D" w:rsidRPr="00FF790D" w14:paraId="1ECE424C" w14:textId="77777777" w:rsidTr="00FF790D">
        <w:trPr>
          <w:trHeight w:val="330"/>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005962"/>
            <w:noWrap/>
            <w:hideMark/>
          </w:tcPr>
          <w:p w14:paraId="5045BF71" w14:textId="777BCE1D" w:rsidR="00FF790D" w:rsidRPr="00FF790D" w:rsidRDefault="00FF790D" w:rsidP="00FF790D">
            <w:pPr>
              <w:spacing w:line="240" w:lineRule="auto"/>
              <w:ind w:left="0"/>
              <w:jc w:val="center"/>
              <w:rPr>
                <w:rFonts w:eastAsia="Times New Roman" w:cs="Calibri"/>
                <w:b/>
                <w:bCs/>
                <w:szCs w:val="16"/>
                <w:lang w:eastAsia="en-GB"/>
              </w:rPr>
            </w:pPr>
            <w:r w:rsidRPr="00FF790D">
              <w:rPr>
                <w:rFonts w:eastAsia="Times New Roman" w:cs="Calibri"/>
                <w:b/>
                <w:bCs/>
                <w:color w:val="FFFFFF" w:themeColor="background1"/>
                <w:szCs w:val="16"/>
                <w:lang w:eastAsia="en-GB"/>
              </w:rPr>
              <w:t>Compressed methane storage</w:t>
            </w:r>
          </w:p>
        </w:tc>
      </w:tr>
      <w:tr w:rsidR="00FF790D" w:rsidRPr="00FF790D" w14:paraId="12DE2C1D" w14:textId="77777777" w:rsidTr="00FF790D">
        <w:trPr>
          <w:trHeight w:val="330"/>
        </w:trPr>
        <w:tc>
          <w:tcPr>
            <w:cnfStyle w:val="001000000000" w:firstRow="0" w:lastRow="0" w:firstColumn="1" w:lastColumn="0" w:oddVBand="0" w:evenVBand="0" w:oddHBand="0" w:evenHBand="0" w:firstRowFirstColumn="0" w:firstRowLastColumn="0" w:lastRowFirstColumn="0" w:lastRowLastColumn="0"/>
            <w:tcW w:w="2603" w:type="dxa"/>
            <w:noWrap/>
            <w:hideMark/>
          </w:tcPr>
          <w:p w14:paraId="69D214D4" w14:textId="77777777" w:rsidR="00FF790D" w:rsidRPr="00FF790D" w:rsidRDefault="00FF790D" w:rsidP="00FF790D">
            <w:pPr>
              <w:spacing w:line="240" w:lineRule="auto"/>
              <w:ind w:left="0"/>
              <w:rPr>
                <w:rFonts w:eastAsia="Times New Roman" w:cs="Calibri"/>
                <w:szCs w:val="16"/>
                <w:lang w:eastAsia="en-GB"/>
              </w:rPr>
            </w:pPr>
            <w:r w:rsidRPr="00FF790D">
              <w:rPr>
                <w:rFonts w:eastAsia="Times New Roman" w:cs="Calibri"/>
                <w:szCs w:val="16"/>
                <w:lang w:eastAsia="en-GB"/>
              </w:rPr>
              <w:t> </w:t>
            </w:r>
          </w:p>
        </w:tc>
        <w:tc>
          <w:tcPr>
            <w:tcW w:w="1928" w:type="dxa"/>
            <w:noWrap/>
            <w:hideMark/>
          </w:tcPr>
          <w:p w14:paraId="3B760433"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 xml:space="preserve">Current </w:t>
            </w:r>
          </w:p>
        </w:tc>
        <w:tc>
          <w:tcPr>
            <w:tcW w:w="1843" w:type="dxa"/>
            <w:noWrap/>
            <w:hideMark/>
          </w:tcPr>
          <w:p w14:paraId="398BE3AE"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2030</w:t>
            </w:r>
          </w:p>
        </w:tc>
        <w:tc>
          <w:tcPr>
            <w:tcW w:w="2126" w:type="dxa"/>
            <w:noWrap/>
            <w:hideMark/>
          </w:tcPr>
          <w:p w14:paraId="46AA6B2B"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2050</w:t>
            </w:r>
          </w:p>
        </w:tc>
      </w:tr>
      <w:tr w:rsidR="00FF790D" w:rsidRPr="00FF790D" w14:paraId="757C1614" w14:textId="77777777" w:rsidTr="00FF790D">
        <w:trPr>
          <w:trHeight w:val="330"/>
        </w:trPr>
        <w:tc>
          <w:tcPr>
            <w:cnfStyle w:val="001000000000" w:firstRow="0" w:lastRow="0" w:firstColumn="1" w:lastColumn="0" w:oddVBand="0" w:evenVBand="0" w:oddHBand="0" w:evenHBand="0" w:firstRowFirstColumn="0" w:firstRowLastColumn="0" w:lastRowFirstColumn="0" w:lastRowLastColumn="0"/>
            <w:tcW w:w="2603" w:type="dxa"/>
            <w:noWrap/>
            <w:hideMark/>
          </w:tcPr>
          <w:p w14:paraId="704EFFB1" w14:textId="7E06C9D5" w:rsidR="00FF790D" w:rsidRPr="00FF790D" w:rsidRDefault="00FF790D" w:rsidP="00FF790D">
            <w:pPr>
              <w:spacing w:line="240" w:lineRule="auto"/>
              <w:ind w:left="0"/>
              <w:rPr>
                <w:rFonts w:eastAsia="Times New Roman" w:cs="Calibri"/>
                <w:b/>
                <w:bCs/>
                <w:szCs w:val="16"/>
                <w:lang w:eastAsia="en-GB"/>
              </w:rPr>
            </w:pPr>
            <w:r w:rsidRPr="00FF790D">
              <w:rPr>
                <w:rFonts w:eastAsia="Times New Roman" w:cs="Calibri"/>
                <w:b/>
                <w:bCs/>
                <w:szCs w:val="16"/>
                <w:lang w:eastAsia="en-GB"/>
              </w:rPr>
              <w:t>CAPEX (€/MWh</w:t>
            </w:r>
            <w:r w:rsidR="00C87DE3">
              <w:rPr>
                <w:rFonts w:eastAsia="Times New Roman" w:cs="Calibri"/>
                <w:b/>
                <w:bCs/>
                <w:szCs w:val="16"/>
                <w:lang w:eastAsia="en-GB"/>
              </w:rPr>
              <w:t>H</w:t>
            </w:r>
            <w:r w:rsidR="00C87DE3" w:rsidRPr="00C87DE3">
              <w:rPr>
                <w:rFonts w:eastAsia="Times New Roman" w:cs="Calibri"/>
                <w:b/>
                <w:bCs/>
                <w:szCs w:val="16"/>
                <w:vertAlign w:val="subscript"/>
                <w:lang w:eastAsia="en-GB"/>
              </w:rPr>
              <w:t>2</w:t>
            </w:r>
            <w:r w:rsidRPr="00FF790D">
              <w:rPr>
                <w:rFonts w:eastAsia="Times New Roman" w:cs="Calibri"/>
                <w:b/>
                <w:bCs/>
                <w:szCs w:val="16"/>
                <w:lang w:eastAsia="en-GB"/>
              </w:rPr>
              <w:t>)</w:t>
            </w:r>
          </w:p>
        </w:tc>
        <w:tc>
          <w:tcPr>
            <w:tcW w:w="1928" w:type="dxa"/>
            <w:noWrap/>
            <w:hideMark/>
          </w:tcPr>
          <w:p w14:paraId="21B41B1E"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10780</w:t>
            </w:r>
          </w:p>
        </w:tc>
        <w:tc>
          <w:tcPr>
            <w:tcW w:w="1843" w:type="dxa"/>
            <w:noWrap/>
            <w:hideMark/>
          </w:tcPr>
          <w:p w14:paraId="15812472" w14:textId="50FA8C58" w:rsidR="00FF790D" w:rsidRPr="00FF790D" w:rsidRDefault="00FF790D" w:rsidP="00EE5B8F">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 </w:t>
            </w:r>
            <w:r w:rsidR="00F24AC3">
              <w:rPr>
                <w:rFonts w:eastAsia="Times New Roman" w:cs="Calibri"/>
                <w:szCs w:val="16"/>
                <w:lang w:eastAsia="en-GB"/>
              </w:rPr>
              <w:t>789</w:t>
            </w:r>
            <w:r w:rsidR="00EE5B8F">
              <w:rPr>
                <w:rFonts w:eastAsia="Times New Roman" w:cs="Calibri"/>
                <w:szCs w:val="16"/>
                <w:lang w:eastAsia="en-GB"/>
              </w:rPr>
              <w:t>8</w:t>
            </w:r>
          </w:p>
        </w:tc>
        <w:tc>
          <w:tcPr>
            <w:tcW w:w="2126" w:type="dxa"/>
            <w:noWrap/>
            <w:hideMark/>
          </w:tcPr>
          <w:p w14:paraId="165FD506"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5015</w:t>
            </w:r>
          </w:p>
        </w:tc>
      </w:tr>
      <w:tr w:rsidR="00FF790D" w:rsidRPr="00FF790D" w14:paraId="359A0A4B" w14:textId="77777777" w:rsidTr="00FF790D">
        <w:trPr>
          <w:trHeight w:val="330"/>
        </w:trPr>
        <w:tc>
          <w:tcPr>
            <w:cnfStyle w:val="001000000000" w:firstRow="0" w:lastRow="0" w:firstColumn="1" w:lastColumn="0" w:oddVBand="0" w:evenVBand="0" w:oddHBand="0" w:evenHBand="0" w:firstRowFirstColumn="0" w:firstRowLastColumn="0" w:lastRowFirstColumn="0" w:lastRowLastColumn="0"/>
            <w:tcW w:w="2603" w:type="dxa"/>
            <w:noWrap/>
            <w:hideMark/>
          </w:tcPr>
          <w:p w14:paraId="3467E15F" w14:textId="77777777" w:rsidR="00FF790D" w:rsidRPr="00FF790D" w:rsidRDefault="00FF790D" w:rsidP="00FF790D">
            <w:pPr>
              <w:spacing w:line="240" w:lineRule="auto"/>
              <w:ind w:left="0"/>
              <w:rPr>
                <w:rFonts w:eastAsia="Times New Roman" w:cs="Calibri"/>
                <w:b/>
                <w:bCs/>
                <w:szCs w:val="16"/>
                <w:lang w:eastAsia="en-GB"/>
              </w:rPr>
            </w:pPr>
            <w:r w:rsidRPr="00FF790D">
              <w:rPr>
                <w:rFonts w:eastAsia="Times New Roman" w:cs="Calibri"/>
                <w:b/>
                <w:bCs/>
                <w:szCs w:val="16"/>
                <w:lang w:eastAsia="en-GB"/>
              </w:rPr>
              <w:t>OPEX [% of CAPEX /y]</w:t>
            </w:r>
          </w:p>
        </w:tc>
        <w:tc>
          <w:tcPr>
            <w:tcW w:w="1928" w:type="dxa"/>
            <w:noWrap/>
            <w:hideMark/>
          </w:tcPr>
          <w:p w14:paraId="103DC6C4"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w:t>
            </w:r>
          </w:p>
        </w:tc>
        <w:tc>
          <w:tcPr>
            <w:tcW w:w="1843" w:type="dxa"/>
            <w:noWrap/>
            <w:hideMark/>
          </w:tcPr>
          <w:p w14:paraId="2CFF0B18"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2%</w:t>
            </w:r>
          </w:p>
        </w:tc>
        <w:tc>
          <w:tcPr>
            <w:tcW w:w="2126" w:type="dxa"/>
            <w:noWrap/>
            <w:hideMark/>
          </w:tcPr>
          <w:p w14:paraId="4F5972E8" w14:textId="77777777" w:rsidR="00FF790D" w:rsidRPr="00FF790D" w:rsidRDefault="00FF790D" w:rsidP="00FF790D">
            <w:pPr>
              <w:spacing w:line="240" w:lineRule="auto"/>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szCs w:val="16"/>
                <w:lang w:eastAsia="en-GB"/>
              </w:rPr>
            </w:pPr>
            <w:r w:rsidRPr="00FF790D">
              <w:rPr>
                <w:rFonts w:eastAsia="Times New Roman" w:cs="Calibri"/>
                <w:szCs w:val="16"/>
                <w:lang w:eastAsia="en-GB"/>
              </w:rPr>
              <w:t>1%</w:t>
            </w:r>
          </w:p>
        </w:tc>
      </w:tr>
    </w:tbl>
    <w:p w14:paraId="132589F9" w14:textId="67A58236" w:rsidR="00D524D0" w:rsidRPr="00D524D0" w:rsidRDefault="00D524D0" w:rsidP="00D524D0">
      <w:pPr>
        <w:spacing w:before="60" w:line="0" w:lineRule="atLeast"/>
        <w:rPr>
          <w:sz w:val="16"/>
          <w:szCs w:val="20"/>
        </w:rPr>
      </w:pPr>
      <w:r w:rsidRPr="00F1478F">
        <w:rPr>
          <w:sz w:val="14"/>
          <w:szCs w:val="10"/>
        </w:rPr>
        <w:t xml:space="preserve">Source: </w:t>
      </w:r>
      <w:r w:rsidR="0034526D">
        <w:rPr>
          <w:sz w:val="14"/>
          <w:szCs w:val="10"/>
        </w:rPr>
        <w:t>Store &amp; GO</w:t>
      </w:r>
      <w:r w:rsidR="00F25257">
        <w:rPr>
          <w:rStyle w:val="Voetnootmarkering"/>
          <w:sz w:val="14"/>
          <w:szCs w:val="10"/>
        </w:rPr>
        <w:footnoteReference w:id="73"/>
      </w:r>
      <w:r w:rsidRPr="00F1478F">
        <w:rPr>
          <w:sz w:val="14"/>
          <w:szCs w:val="10"/>
        </w:rPr>
        <w:t xml:space="preserve">, </w:t>
      </w:r>
      <w:r w:rsidRPr="00F1478F">
        <w:rPr>
          <w:sz w:val="14"/>
          <w:szCs w:val="14"/>
        </w:rPr>
        <w:t>ENTEC 2022</w:t>
      </w:r>
      <w:r w:rsidRPr="00F1478F">
        <w:rPr>
          <w:sz w:val="14"/>
          <w:szCs w:val="14"/>
          <w:vertAlign w:val="superscript"/>
        </w:rPr>
        <w:fldChar w:fldCharType="begin"/>
      </w:r>
      <w:r w:rsidRPr="00F1478F">
        <w:rPr>
          <w:sz w:val="14"/>
          <w:szCs w:val="14"/>
          <w:vertAlign w:val="superscript"/>
        </w:rPr>
        <w:instrText xml:space="preserve"> NOTEREF _Ref103379231 \h </w:instrText>
      </w:r>
      <w:r>
        <w:rPr>
          <w:sz w:val="14"/>
          <w:szCs w:val="14"/>
          <w:vertAlign w:val="superscript"/>
        </w:rPr>
        <w:instrText xml:space="preserve"> \* MERGEFORMAT </w:instrText>
      </w:r>
      <w:r w:rsidRPr="00F1478F">
        <w:rPr>
          <w:sz w:val="14"/>
          <w:szCs w:val="14"/>
          <w:vertAlign w:val="superscript"/>
        </w:rPr>
      </w:r>
      <w:r w:rsidRPr="00F1478F">
        <w:rPr>
          <w:sz w:val="14"/>
          <w:szCs w:val="14"/>
          <w:vertAlign w:val="superscript"/>
        </w:rPr>
        <w:fldChar w:fldCharType="separate"/>
      </w:r>
      <w:r w:rsidR="00265258">
        <w:rPr>
          <w:sz w:val="14"/>
          <w:szCs w:val="14"/>
          <w:vertAlign w:val="superscript"/>
        </w:rPr>
        <w:t>63</w:t>
      </w:r>
      <w:r w:rsidRPr="00F1478F">
        <w:rPr>
          <w:sz w:val="14"/>
          <w:szCs w:val="14"/>
          <w:vertAlign w:val="superscript"/>
        </w:rPr>
        <w:fldChar w:fldCharType="end"/>
      </w:r>
      <w:r w:rsidRPr="00F1478F">
        <w:rPr>
          <w:sz w:val="14"/>
          <w:szCs w:val="14"/>
        </w:rPr>
        <w:t xml:space="preserve">, </w:t>
      </w:r>
      <w:proofErr w:type="spellStart"/>
      <w:r w:rsidRPr="00F1478F">
        <w:rPr>
          <w:sz w:val="14"/>
          <w:szCs w:val="14"/>
        </w:rPr>
        <w:t>PtX</w:t>
      </w:r>
      <w:proofErr w:type="spellEnd"/>
      <w:r w:rsidRPr="00F1478F">
        <w:rPr>
          <w:sz w:val="14"/>
          <w:szCs w:val="14"/>
        </w:rPr>
        <w:t xml:space="preserve"> Atlas - Fraunhofer IEE</w:t>
      </w:r>
      <w:r w:rsidRPr="00F1478F">
        <w:rPr>
          <w:sz w:val="14"/>
          <w:szCs w:val="14"/>
          <w:vertAlign w:val="superscript"/>
        </w:rPr>
        <w:fldChar w:fldCharType="begin"/>
      </w:r>
      <w:r w:rsidRPr="00F1478F">
        <w:rPr>
          <w:sz w:val="14"/>
          <w:szCs w:val="14"/>
          <w:vertAlign w:val="superscript"/>
        </w:rPr>
        <w:instrText xml:space="preserve"> NOTEREF _Ref103186303 \h </w:instrText>
      </w:r>
      <w:r>
        <w:rPr>
          <w:sz w:val="14"/>
          <w:szCs w:val="14"/>
          <w:vertAlign w:val="superscript"/>
        </w:rPr>
        <w:instrText xml:space="preserve"> \* MERGEFORMAT </w:instrText>
      </w:r>
      <w:r w:rsidRPr="00F1478F">
        <w:rPr>
          <w:sz w:val="14"/>
          <w:szCs w:val="14"/>
          <w:vertAlign w:val="superscript"/>
        </w:rPr>
      </w:r>
      <w:r w:rsidRPr="00F1478F">
        <w:rPr>
          <w:sz w:val="14"/>
          <w:szCs w:val="14"/>
          <w:vertAlign w:val="superscript"/>
        </w:rPr>
        <w:fldChar w:fldCharType="separate"/>
      </w:r>
      <w:r w:rsidR="00265258">
        <w:rPr>
          <w:sz w:val="14"/>
          <w:szCs w:val="14"/>
          <w:vertAlign w:val="superscript"/>
        </w:rPr>
        <w:t>66</w:t>
      </w:r>
      <w:r w:rsidRPr="00F1478F">
        <w:rPr>
          <w:sz w:val="14"/>
          <w:szCs w:val="14"/>
          <w:vertAlign w:val="superscript"/>
        </w:rPr>
        <w:fldChar w:fldCharType="end"/>
      </w:r>
    </w:p>
    <w:p w14:paraId="338E71DA" w14:textId="5E3D743D" w:rsidR="007E2D4D" w:rsidRDefault="007E2D4D" w:rsidP="007E2D4D">
      <w:pPr>
        <w:spacing w:before="120" w:after="240"/>
        <w:jc w:val="both"/>
        <w:rPr>
          <w:szCs w:val="22"/>
        </w:rPr>
      </w:pPr>
      <w:r w:rsidRPr="00B603B8">
        <w:rPr>
          <w:szCs w:val="22"/>
        </w:rPr>
        <w:t>Liquid natural gas (LNG) is</w:t>
      </w:r>
      <w:r>
        <w:rPr>
          <w:szCs w:val="22"/>
        </w:rPr>
        <w:t xml:space="preserve"> </w:t>
      </w:r>
      <w:proofErr w:type="spellStart"/>
      <w:r>
        <w:rPr>
          <w:szCs w:val="22"/>
        </w:rPr>
        <w:t>regasified</w:t>
      </w:r>
      <w:proofErr w:type="spellEnd"/>
      <w:r>
        <w:rPr>
          <w:szCs w:val="22"/>
        </w:rPr>
        <w:t xml:space="preserve"> again before injecting it </w:t>
      </w:r>
      <w:r w:rsidR="00D7228A">
        <w:rPr>
          <w:szCs w:val="22"/>
        </w:rPr>
        <w:t>in</w:t>
      </w:r>
      <w:r>
        <w:rPr>
          <w:szCs w:val="22"/>
        </w:rPr>
        <w:t>to the NG grid</w:t>
      </w:r>
      <w:r w:rsidRPr="007041FB">
        <w:rPr>
          <w:szCs w:val="22"/>
        </w:rPr>
        <w:t>.</w:t>
      </w:r>
      <w:r>
        <w:rPr>
          <w:szCs w:val="22"/>
        </w:rPr>
        <w:t xml:space="preserve"> Liquified bio-methane or synthetic methane can be imported/exported (and temporally stored) through existing LNG terminals, can be </w:t>
      </w:r>
      <w:proofErr w:type="spellStart"/>
      <w:r>
        <w:rPr>
          <w:szCs w:val="22"/>
        </w:rPr>
        <w:t>regasified</w:t>
      </w:r>
      <w:proofErr w:type="spellEnd"/>
      <w:r>
        <w:rPr>
          <w:szCs w:val="22"/>
        </w:rPr>
        <w:t xml:space="preserve"> and be injected </w:t>
      </w:r>
      <w:r w:rsidR="00007CEB">
        <w:rPr>
          <w:szCs w:val="22"/>
        </w:rPr>
        <w:t>in</w:t>
      </w:r>
      <w:r>
        <w:rPr>
          <w:szCs w:val="22"/>
        </w:rPr>
        <w:t xml:space="preserve">to </w:t>
      </w:r>
      <w:r w:rsidR="00007CEB">
        <w:rPr>
          <w:szCs w:val="22"/>
        </w:rPr>
        <w:t xml:space="preserve">the </w:t>
      </w:r>
      <w:r>
        <w:rPr>
          <w:szCs w:val="22"/>
        </w:rPr>
        <w:t>NG grid, or can be utilised directly in (heavy duty) transport. LNG has a low overall energy efficiency due to losses during the liqu</w:t>
      </w:r>
      <w:r w:rsidR="00CB5F28">
        <w:rPr>
          <w:szCs w:val="22"/>
        </w:rPr>
        <w:t>efaction</w:t>
      </w:r>
      <w:r>
        <w:rPr>
          <w:szCs w:val="22"/>
        </w:rPr>
        <w:t xml:space="preserve">, storage/transport, and regasification phase </w:t>
      </w:r>
      <w:r w:rsidRPr="007841D2">
        <w:rPr>
          <w:szCs w:val="22"/>
        </w:rPr>
        <w:t>(</w:t>
      </w:r>
      <w:r w:rsidRPr="007841D2">
        <w:rPr>
          <w:color w:val="FF0000"/>
          <w:szCs w:val="22"/>
        </w:rPr>
        <w:fldChar w:fldCharType="begin"/>
      </w:r>
      <w:r w:rsidRPr="007841D2">
        <w:rPr>
          <w:szCs w:val="22"/>
        </w:rPr>
        <w:instrText xml:space="preserve"> REF _Ref104723816 \h </w:instrText>
      </w:r>
      <w:r w:rsidRPr="007841D2">
        <w:rPr>
          <w:color w:val="FF0000"/>
          <w:szCs w:val="22"/>
        </w:rPr>
        <w:instrText xml:space="preserve"> \* MERGEFORMAT </w:instrText>
      </w:r>
      <w:r w:rsidRPr="007841D2">
        <w:rPr>
          <w:color w:val="FF0000"/>
          <w:szCs w:val="22"/>
        </w:rPr>
      </w:r>
      <w:r w:rsidRPr="007841D2">
        <w:rPr>
          <w:color w:val="FF0000"/>
          <w:szCs w:val="22"/>
        </w:rPr>
        <w:fldChar w:fldCharType="separate"/>
      </w:r>
      <w:r w:rsidR="00265258">
        <w:t xml:space="preserve">Table </w:t>
      </w:r>
      <w:r w:rsidR="00265258">
        <w:rPr>
          <w:noProof/>
        </w:rPr>
        <w:t>6</w:t>
      </w:r>
      <w:r w:rsidR="00265258">
        <w:rPr>
          <w:noProof/>
        </w:rPr>
        <w:noBreakHyphen/>
        <w:t>8</w:t>
      </w:r>
      <w:r w:rsidRPr="007841D2">
        <w:rPr>
          <w:color w:val="FF0000"/>
          <w:szCs w:val="22"/>
        </w:rPr>
        <w:fldChar w:fldCharType="end"/>
      </w:r>
      <w:r w:rsidRPr="007841D2">
        <w:rPr>
          <w:szCs w:val="22"/>
        </w:rPr>
        <w:t>).</w:t>
      </w:r>
      <w:r>
        <w:rPr>
          <w:szCs w:val="22"/>
        </w:rPr>
        <w:t xml:space="preserve"> </w:t>
      </w:r>
    </w:p>
    <w:p w14:paraId="7AB28E23" w14:textId="77DE6D3B" w:rsidR="007E2D4D" w:rsidRDefault="007E2D4D" w:rsidP="007E2D4D">
      <w:pPr>
        <w:pStyle w:val="Bijschrift"/>
        <w:spacing w:before="120"/>
        <w:rPr>
          <w:szCs w:val="22"/>
        </w:rPr>
      </w:pPr>
      <w:bookmarkStart w:id="122" w:name="_Ref104723816"/>
      <w:bookmarkStart w:id="123" w:name="_Ref103380199"/>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8</w:t>
      </w:r>
      <w:r w:rsidR="006D12F8">
        <w:rPr>
          <w:noProof/>
        </w:rPr>
        <w:fldChar w:fldCharType="end"/>
      </w:r>
      <w:bookmarkEnd w:id="122"/>
      <w:r>
        <w:t>. LNG round losses</w:t>
      </w:r>
      <w:bookmarkEnd w:id="123"/>
      <w:r>
        <w:t xml:space="preserve"> (</w:t>
      </w:r>
      <w:r w:rsidR="00611AB3">
        <w:t>10-day</w:t>
      </w:r>
      <w:r>
        <w:t xml:space="preserve"> transport basis) </w:t>
      </w:r>
    </w:p>
    <w:tbl>
      <w:tblPr>
        <w:tblStyle w:val="Table1"/>
        <w:tblW w:w="0" w:type="auto"/>
        <w:tblInd w:w="562" w:type="dxa"/>
        <w:tblLook w:val="04A0" w:firstRow="1" w:lastRow="0" w:firstColumn="1" w:lastColumn="0" w:noHBand="0" w:noVBand="1"/>
      </w:tblPr>
      <w:tblGrid>
        <w:gridCol w:w="2137"/>
        <w:gridCol w:w="1691"/>
        <w:gridCol w:w="2692"/>
        <w:gridCol w:w="1934"/>
      </w:tblGrid>
      <w:tr w:rsidR="007E2D4D" w14:paraId="74DCCC9B" w14:textId="77777777" w:rsidTr="006302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7" w:type="dxa"/>
          </w:tcPr>
          <w:p w14:paraId="2F03BBAB" w14:textId="77777777" w:rsidR="007E2D4D" w:rsidRDefault="007E2D4D" w:rsidP="00915A1C">
            <w:pPr>
              <w:spacing w:after="60"/>
              <w:ind w:left="0"/>
              <w:rPr>
                <w:szCs w:val="22"/>
              </w:rPr>
            </w:pPr>
          </w:p>
        </w:tc>
        <w:tc>
          <w:tcPr>
            <w:tcW w:w="1691" w:type="dxa"/>
          </w:tcPr>
          <w:p w14:paraId="3D4358C7" w14:textId="77777777" w:rsidR="007E2D4D" w:rsidRPr="000237AE" w:rsidRDefault="007E2D4D" w:rsidP="00915A1C">
            <w:pPr>
              <w:spacing w:after="60"/>
              <w:ind w:left="0" w:right="144"/>
              <w:cnfStyle w:val="100000000000" w:firstRow="1" w:lastRow="0" w:firstColumn="0" w:lastColumn="0" w:oddVBand="0" w:evenVBand="0" w:oddHBand="0" w:evenHBand="0" w:firstRowFirstColumn="0" w:firstRowLastColumn="0" w:lastRowFirstColumn="0" w:lastRowLastColumn="0"/>
              <w:rPr>
                <w:rFonts w:ascii="Trebuchet MS" w:hAnsi="Trebuchet MS"/>
                <w:b w:val="0"/>
                <w:bCs/>
                <w:szCs w:val="22"/>
              </w:rPr>
            </w:pPr>
            <w:r w:rsidRPr="000237AE">
              <w:rPr>
                <w:rFonts w:ascii="Trebuchet MS" w:hAnsi="Trebuchet MS"/>
                <w:b w:val="0"/>
                <w:bCs/>
                <w:szCs w:val="22"/>
              </w:rPr>
              <w:t>Liquification</w:t>
            </w:r>
          </w:p>
        </w:tc>
        <w:tc>
          <w:tcPr>
            <w:tcW w:w="2692" w:type="dxa"/>
          </w:tcPr>
          <w:p w14:paraId="5BB192F9" w14:textId="77777777" w:rsidR="007E2D4D" w:rsidRPr="000237AE" w:rsidRDefault="007E2D4D" w:rsidP="00915A1C">
            <w:pPr>
              <w:spacing w:after="60"/>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szCs w:val="22"/>
              </w:rPr>
            </w:pPr>
            <w:r w:rsidRPr="000237AE">
              <w:rPr>
                <w:rFonts w:ascii="Trebuchet MS" w:hAnsi="Trebuchet MS"/>
                <w:b w:val="0"/>
                <w:bCs/>
                <w:szCs w:val="22"/>
              </w:rPr>
              <w:t>Transport/Storage</w:t>
            </w:r>
          </w:p>
        </w:tc>
        <w:tc>
          <w:tcPr>
            <w:tcW w:w="1934" w:type="dxa"/>
          </w:tcPr>
          <w:p w14:paraId="46603BA4" w14:textId="77777777" w:rsidR="007E2D4D" w:rsidRPr="000237AE" w:rsidRDefault="007E2D4D" w:rsidP="00915A1C">
            <w:pPr>
              <w:spacing w:after="60"/>
              <w:ind w:left="0"/>
              <w:cnfStyle w:val="100000000000" w:firstRow="1" w:lastRow="0" w:firstColumn="0" w:lastColumn="0" w:oddVBand="0" w:evenVBand="0" w:oddHBand="0" w:evenHBand="0" w:firstRowFirstColumn="0" w:firstRowLastColumn="0" w:lastRowFirstColumn="0" w:lastRowLastColumn="0"/>
              <w:rPr>
                <w:rFonts w:ascii="Trebuchet MS" w:hAnsi="Trebuchet MS"/>
                <w:b w:val="0"/>
                <w:bCs/>
                <w:szCs w:val="22"/>
              </w:rPr>
            </w:pPr>
            <w:r w:rsidRPr="000237AE">
              <w:rPr>
                <w:rFonts w:ascii="Trebuchet MS" w:hAnsi="Trebuchet MS"/>
                <w:b w:val="0"/>
                <w:bCs/>
                <w:szCs w:val="22"/>
              </w:rPr>
              <w:t>Regasification</w:t>
            </w:r>
          </w:p>
        </w:tc>
      </w:tr>
      <w:tr w:rsidR="007E2D4D" w14:paraId="126FC303" w14:textId="77777777" w:rsidTr="00630269">
        <w:tc>
          <w:tcPr>
            <w:cnfStyle w:val="001000000000" w:firstRow="0" w:lastRow="0" w:firstColumn="1" w:lastColumn="0" w:oddVBand="0" w:evenVBand="0" w:oddHBand="0" w:evenHBand="0" w:firstRowFirstColumn="0" w:firstRowLastColumn="0" w:lastRowFirstColumn="0" w:lastRowLastColumn="0"/>
            <w:tcW w:w="2137" w:type="dxa"/>
          </w:tcPr>
          <w:p w14:paraId="55A241D4" w14:textId="77777777" w:rsidR="007E2D4D" w:rsidRDefault="007E2D4D" w:rsidP="00915A1C">
            <w:pPr>
              <w:tabs>
                <w:tab w:val="left" w:pos="1681"/>
              </w:tabs>
              <w:spacing w:after="60"/>
              <w:ind w:left="0"/>
              <w:rPr>
                <w:szCs w:val="22"/>
              </w:rPr>
            </w:pPr>
            <w:r>
              <w:rPr>
                <w:szCs w:val="22"/>
              </w:rPr>
              <w:t>Round trip LNG losses</w:t>
            </w:r>
          </w:p>
        </w:tc>
        <w:tc>
          <w:tcPr>
            <w:tcW w:w="1691" w:type="dxa"/>
          </w:tcPr>
          <w:p w14:paraId="4CC45508" w14:textId="77777777" w:rsidR="007E2D4D" w:rsidRDefault="007E2D4D" w:rsidP="00915A1C">
            <w:pPr>
              <w:spacing w:after="60"/>
              <w:ind w:left="0"/>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2692" w:type="dxa"/>
          </w:tcPr>
          <w:p w14:paraId="22FEE6C7" w14:textId="77777777" w:rsidR="007E2D4D" w:rsidRDefault="007E2D4D" w:rsidP="00915A1C">
            <w:pPr>
              <w:spacing w:after="60"/>
              <w:ind w:left="0"/>
              <w:cnfStyle w:val="000000000000" w:firstRow="0" w:lastRow="0" w:firstColumn="0" w:lastColumn="0" w:oddVBand="0" w:evenVBand="0" w:oddHBand="0" w:evenHBand="0" w:firstRowFirstColumn="0" w:firstRowLastColumn="0" w:lastRowFirstColumn="0" w:lastRowLastColumn="0"/>
              <w:rPr>
                <w:szCs w:val="22"/>
              </w:rPr>
            </w:pPr>
            <w:r>
              <w:rPr>
                <w:szCs w:val="22"/>
              </w:rPr>
              <w:t>1.5%</w:t>
            </w:r>
          </w:p>
        </w:tc>
        <w:tc>
          <w:tcPr>
            <w:tcW w:w="1934" w:type="dxa"/>
          </w:tcPr>
          <w:p w14:paraId="27E83616" w14:textId="77777777" w:rsidR="007E2D4D" w:rsidRDefault="007E2D4D" w:rsidP="00915A1C">
            <w:pPr>
              <w:spacing w:after="60"/>
              <w:ind w:left="0"/>
              <w:cnfStyle w:val="000000000000" w:firstRow="0" w:lastRow="0" w:firstColumn="0" w:lastColumn="0" w:oddVBand="0" w:evenVBand="0" w:oddHBand="0" w:evenHBand="0" w:firstRowFirstColumn="0" w:firstRowLastColumn="0" w:lastRowFirstColumn="0" w:lastRowLastColumn="0"/>
              <w:rPr>
                <w:szCs w:val="22"/>
              </w:rPr>
            </w:pPr>
            <w:r>
              <w:rPr>
                <w:szCs w:val="22"/>
              </w:rPr>
              <w:t>2%</w:t>
            </w:r>
          </w:p>
        </w:tc>
      </w:tr>
    </w:tbl>
    <w:p w14:paraId="6498F579" w14:textId="77777777" w:rsidR="007E2D4D" w:rsidRPr="00B232AC" w:rsidRDefault="007E2D4D" w:rsidP="007E2D4D">
      <w:pPr>
        <w:spacing w:before="60" w:line="0" w:lineRule="atLeast"/>
        <w:rPr>
          <w:sz w:val="14"/>
          <w:szCs w:val="14"/>
        </w:rPr>
      </w:pPr>
      <w:r w:rsidRPr="00B232AC">
        <w:rPr>
          <w:sz w:val="14"/>
          <w:szCs w:val="14"/>
        </w:rPr>
        <w:t xml:space="preserve">Source: </w:t>
      </w:r>
      <w:proofErr w:type="spellStart"/>
      <w:r w:rsidRPr="00B232AC">
        <w:rPr>
          <w:sz w:val="14"/>
          <w:szCs w:val="14"/>
        </w:rPr>
        <w:t>Pospíšil</w:t>
      </w:r>
      <w:proofErr w:type="spellEnd"/>
      <w:r w:rsidRPr="00B232AC">
        <w:rPr>
          <w:sz w:val="14"/>
          <w:szCs w:val="14"/>
        </w:rPr>
        <w:t xml:space="preserve"> et al. 2019</w:t>
      </w:r>
      <w:r w:rsidRPr="00B232AC">
        <w:rPr>
          <w:rStyle w:val="Voetnootmarkering"/>
          <w:sz w:val="14"/>
          <w:szCs w:val="14"/>
        </w:rPr>
        <w:footnoteReference w:id="74"/>
      </w:r>
    </w:p>
    <w:p w14:paraId="5B0E0350" w14:textId="6B7C585C" w:rsidR="007E2D4D" w:rsidRDefault="007E2D4D" w:rsidP="007E2D4D">
      <w:pPr>
        <w:spacing w:before="120" w:after="120"/>
        <w:rPr>
          <w:szCs w:val="22"/>
        </w:rPr>
      </w:pPr>
      <w:r>
        <w:rPr>
          <w:bCs/>
          <w:szCs w:val="22"/>
        </w:rPr>
        <w:t xml:space="preserve">The investment and operational costs of an LNG </w:t>
      </w:r>
      <w:r w:rsidR="00007CEB">
        <w:rPr>
          <w:bCs/>
          <w:szCs w:val="22"/>
        </w:rPr>
        <w:t>liqu</w:t>
      </w:r>
      <w:r w:rsidR="00CB5F28">
        <w:rPr>
          <w:bCs/>
          <w:szCs w:val="22"/>
        </w:rPr>
        <w:t>efaction</w:t>
      </w:r>
      <w:r w:rsidR="00007CEB">
        <w:rPr>
          <w:bCs/>
          <w:szCs w:val="22"/>
        </w:rPr>
        <w:t xml:space="preserve"> </w:t>
      </w:r>
      <w:r>
        <w:rPr>
          <w:bCs/>
          <w:szCs w:val="22"/>
        </w:rPr>
        <w:t xml:space="preserve">plant </w:t>
      </w:r>
      <w:r w:rsidR="00007CEB">
        <w:rPr>
          <w:bCs/>
          <w:szCs w:val="22"/>
        </w:rPr>
        <w:t>are</w:t>
      </w:r>
      <w:r>
        <w:rPr>
          <w:bCs/>
          <w:szCs w:val="22"/>
        </w:rPr>
        <w:t xml:space="preserve"> presented in </w:t>
      </w:r>
      <w:r w:rsidR="007841D2">
        <w:rPr>
          <w:bCs/>
          <w:szCs w:val="22"/>
        </w:rPr>
        <w:fldChar w:fldCharType="begin"/>
      </w:r>
      <w:r w:rsidR="007841D2">
        <w:rPr>
          <w:bCs/>
          <w:szCs w:val="22"/>
        </w:rPr>
        <w:instrText xml:space="preserve"> REF _Ref113014725 \h </w:instrText>
      </w:r>
      <w:r w:rsidR="007841D2">
        <w:rPr>
          <w:bCs/>
          <w:szCs w:val="22"/>
        </w:rPr>
      </w:r>
      <w:r w:rsidR="007841D2">
        <w:rPr>
          <w:bCs/>
          <w:szCs w:val="22"/>
        </w:rPr>
        <w:fldChar w:fldCharType="separate"/>
      </w:r>
      <w:r w:rsidR="00265258">
        <w:t xml:space="preserve">Table </w:t>
      </w:r>
      <w:r w:rsidR="00265258">
        <w:rPr>
          <w:noProof/>
        </w:rPr>
        <w:t>6</w:t>
      </w:r>
      <w:r w:rsidR="00265258">
        <w:noBreakHyphen/>
      </w:r>
      <w:r w:rsidR="00265258">
        <w:rPr>
          <w:noProof/>
        </w:rPr>
        <w:t>9</w:t>
      </w:r>
      <w:r w:rsidR="007841D2">
        <w:rPr>
          <w:bCs/>
          <w:szCs w:val="22"/>
        </w:rPr>
        <w:fldChar w:fldCharType="end"/>
      </w:r>
      <w:r w:rsidRPr="00BF1D0A">
        <w:rPr>
          <w:szCs w:val="22"/>
        </w:rPr>
        <w:t xml:space="preserve">.  </w:t>
      </w:r>
    </w:p>
    <w:p w14:paraId="43A20488" w14:textId="2C34929F" w:rsidR="007E2D4D" w:rsidRPr="00924AEF" w:rsidRDefault="007E2D4D" w:rsidP="007E2D4D">
      <w:pPr>
        <w:pStyle w:val="Bijschrift"/>
        <w:rPr>
          <w:szCs w:val="22"/>
        </w:rPr>
      </w:pPr>
      <w:bookmarkStart w:id="124" w:name="_Ref113014725"/>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9</w:t>
      </w:r>
      <w:r w:rsidR="006D12F8">
        <w:rPr>
          <w:noProof/>
        </w:rPr>
        <w:fldChar w:fldCharType="end"/>
      </w:r>
      <w:bookmarkEnd w:id="124"/>
      <w:r>
        <w:t>. NG Liqu</w:t>
      </w:r>
      <w:r w:rsidR="00CB5F28">
        <w:t>e</w:t>
      </w:r>
      <w:r>
        <w:t>f</w:t>
      </w:r>
      <w:r w:rsidR="00CB5F28">
        <w:t>ac</w:t>
      </w:r>
      <w:r>
        <w:t>tion plant investment cost</w:t>
      </w:r>
    </w:p>
    <w:tbl>
      <w:tblPr>
        <w:tblStyle w:val="Table1"/>
        <w:tblW w:w="0" w:type="auto"/>
        <w:tblInd w:w="562" w:type="dxa"/>
        <w:tblLook w:val="04A0" w:firstRow="1" w:lastRow="0" w:firstColumn="1" w:lastColumn="0" w:noHBand="0" w:noVBand="1"/>
      </w:tblPr>
      <w:tblGrid>
        <w:gridCol w:w="2519"/>
        <w:gridCol w:w="2092"/>
        <w:gridCol w:w="1341"/>
        <w:gridCol w:w="1226"/>
        <w:gridCol w:w="1276"/>
      </w:tblGrid>
      <w:tr w:rsidR="007E2D4D" w14:paraId="376F8252" w14:textId="77777777" w:rsidTr="006302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9" w:type="dxa"/>
          </w:tcPr>
          <w:p w14:paraId="3994A189" w14:textId="77777777" w:rsidR="007E2D4D" w:rsidRDefault="007E2D4D" w:rsidP="00630269">
            <w:pPr>
              <w:rPr>
                <w:b w:val="0"/>
                <w:bCs/>
              </w:rPr>
            </w:pPr>
          </w:p>
        </w:tc>
        <w:tc>
          <w:tcPr>
            <w:tcW w:w="2092" w:type="dxa"/>
          </w:tcPr>
          <w:p w14:paraId="1605CD3A" w14:textId="77777777" w:rsidR="007E2D4D" w:rsidRPr="000237AE" w:rsidRDefault="007E2D4D" w:rsidP="00630269">
            <w:pPr>
              <w:cnfStyle w:val="100000000000" w:firstRow="1" w:lastRow="0" w:firstColumn="0" w:lastColumn="0" w:oddVBand="0" w:evenVBand="0" w:oddHBand="0" w:evenHBand="0" w:firstRowFirstColumn="0" w:firstRowLastColumn="0" w:lastRowFirstColumn="0" w:lastRowLastColumn="0"/>
              <w:rPr>
                <w:rFonts w:ascii="Trebuchet MS" w:hAnsi="Trebuchet MS"/>
                <w:b w:val="0"/>
                <w:bCs/>
              </w:rPr>
            </w:pPr>
          </w:p>
        </w:tc>
        <w:tc>
          <w:tcPr>
            <w:tcW w:w="1341" w:type="dxa"/>
          </w:tcPr>
          <w:p w14:paraId="779EF658" w14:textId="77777777" w:rsidR="007E2D4D" w:rsidRPr="000237AE" w:rsidRDefault="007E2D4D" w:rsidP="00630269">
            <w:pPr>
              <w:ind w:left="104"/>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0237AE">
              <w:rPr>
                <w:rFonts w:ascii="Trebuchet MS" w:hAnsi="Trebuchet MS"/>
              </w:rPr>
              <w:t>Current</w:t>
            </w:r>
          </w:p>
        </w:tc>
        <w:tc>
          <w:tcPr>
            <w:tcW w:w="1226" w:type="dxa"/>
          </w:tcPr>
          <w:p w14:paraId="285D8ABA" w14:textId="77777777" w:rsidR="007E2D4D" w:rsidRPr="000237AE" w:rsidRDefault="007E2D4D" w:rsidP="00630269">
            <w:pPr>
              <w:ind w:left="104"/>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0237AE">
              <w:rPr>
                <w:rFonts w:ascii="Trebuchet MS" w:hAnsi="Trebuchet MS"/>
              </w:rPr>
              <w:t>2030</w:t>
            </w:r>
          </w:p>
        </w:tc>
        <w:tc>
          <w:tcPr>
            <w:tcW w:w="1276" w:type="dxa"/>
          </w:tcPr>
          <w:p w14:paraId="279FC5AF" w14:textId="77777777" w:rsidR="007E2D4D" w:rsidRPr="000237AE" w:rsidRDefault="007E2D4D" w:rsidP="00630269">
            <w:pPr>
              <w:ind w:left="104"/>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0237AE">
              <w:rPr>
                <w:rFonts w:ascii="Trebuchet MS" w:hAnsi="Trebuchet MS"/>
              </w:rPr>
              <w:t>2050</w:t>
            </w:r>
          </w:p>
        </w:tc>
      </w:tr>
      <w:tr w:rsidR="007E2D4D" w14:paraId="6C80B051" w14:textId="77777777" w:rsidTr="00630269">
        <w:tc>
          <w:tcPr>
            <w:cnfStyle w:val="001000000000" w:firstRow="0" w:lastRow="0" w:firstColumn="1" w:lastColumn="0" w:oddVBand="0" w:evenVBand="0" w:oddHBand="0" w:evenHBand="0" w:firstRowFirstColumn="0" w:firstRowLastColumn="0" w:lastRowFirstColumn="0" w:lastRowLastColumn="0"/>
            <w:tcW w:w="2519" w:type="dxa"/>
            <w:vMerge w:val="restart"/>
          </w:tcPr>
          <w:p w14:paraId="4BE76306" w14:textId="4054FA07" w:rsidR="007E2D4D" w:rsidRPr="00DF09E7" w:rsidRDefault="007E2D4D" w:rsidP="00915A1C">
            <w:pPr>
              <w:spacing w:before="20" w:after="60"/>
              <w:ind w:left="-113"/>
              <w:jc w:val="center"/>
              <w:rPr>
                <w:b/>
                <w:bCs/>
              </w:rPr>
            </w:pPr>
            <w:r>
              <w:rPr>
                <w:b/>
                <w:bCs/>
              </w:rPr>
              <w:t>Liqu</w:t>
            </w:r>
            <w:r w:rsidR="00CB5F28">
              <w:rPr>
                <w:b/>
                <w:bCs/>
              </w:rPr>
              <w:t>e</w:t>
            </w:r>
            <w:r>
              <w:rPr>
                <w:b/>
                <w:bCs/>
              </w:rPr>
              <w:t>f</w:t>
            </w:r>
            <w:r w:rsidR="00CB5F28">
              <w:rPr>
                <w:b/>
                <w:bCs/>
              </w:rPr>
              <w:t>ac</w:t>
            </w:r>
            <w:r>
              <w:rPr>
                <w:b/>
                <w:bCs/>
              </w:rPr>
              <w:t>tion (LNG)</w:t>
            </w:r>
          </w:p>
        </w:tc>
        <w:tc>
          <w:tcPr>
            <w:tcW w:w="2092" w:type="dxa"/>
          </w:tcPr>
          <w:p w14:paraId="06CEB1DA" w14:textId="77777777" w:rsidR="007E2D4D" w:rsidRDefault="007E2D4D" w:rsidP="00915A1C">
            <w:pPr>
              <w:spacing w:before="20" w:after="60"/>
              <w:ind w:hanging="499"/>
              <w:cnfStyle w:val="000000000000" w:firstRow="0" w:lastRow="0" w:firstColumn="0" w:lastColumn="0" w:oddVBand="0" w:evenVBand="0" w:oddHBand="0" w:evenHBand="0" w:firstRowFirstColumn="0" w:firstRowLastColumn="0" w:lastRowFirstColumn="0" w:lastRowLastColumn="0"/>
              <w:rPr>
                <w:b/>
                <w:bCs/>
              </w:rPr>
            </w:pPr>
            <w:r w:rsidRPr="00DF09E7">
              <w:rPr>
                <w:b/>
                <w:bCs/>
              </w:rPr>
              <w:t>CAPEX [€/</w:t>
            </w:r>
            <w:proofErr w:type="spellStart"/>
            <w:r>
              <w:rPr>
                <w:b/>
                <w:bCs/>
              </w:rPr>
              <w:t>ton</w:t>
            </w:r>
            <w:r w:rsidRPr="00194EFB">
              <w:rPr>
                <w:b/>
                <w:bCs/>
                <w:vertAlign w:val="subscript"/>
              </w:rPr>
              <w:t>LNG</w:t>
            </w:r>
            <w:proofErr w:type="spellEnd"/>
            <w:r>
              <w:rPr>
                <w:b/>
                <w:bCs/>
              </w:rPr>
              <w:t>*y</w:t>
            </w:r>
            <w:r w:rsidRPr="00DF09E7">
              <w:rPr>
                <w:b/>
                <w:bCs/>
              </w:rPr>
              <w:t>]</w:t>
            </w:r>
          </w:p>
        </w:tc>
        <w:tc>
          <w:tcPr>
            <w:tcW w:w="1341" w:type="dxa"/>
          </w:tcPr>
          <w:p w14:paraId="4289B569" w14:textId="77777777" w:rsidR="007E2D4D" w:rsidRPr="00B91041" w:rsidRDefault="007E2D4D" w:rsidP="00915A1C">
            <w:pPr>
              <w:spacing w:before="20" w:after="60"/>
              <w:ind w:hanging="463"/>
              <w:cnfStyle w:val="000000000000" w:firstRow="0" w:lastRow="0" w:firstColumn="0" w:lastColumn="0" w:oddVBand="0" w:evenVBand="0" w:oddHBand="0" w:evenHBand="0" w:firstRowFirstColumn="0" w:firstRowLastColumn="0" w:lastRowFirstColumn="0" w:lastRowLastColumn="0"/>
            </w:pPr>
            <w:r>
              <w:t>1035</w:t>
            </w:r>
          </w:p>
        </w:tc>
        <w:tc>
          <w:tcPr>
            <w:tcW w:w="1226" w:type="dxa"/>
          </w:tcPr>
          <w:p w14:paraId="38016658" w14:textId="77777777" w:rsidR="007E2D4D" w:rsidRPr="00B91041" w:rsidRDefault="007E2D4D" w:rsidP="00915A1C">
            <w:pPr>
              <w:spacing w:before="20" w:after="60"/>
              <w:ind w:hanging="463"/>
              <w:cnfStyle w:val="000000000000" w:firstRow="0" w:lastRow="0" w:firstColumn="0" w:lastColumn="0" w:oddVBand="0" w:evenVBand="0" w:oddHBand="0" w:evenHBand="0" w:firstRowFirstColumn="0" w:firstRowLastColumn="0" w:lastRowFirstColumn="0" w:lastRowLastColumn="0"/>
            </w:pPr>
            <w:r>
              <w:t>660</w:t>
            </w:r>
          </w:p>
        </w:tc>
        <w:tc>
          <w:tcPr>
            <w:tcW w:w="1276" w:type="dxa"/>
          </w:tcPr>
          <w:p w14:paraId="28C018B5" w14:textId="77777777" w:rsidR="007E2D4D" w:rsidRPr="00B91041" w:rsidRDefault="007E2D4D" w:rsidP="00915A1C">
            <w:pPr>
              <w:spacing w:before="20" w:after="60"/>
              <w:ind w:hanging="463"/>
              <w:cnfStyle w:val="000000000000" w:firstRow="0" w:lastRow="0" w:firstColumn="0" w:lastColumn="0" w:oddVBand="0" w:evenVBand="0" w:oddHBand="0" w:evenHBand="0" w:firstRowFirstColumn="0" w:firstRowLastColumn="0" w:lastRowFirstColumn="0" w:lastRowLastColumn="0"/>
            </w:pPr>
            <w:r>
              <w:t>500</w:t>
            </w:r>
          </w:p>
        </w:tc>
      </w:tr>
      <w:tr w:rsidR="007E2D4D" w14:paraId="12E7F4D6" w14:textId="77777777" w:rsidTr="00630269">
        <w:tc>
          <w:tcPr>
            <w:cnfStyle w:val="001000000000" w:firstRow="0" w:lastRow="0" w:firstColumn="1" w:lastColumn="0" w:oddVBand="0" w:evenVBand="0" w:oddHBand="0" w:evenHBand="0" w:firstRowFirstColumn="0" w:firstRowLastColumn="0" w:lastRowFirstColumn="0" w:lastRowLastColumn="0"/>
            <w:tcW w:w="2519" w:type="dxa"/>
            <w:vMerge/>
          </w:tcPr>
          <w:p w14:paraId="1FF90817" w14:textId="77777777" w:rsidR="007E2D4D" w:rsidRDefault="007E2D4D" w:rsidP="00915A1C">
            <w:pPr>
              <w:spacing w:before="20" w:after="60"/>
              <w:ind w:left="-113"/>
              <w:rPr>
                <w:b/>
                <w:bCs/>
              </w:rPr>
            </w:pPr>
          </w:p>
        </w:tc>
        <w:tc>
          <w:tcPr>
            <w:tcW w:w="2092" w:type="dxa"/>
          </w:tcPr>
          <w:p w14:paraId="2FB82D27" w14:textId="77777777" w:rsidR="007E2D4D" w:rsidRDefault="007E2D4D" w:rsidP="00915A1C">
            <w:pPr>
              <w:spacing w:before="20" w:after="60"/>
              <w:ind w:hanging="499"/>
              <w:cnfStyle w:val="000000000000" w:firstRow="0" w:lastRow="0" w:firstColumn="0" w:lastColumn="0" w:oddVBand="0" w:evenVBand="0" w:oddHBand="0" w:evenHBand="0" w:firstRowFirstColumn="0" w:firstRowLastColumn="0" w:lastRowFirstColumn="0" w:lastRowLastColumn="0"/>
              <w:rPr>
                <w:b/>
                <w:bCs/>
              </w:rPr>
            </w:pPr>
            <w:r>
              <w:rPr>
                <w:b/>
                <w:bCs/>
              </w:rPr>
              <w:t>OPEX [% of CAPEX /y]</w:t>
            </w:r>
          </w:p>
        </w:tc>
        <w:tc>
          <w:tcPr>
            <w:tcW w:w="1341" w:type="dxa"/>
          </w:tcPr>
          <w:p w14:paraId="47A8FFFE" w14:textId="77777777" w:rsidR="007E2D4D" w:rsidRPr="00B91041" w:rsidRDefault="007E2D4D" w:rsidP="00915A1C">
            <w:pPr>
              <w:spacing w:before="20" w:after="60"/>
              <w:ind w:hanging="463"/>
              <w:cnfStyle w:val="000000000000" w:firstRow="0" w:lastRow="0" w:firstColumn="0" w:lastColumn="0" w:oddVBand="0" w:evenVBand="0" w:oddHBand="0" w:evenHBand="0" w:firstRowFirstColumn="0" w:firstRowLastColumn="0" w:lastRowFirstColumn="0" w:lastRowLastColumn="0"/>
            </w:pPr>
            <w:r>
              <w:t>2.5%</w:t>
            </w:r>
          </w:p>
        </w:tc>
        <w:tc>
          <w:tcPr>
            <w:tcW w:w="1226" w:type="dxa"/>
          </w:tcPr>
          <w:p w14:paraId="39719069" w14:textId="77777777" w:rsidR="007E2D4D" w:rsidRPr="00B91041" w:rsidRDefault="007E2D4D" w:rsidP="00915A1C">
            <w:pPr>
              <w:spacing w:before="20" w:after="60"/>
              <w:ind w:hanging="463"/>
              <w:cnfStyle w:val="000000000000" w:firstRow="0" w:lastRow="0" w:firstColumn="0" w:lastColumn="0" w:oddVBand="0" w:evenVBand="0" w:oddHBand="0" w:evenHBand="0" w:firstRowFirstColumn="0" w:firstRowLastColumn="0" w:lastRowFirstColumn="0" w:lastRowLastColumn="0"/>
            </w:pPr>
            <w:r>
              <w:t>2.5%</w:t>
            </w:r>
          </w:p>
        </w:tc>
        <w:tc>
          <w:tcPr>
            <w:tcW w:w="1276" w:type="dxa"/>
          </w:tcPr>
          <w:p w14:paraId="54BDDD84" w14:textId="77777777" w:rsidR="007E2D4D" w:rsidRPr="00B91041" w:rsidRDefault="007E2D4D" w:rsidP="00915A1C">
            <w:pPr>
              <w:spacing w:before="20" w:after="60"/>
              <w:ind w:hanging="463"/>
              <w:cnfStyle w:val="000000000000" w:firstRow="0" w:lastRow="0" w:firstColumn="0" w:lastColumn="0" w:oddVBand="0" w:evenVBand="0" w:oddHBand="0" w:evenHBand="0" w:firstRowFirstColumn="0" w:firstRowLastColumn="0" w:lastRowFirstColumn="0" w:lastRowLastColumn="0"/>
            </w:pPr>
            <w:r>
              <w:t>2.5%</w:t>
            </w:r>
          </w:p>
        </w:tc>
      </w:tr>
    </w:tbl>
    <w:p w14:paraId="67A86E16" w14:textId="3AFACECC" w:rsidR="007E2D4D" w:rsidRPr="00F1478F" w:rsidRDefault="007E2D4D" w:rsidP="007E2D4D">
      <w:pPr>
        <w:spacing w:before="60" w:line="0" w:lineRule="atLeast"/>
        <w:rPr>
          <w:sz w:val="16"/>
          <w:szCs w:val="20"/>
        </w:rPr>
      </w:pPr>
      <w:r w:rsidRPr="00F1478F">
        <w:rPr>
          <w:sz w:val="14"/>
          <w:szCs w:val="10"/>
        </w:rPr>
        <w:t>Source: Oxford 2018</w:t>
      </w:r>
      <w:r w:rsidRPr="00F1478F">
        <w:rPr>
          <w:rStyle w:val="Voetnootmarkering"/>
          <w:sz w:val="14"/>
          <w:szCs w:val="10"/>
        </w:rPr>
        <w:footnoteReference w:id="75"/>
      </w:r>
      <w:r w:rsidRPr="00F1478F">
        <w:rPr>
          <w:sz w:val="14"/>
          <w:szCs w:val="10"/>
        </w:rPr>
        <w:t xml:space="preserve">, </w:t>
      </w:r>
      <w:r w:rsidRPr="00F1478F">
        <w:rPr>
          <w:sz w:val="14"/>
          <w:szCs w:val="14"/>
        </w:rPr>
        <w:t>ENTEC 2022</w:t>
      </w:r>
      <w:r w:rsidRPr="00F1478F">
        <w:rPr>
          <w:sz w:val="14"/>
          <w:szCs w:val="14"/>
          <w:vertAlign w:val="superscript"/>
        </w:rPr>
        <w:fldChar w:fldCharType="begin"/>
      </w:r>
      <w:r w:rsidRPr="00F1478F">
        <w:rPr>
          <w:sz w:val="14"/>
          <w:szCs w:val="14"/>
          <w:vertAlign w:val="superscript"/>
        </w:rPr>
        <w:instrText xml:space="preserve"> NOTEREF _Ref103379231 \h </w:instrText>
      </w:r>
      <w:r>
        <w:rPr>
          <w:sz w:val="14"/>
          <w:szCs w:val="14"/>
          <w:vertAlign w:val="superscript"/>
        </w:rPr>
        <w:instrText xml:space="preserve"> \* MERGEFORMAT </w:instrText>
      </w:r>
      <w:r w:rsidRPr="00F1478F">
        <w:rPr>
          <w:sz w:val="14"/>
          <w:szCs w:val="14"/>
          <w:vertAlign w:val="superscript"/>
        </w:rPr>
      </w:r>
      <w:r w:rsidRPr="00F1478F">
        <w:rPr>
          <w:sz w:val="14"/>
          <w:szCs w:val="14"/>
          <w:vertAlign w:val="superscript"/>
        </w:rPr>
        <w:fldChar w:fldCharType="separate"/>
      </w:r>
      <w:r w:rsidR="00265258">
        <w:rPr>
          <w:sz w:val="14"/>
          <w:szCs w:val="14"/>
          <w:vertAlign w:val="superscript"/>
        </w:rPr>
        <w:t>63</w:t>
      </w:r>
      <w:r w:rsidRPr="00F1478F">
        <w:rPr>
          <w:sz w:val="14"/>
          <w:szCs w:val="14"/>
          <w:vertAlign w:val="superscript"/>
        </w:rPr>
        <w:fldChar w:fldCharType="end"/>
      </w:r>
      <w:r w:rsidRPr="00F1478F">
        <w:rPr>
          <w:sz w:val="14"/>
          <w:szCs w:val="14"/>
        </w:rPr>
        <w:t xml:space="preserve">, </w:t>
      </w:r>
      <w:proofErr w:type="spellStart"/>
      <w:r w:rsidRPr="00F1478F">
        <w:rPr>
          <w:sz w:val="14"/>
          <w:szCs w:val="14"/>
        </w:rPr>
        <w:t>PtX</w:t>
      </w:r>
      <w:proofErr w:type="spellEnd"/>
      <w:r w:rsidRPr="00F1478F">
        <w:rPr>
          <w:sz w:val="14"/>
          <w:szCs w:val="14"/>
        </w:rPr>
        <w:t xml:space="preserve"> Atlas - Fraunhofer IEE</w:t>
      </w:r>
      <w:r w:rsidRPr="00F1478F">
        <w:rPr>
          <w:sz w:val="14"/>
          <w:szCs w:val="14"/>
          <w:vertAlign w:val="superscript"/>
        </w:rPr>
        <w:fldChar w:fldCharType="begin"/>
      </w:r>
      <w:r w:rsidRPr="00F1478F">
        <w:rPr>
          <w:sz w:val="14"/>
          <w:szCs w:val="14"/>
          <w:vertAlign w:val="superscript"/>
        </w:rPr>
        <w:instrText xml:space="preserve"> NOTEREF _Ref103186303 \h </w:instrText>
      </w:r>
      <w:r>
        <w:rPr>
          <w:sz w:val="14"/>
          <w:szCs w:val="14"/>
          <w:vertAlign w:val="superscript"/>
        </w:rPr>
        <w:instrText xml:space="preserve"> \* MERGEFORMAT </w:instrText>
      </w:r>
      <w:r w:rsidRPr="00F1478F">
        <w:rPr>
          <w:sz w:val="14"/>
          <w:szCs w:val="14"/>
          <w:vertAlign w:val="superscript"/>
        </w:rPr>
      </w:r>
      <w:r w:rsidRPr="00F1478F">
        <w:rPr>
          <w:sz w:val="14"/>
          <w:szCs w:val="14"/>
          <w:vertAlign w:val="superscript"/>
        </w:rPr>
        <w:fldChar w:fldCharType="separate"/>
      </w:r>
      <w:r w:rsidR="00265258">
        <w:rPr>
          <w:sz w:val="14"/>
          <w:szCs w:val="14"/>
          <w:vertAlign w:val="superscript"/>
        </w:rPr>
        <w:t>66</w:t>
      </w:r>
      <w:r w:rsidRPr="00F1478F">
        <w:rPr>
          <w:sz w:val="14"/>
          <w:szCs w:val="14"/>
          <w:vertAlign w:val="superscript"/>
        </w:rPr>
        <w:fldChar w:fldCharType="end"/>
      </w:r>
    </w:p>
    <w:p w14:paraId="4394329C" w14:textId="77777777" w:rsidR="007E2D4D" w:rsidRDefault="007E2D4D" w:rsidP="007E2D4D">
      <w:pPr>
        <w:spacing w:before="120"/>
        <w:jc w:val="both"/>
      </w:pPr>
      <w:r w:rsidRPr="00562815">
        <w:t>To achieve high sto</w:t>
      </w:r>
      <w:r w:rsidRPr="00562815">
        <w:rPr>
          <w:szCs w:val="22"/>
        </w:rPr>
        <w:t xml:space="preserve">rage energy density, hydrogen </w:t>
      </w:r>
      <w:r>
        <w:rPr>
          <w:szCs w:val="22"/>
        </w:rPr>
        <w:t>can be</w:t>
      </w:r>
      <w:r w:rsidRPr="00562815">
        <w:rPr>
          <w:szCs w:val="22"/>
        </w:rPr>
        <w:t xml:space="preserve"> </w:t>
      </w:r>
      <w:r w:rsidRPr="00611AB3">
        <w:rPr>
          <w:szCs w:val="22"/>
        </w:rPr>
        <w:t>liquified (LH2)</w:t>
      </w:r>
      <w:r w:rsidRPr="00562815">
        <w:rPr>
          <w:szCs w:val="22"/>
        </w:rPr>
        <w:t xml:space="preserve"> and stored in special insulated, cryogenic tanks, which maintain the gas condition (-253°C) and reduce evaporation losses. Stationary tanks consist of an outer and an inner tank, high quality insulation and pressure relief valves to compensate for evaporation losses. LH2 is lost during storage and handling operations through the following stages:</w:t>
      </w:r>
    </w:p>
    <w:p w14:paraId="276664BD" w14:textId="1487D3B9" w:rsidR="007E2D4D" w:rsidRPr="006055FD" w:rsidRDefault="007E2D4D" w:rsidP="15FF09FE">
      <w:pPr>
        <w:pStyle w:val="Lijstalinea"/>
        <w:numPr>
          <w:ilvl w:val="0"/>
          <w:numId w:val="11"/>
        </w:numPr>
        <w:spacing w:after="60"/>
        <w:ind w:left="567" w:firstLine="0"/>
        <w:jc w:val="both"/>
        <w:rPr>
          <w:vertAlign w:val="superscript"/>
        </w:rPr>
      </w:pPr>
      <w:r w:rsidRPr="00562815">
        <w:t>Pump operation (loading and unloading) of LH2 leads to 0.6% average loss due to boil-off</w:t>
      </w:r>
      <w:r w:rsidRPr="00305248">
        <w:rPr>
          <w:vertAlign w:val="superscript"/>
        </w:rPr>
        <w:fldChar w:fldCharType="begin"/>
      </w:r>
      <w:r w:rsidRPr="00305248">
        <w:rPr>
          <w:vertAlign w:val="superscript"/>
        </w:rPr>
        <w:instrText xml:space="preserve"> NOTEREF _Ref103379231 \h </w:instrText>
      </w:r>
      <w:r>
        <w:rPr>
          <w:vertAlign w:val="superscript"/>
        </w:rPr>
        <w:instrText xml:space="preserve"> \* MERGEFORMAT </w:instrText>
      </w:r>
      <w:r w:rsidRPr="00305248">
        <w:rPr>
          <w:vertAlign w:val="superscript"/>
        </w:rPr>
      </w:r>
      <w:r w:rsidRPr="00305248">
        <w:rPr>
          <w:vertAlign w:val="superscript"/>
        </w:rPr>
        <w:fldChar w:fldCharType="separate"/>
      </w:r>
      <w:r w:rsidR="00265258">
        <w:rPr>
          <w:vertAlign w:val="superscript"/>
        </w:rPr>
        <w:t>63</w:t>
      </w:r>
      <w:r w:rsidRPr="00305248">
        <w:rPr>
          <w:vertAlign w:val="superscript"/>
        </w:rPr>
        <w:fldChar w:fldCharType="end"/>
      </w:r>
    </w:p>
    <w:p w14:paraId="1E3366E0" w14:textId="4C948360" w:rsidR="007E2D4D" w:rsidRDefault="007E2D4D" w:rsidP="15FF09FE">
      <w:pPr>
        <w:pStyle w:val="Lijstalinea"/>
        <w:widowControl w:val="0"/>
        <w:numPr>
          <w:ilvl w:val="0"/>
          <w:numId w:val="11"/>
        </w:numPr>
        <w:tabs>
          <w:tab w:val="left" w:pos="1712"/>
        </w:tabs>
        <w:autoSpaceDE w:val="0"/>
        <w:autoSpaceDN w:val="0"/>
        <w:spacing w:after="60" w:line="360" w:lineRule="auto"/>
        <w:ind w:left="567" w:right="96" w:firstLine="0"/>
        <w:jc w:val="both"/>
        <w:rPr>
          <w:vertAlign w:val="superscript"/>
        </w:rPr>
      </w:pPr>
      <w:r>
        <w:t>B</w:t>
      </w:r>
      <w:r w:rsidRPr="00870BDD">
        <w:t>oil-off for stationary LH2 storage (located at terminal, import and export) reaches 0.1%/d</w:t>
      </w:r>
      <w:r>
        <w:t xml:space="preserve"> (1% loss </w:t>
      </w:r>
      <w:r>
        <w:lastRenderedPageBreak/>
        <w:t>for a 10 day hold up at the LH</w:t>
      </w:r>
      <w:r w:rsidRPr="00745B22">
        <w:t>2</w:t>
      </w:r>
      <w:r>
        <w:t xml:space="preserve"> terminal)</w:t>
      </w:r>
      <w:r w:rsidRPr="00E34B4E">
        <w:rPr>
          <w:vertAlign w:val="superscript"/>
        </w:rPr>
        <w:fldChar w:fldCharType="begin"/>
      </w:r>
      <w:r w:rsidRPr="00E34B4E">
        <w:rPr>
          <w:vertAlign w:val="superscript"/>
        </w:rPr>
        <w:instrText xml:space="preserve"> NOTEREF _Ref103380800 \h </w:instrText>
      </w:r>
      <w:r>
        <w:rPr>
          <w:vertAlign w:val="superscript"/>
        </w:rPr>
        <w:instrText xml:space="preserve"> \* MERGEFORMAT </w:instrText>
      </w:r>
      <w:r w:rsidRPr="00E34B4E">
        <w:rPr>
          <w:vertAlign w:val="superscript"/>
        </w:rPr>
      </w:r>
      <w:r w:rsidRPr="00E34B4E">
        <w:rPr>
          <w:vertAlign w:val="superscript"/>
        </w:rPr>
        <w:fldChar w:fldCharType="separate"/>
      </w:r>
      <w:r w:rsidR="00265258">
        <w:rPr>
          <w:vertAlign w:val="superscript"/>
        </w:rPr>
        <w:t>57</w:t>
      </w:r>
      <w:r w:rsidRPr="00E34B4E">
        <w:rPr>
          <w:vertAlign w:val="superscript"/>
        </w:rPr>
        <w:fldChar w:fldCharType="end"/>
      </w:r>
    </w:p>
    <w:p w14:paraId="34FE6C67" w14:textId="419C9B8C" w:rsidR="007E2D4D" w:rsidRDefault="007E2D4D" w:rsidP="007E2D4D">
      <w:pPr>
        <w:widowControl w:val="0"/>
        <w:tabs>
          <w:tab w:val="left" w:pos="1712"/>
        </w:tabs>
        <w:autoSpaceDE w:val="0"/>
        <w:autoSpaceDN w:val="0"/>
        <w:spacing w:after="120" w:line="312" w:lineRule="auto"/>
        <w:ind w:right="-45"/>
        <w:jc w:val="both"/>
        <w:rPr>
          <w:szCs w:val="22"/>
        </w:rPr>
      </w:pPr>
      <w:r>
        <w:rPr>
          <w:bCs/>
          <w:szCs w:val="22"/>
        </w:rPr>
        <w:t xml:space="preserve">The investment and operational costs of a </w:t>
      </w:r>
      <w:r w:rsidRPr="00F041C7">
        <w:rPr>
          <w:bCs/>
          <w:szCs w:val="22"/>
        </w:rPr>
        <w:t>LH2 plant (liqu</w:t>
      </w:r>
      <w:r w:rsidR="00CB5F28">
        <w:rPr>
          <w:bCs/>
          <w:szCs w:val="22"/>
        </w:rPr>
        <w:t>e</w:t>
      </w:r>
      <w:r w:rsidRPr="00F041C7">
        <w:rPr>
          <w:bCs/>
          <w:szCs w:val="22"/>
        </w:rPr>
        <w:t>f</w:t>
      </w:r>
      <w:r w:rsidR="00CB5F28">
        <w:rPr>
          <w:bCs/>
          <w:szCs w:val="22"/>
        </w:rPr>
        <w:t>ac</w:t>
      </w:r>
      <w:r w:rsidRPr="00F041C7">
        <w:rPr>
          <w:bCs/>
          <w:szCs w:val="22"/>
        </w:rPr>
        <w:t xml:space="preserve">tion, regasification) are presented in the </w:t>
      </w:r>
      <w:r w:rsidRPr="00F041C7">
        <w:rPr>
          <w:szCs w:val="22"/>
        </w:rPr>
        <w:t>following table.</w:t>
      </w:r>
    </w:p>
    <w:p w14:paraId="1F917AC5" w14:textId="745C3403" w:rsidR="007E2D4D" w:rsidRPr="00F041C7" w:rsidRDefault="007E2D4D" w:rsidP="007E2D4D">
      <w:pPr>
        <w:pStyle w:val="Bijschrift"/>
      </w:pPr>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10</w:t>
      </w:r>
      <w:r w:rsidR="006D12F8">
        <w:rPr>
          <w:noProof/>
        </w:rPr>
        <w:fldChar w:fldCharType="end"/>
      </w:r>
      <w:r>
        <w:t>. Hydrogen liqu</w:t>
      </w:r>
      <w:r w:rsidR="00CB5F28">
        <w:t xml:space="preserve">efaction </w:t>
      </w:r>
      <w:r>
        <w:t>plant investment and operational costs</w:t>
      </w:r>
    </w:p>
    <w:tbl>
      <w:tblPr>
        <w:tblStyle w:val="Table1"/>
        <w:tblW w:w="0" w:type="auto"/>
        <w:tblInd w:w="562" w:type="dxa"/>
        <w:tblLook w:val="04A0" w:firstRow="1" w:lastRow="0" w:firstColumn="1" w:lastColumn="0" w:noHBand="0" w:noVBand="1"/>
      </w:tblPr>
      <w:tblGrid>
        <w:gridCol w:w="2127"/>
        <w:gridCol w:w="405"/>
        <w:gridCol w:w="2071"/>
        <w:gridCol w:w="1341"/>
        <w:gridCol w:w="1229"/>
        <w:gridCol w:w="1281"/>
      </w:tblGrid>
      <w:tr w:rsidR="007E2D4D" w14:paraId="013F9612" w14:textId="77777777" w:rsidTr="00AC5A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32" w:type="dxa"/>
            <w:gridSpan w:val="2"/>
          </w:tcPr>
          <w:p w14:paraId="2B1F98C1" w14:textId="77777777" w:rsidR="007E2D4D" w:rsidRDefault="007E2D4D" w:rsidP="00630269">
            <w:pPr>
              <w:spacing w:before="20" w:after="20" w:line="0" w:lineRule="atLeast"/>
              <w:rPr>
                <w:b w:val="0"/>
                <w:bCs/>
              </w:rPr>
            </w:pPr>
          </w:p>
        </w:tc>
        <w:tc>
          <w:tcPr>
            <w:tcW w:w="2071" w:type="dxa"/>
          </w:tcPr>
          <w:p w14:paraId="7633FF00" w14:textId="77777777" w:rsidR="007E2D4D" w:rsidRDefault="007E2D4D" w:rsidP="00630269">
            <w:pPr>
              <w:spacing w:before="20" w:after="20" w:line="0" w:lineRule="atLeast"/>
              <w:cnfStyle w:val="100000000000" w:firstRow="1" w:lastRow="0" w:firstColumn="0" w:lastColumn="0" w:oddVBand="0" w:evenVBand="0" w:oddHBand="0" w:evenHBand="0" w:firstRowFirstColumn="0" w:firstRowLastColumn="0" w:lastRowFirstColumn="0" w:lastRowLastColumn="0"/>
              <w:rPr>
                <w:b w:val="0"/>
                <w:bCs/>
              </w:rPr>
            </w:pPr>
          </w:p>
        </w:tc>
        <w:tc>
          <w:tcPr>
            <w:tcW w:w="1341" w:type="dxa"/>
          </w:tcPr>
          <w:p w14:paraId="43CA8981" w14:textId="77777777" w:rsidR="007E2D4D" w:rsidRPr="000237AE" w:rsidRDefault="007E2D4D" w:rsidP="00630269">
            <w:pPr>
              <w:spacing w:before="20" w:after="20" w:line="0" w:lineRule="atLeast"/>
              <w:ind w:left="103"/>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0237AE">
              <w:rPr>
                <w:rFonts w:ascii="Trebuchet MS" w:hAnsi="Trebuchet MS"/>
              </w:rPr>
              <w:t>Current</w:t>
            </w:r>
          </w:p>
        </w:tc>
        <w:tc>
          <w:tcPr>
            <w:tcW w:w="1229" w:type="dxa"/>
          </w:tcPr>
          <w:p w14:paraId="4C09DFEC" w14:textId="77777777" w:rsidR="007E2D4D" w:rsidRPr="000237AE" w:rsidRDefault="007E2D4D" w:rsidP="00630269">
            <w:pPr>
              <w:spacing w:before="20" w:after="20" w:line="0" w:lineRule="atLeast"/>
              <w:ind w:left="103"/>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0237AE">
              <w:rPr>
                <w:rFonts w:ascii="Trebuchet MS" w:hAnsi="Trebuchet MS"/>
              </w:rPr>
              <w:t>2030</w:t>
            </w:r>
          </w:p>
        </w:tc>
        <w:tc>
          <w:tcPr>
            <w:tcW w:w="1281" w:type="dxa"/>
          </w:tcPr>
          <w:p w14:paraId="31E03435" w14:textId="77777777" w:rsidR="007E2D4D" w:rsidRPr="000237AE" w:rsidRDefault="007E2D4D" w:rsidP="00630269">
            <w:pPr>
              <w:spacing w:before="20" w:after="20" w:line="0" w:lineRule="atLeast"/>
              <w:ind w:left="103"/>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0237AE">
              <w:rPr>
                <w:rFonts w:ascii="Trebuchet MS" w:hAnsi="Trebuchet MS"/>
              </w:rPr>
              <w:t>2050</w:t>
            </w:r>
          </w:p>
        </w:tc>
      </w:tr>
      <w:tr w:rsidR="007E2D4D" w14:paraId="0AE87D6F" w14:textId="77777777" w:rsidTr="00630269">
        <w:tc>
          <w:tcPr>
            <w:cnfStyle w:val="001000000000" w:firstRow="0" w:lastRow="0" w:firstColumn="1" w:lastColumn="0" w:oddVBand="0" w:evenVBand="0" w:oddHBand="0" w:evenHBand="0" w:firstRowFirstColumn="0" w:firstRowLastColumn="0" w:lastRowFirstColumn="0" w:lastRowLastColumn="0"/>
            <w:tcW w:w="2127" w:type="dxa"/>
            <w:vMerge w:val="restart"/>
          </w:tcPr>
          <w:p w14:paraId="7F6CE895" w14:textId="402C5FC8" w:rsidR="007E2D4D" w:rsidRDefault="007E2D4D" w:rsidP="00630269">
            <w:pPr>
              <w:spacing w:before="20" w:after="20"/>
              <w:ind w:left="29"/>
              <w:jc w:val="center"/>
              <w:rPr>
                <w:b/>
                <w:bCs/>
              </w:rPr>
            </w:pPr>
            <w:r>
              <w:rPr>
                <w:b/>
                <w:bCs/>
              </w:rPr>
              <w:t>Liqu</w:t>
            </w:r>
            <w:r w:rsidR="00CB5F28">
              <w:rPr>
                <w:b/>
                <w:bCs/>
              </w:rPr>
              <w:t>efaction</w:t>
            </w:r>
            <w:r>
              <w:rPr>
                <w:b/>
                <w:bCs/>
              </w:rPr>
              <w:t xml:space="preserve"> (LH2)</w:t>
            </w:r>
          </w:p>
        </w:tc>
        <w:tc>
          <w:tcPr>
            <w:tcW w:w="2476" w:type="dxa"/>
            <w:gridSpan w:val="2"/>
          </w:tcPr>
          <w:p w14:paraId="1023973E" w14:textId="77777777" w:rsidR="007E2D4D" w:rsidRDefault="007E2D4D" w:rsidP="00630269">
            <w:pPr>
              <w:spacing w:before="20" w:after="20"/>
              <w:ind w:left="30"/>
              <w:cnfStyle w:val="000000000000" w:firstRow="0" w:lastRow="0" w:firstColumn="0" w:lastColumn="0" w:oddVBand="0" w:evenVBand="0" w:oddHBand="0" w:evenHBand="0" w:firstRowFirstColumn="0" w:firstRowLastColumn="0" w:lastRowFirstColumn="0" w:lastRowLastColumn="0"/>
              <w:rPr>
                <w:b/>
                <w:bCs/>
              </w:rPr>
            </w:pPr>
            <w:r w:rsidRPr="00DF09E7">
              <w:rPr>
                <w:b/>
                <w:bCs/>
              </w:rPr>
              <w:t>CAPEX [€/</w:t>
            </w:r>
            <w:r>
              <w:rPr>
                <w:b/>
                <w:bCs/>
              </w:rPr>
              <w:t>ton</w:t>
            </w:r>
            <w:r>
              <w:rPr>
                <w:b/>
                <w:bCs/>
                <w:vertAlign w:val="subscript"/>
              </w:rPr>
              <w:t>H</w:t>
            </w:r>
            <w:r w:rsidRPr="00745B22">
              <w:rPr>
                <w:b/>
                <w:bCs/>
                <w:sz w:val="10"/>
                <w:szCs w:val="12"/>
                <w:vertAlign w:val="subscript"/>
              </w:rPr>
              <w:t>2</w:t>
            </w:r>
            <w:r>
              <w:rPr>
                <w:b/>
                <w:bCs/>
              </w:rPr>
              <w:t>*y</w:t>
            </w:r>
            <w:r w:rsidRPr="00DF09E7">
              <w:rPr>
                <w:b/>
                <w:bCs/>
              </w:rPr>
              <w:t>]</w:t>
            </w:r>
          </w:p>
        </w:tc>
        <w:tc>
          <w:tcPr>
            <w:tcW w:w="1341" w:type="dxa"/>
          </w:tcPr>
          <w:p w14:paraId="406DCEF6" w14:textId="77777777" w:rsidR="007E2D4D" w:rsidRPr="00B91041"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5108</w:t>
            </w:r>
          </w:p>
        </w:tc>
        <w:tc>
          <w:tcPr>
            <w:tcW w:w="1229" w:type="dxa"/>
          </w:tcPr>
          <w:p w14:paraId="4FA97800" w14:textId="77777777" w:rsidR="007E2D4D" w:rsidRPr="00B91041"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4450</w:t>
            </w:r>
          </w:p>
        </w:tc>
        <w:tc>
          <w:tcPr>
            <w:tcW w:w="1281" w:type="dxa"/>
          </w:tcPr>
          <w:p w14:paraId="336D8087" w14:textId="77777777" w:rsidR="007E2D4D" w:rsidRPr="00B91041"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3500</w:t>
            </w:r>
          </w:p>
        </w:tc>
      </w:tr>
      <w:tr w:rsidR="007E2D4D" w14:paraId="2A8C41F9" w14:textId="77777777" w:rsidTr="00630269">
        <w:tc>
          <w:tcPr>
            <w:cnfStyle w:val="001000000000" w:firstRow="0" w:lastRow="0" w:firstColumn="1" w:lastColumn="0" w:oddVBand="0" w:evenVBand="0" w:oddHBand="0" w:evenHBand="0" w:firstRowFirstColumn="0" w:firstRowLastColumn="0" w:lastRowFirstColumn="0" w:lastRowLastColumn="0"/>
            <w:tcW w:w="2127" w:type="dxa"/>
            <w:vMerge/>
          </w:tcPr>
          <w:p w14:paraId="1420BC41" w14:textId="77777777" w:rsidR="007E2D4D" w:rsidRDefault="007E2D4D" w:rsidP="00630269">
            <w:pPr>
              <w:spacing w:before="20" w:after="20"/>
              <w:ind w:left="29"/>
              <w:rPr>
                <w:b/>
                <w:bCs/>
              </w:rPr>
            </w:pPr>
          </w:p>
        </w:tc>
        <w:tc>
          <w:tcPr>
            <w:tcW w:w="2476" w:type="dxa"/>
            <w:gridSpan w:val="2"/>
          </w:tcPr>
          <w:p w14:paraId="46E2D48B" w14:textId="77777777" w:rsidR="007E2D4D" w:rsidRDefault="007E2D4D" w:rsidP="00630269">
            <w:pPr>
              <w:spacing w:before="20" w:after="20"/>
              <w:ind w:left="30"/>
              <w:cnfStyle w:val="000000000000" w:firstRow="0" w:lastRow="0" w:firstColumn="0" w:lastColumn="0" w:oddVBand="0" w:evenVBand="0" w:oddHBand="0" w:evenHBand="0" w:firstRowFirstColumn="0" w:firstRowLastColumn="0" w:lastRowFirstColumn="0" w:lastRowLastColumn="0"/>
              <w:rPr>
                <w:b/>
                <w:bCs/>
              </w:rPr>
            </w:pPr>
            <w:r>
              <w:rPr>
                <w:b/>
                <w:bCs/>
              </w:rPr>
              <w:t>OPEX [% of CAPEX /y]</w:t>
            </w:r>
          </w:p>
        </w:tc>
        <w:tc>
          <w:tcPr>
            <w:tcW w:w="1341" w:type="dxa"/>
          </w:tcPr>
          <w:p w14:paraId="0700A48D" w14:textId="77777777" w:rsidR="007E2D4D" w:rsidRPr="00B91041"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4%</w:t>
            </w:r>
          </w:p>
        </w:tc>
        <w:tc>
          <w:tcPr>
            <w:tcW w:w="1229" w:type="dxa"/>
          </w:tcPr>
          <w:p w14:paraId="3EB576B6" w14:textId="77777777" w:rsidR="007E2D4D" w:rsidRPr="00B91041"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4%</w:t>
            </w:r>
          </w:p>
        </w:tc>
        <w:tc>
          <w:tcPr>
            <w:tcW w:w="1281" w:type="dxa"/>
          </w:tcPr>
          <w:p w14:paraId="5297F484" w14:textId="77777777" w:rsidR="007E2D4D" w:rsidRPr="00B91041"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4%</w:t>
            </w:r>
          </w:p>
        </w:tc>
      </w:tr>
      <w:tr w:rsidR="007E2D4D" w14:paraId="4D8F8131" w14:textId="77777777" w:rsidTr="00630269">
        <w:tc>
          <w:tcPr>
            <w:cnfStyle w:val="001000000000" w:firstRow="0" w:lastRow="0" w:firstColumn="1" w:lastColumn="0" w:oddVBand="0" w:evenVBand="0" w:oddHBand="0" w:evenHBand="0" w:firstRowFirstColumn="0" w:firstRowLastColumn="0" w:lastRowFirstColumn="0" w:lastRowLastColumn="0"/>
            <w:tcW w:w="2127" w:type="dxa"/>
            <w:vMerge w:val="restart"/>
          </w:tcPr>
          <w:p w14:paraId="61CBB503" w14:textId="77777777" w:rsidR="007E2D4D" w:rsidRPr="003A252E" w:rsidRDefault="007E2D4D" w:rsidP="00630269">
            <w:pPr>
              <w:spacing w:before="20" w:after="20"/>
              <w:ind w:left="29"/>
              <w:jc w:val="center"/>
              <w:rPr>
                <w:b/>
                <w:bCs/>
              </w:rPr>
            </w:pPr>
            <w:r w:rsidRPr="003A252E">
              <w:rPr>
                <w:b/>
                <w:bCs/>
              </w:rPr>
              <w:t>Liquid hydrogen evaporation</w:t>
            </w:r>
            <w:r>
              <w:rPr>
                <w:b/>
                <w:bCs/>
              </w:rPr>
              <w:t xml:space="preserve"> (Regasification)</w:t>
            </w:r>
          </w:p>
        </w:tc>
        <w:tc>
          <w:tcPr>
            <w:tcW w:w="2476" w:type="dxa"/>
            <w:gridSpan w:val="2"/>
          </w:tcPr>
          <w:p w14:paraId="5EEC1FD6" w14:textId="77777777" w:rsidR="007E2D4D" w:rsidRDefault="007E2D4D" w:rsidP="00630269">
            <w:pPr>
              <w:spacing w:before="20" w:after="20"/>
              <w:ind w:left="30"/>
              <w:cnfStyle w:val="000000000000" w:firstRow="0" w:lastRow="0" w:firstColumn="0" w:lastColumn="0" w:oddVBand="0" w:evenVBand="0" w:oddHBand="0" w:evenHBand="0" w:firstRowFirstColumn="0" w:firstRowLastColumn="0" w:lastRowFirstColumn="0" w:lastRowLastColumn="0"/>
              <w:rPr>
                <w:b/>
                <w:bCs/>
              </w:rPr>
            </w:pPr>
            <w:r w:rsidRPr="00DF09E7">
              <w:rPr>
                <w:b/>
                <w:bCs/>
              </w:rPr>
              <w:t>CAPEX [€/</w:t>
            </w:r>
            <w:r>
              <w:rPr>
                <w:b/>
                <w:bCs/>
              </w:rPr>
              <w:t>ton</w:t>
            </w:r>
            <w:r>
              <w:rPr>
                <w:b/>
                <w:bCs/>
                <w:vertAlign w:val="subscript"/>
              </w:rPr>
              <w:t xml:space="preserve"> H</w:t>
            </w:r>
            <w:r w:rsidRPr="00745B22">
              <w:rPr>
                <w:b/>
                <w:bCs/>
                <w:sz w:val="10"/>
                <w:szCs w:val="12"/>
                <w:vertAlign w:val="subscript"/>
              </w:rPr>
              <w:t>2</w:t>
            </w:r>
            <w:r>
              <w:rPr>
                <w:b/>
                <w:bCs/>
              </w:rPr>
              <w:t>*y</w:t>
            </w:r>
            <w:r w:rsidRPr="00DF09E7">
              <w:rPr>
                <w:b/>
                <w:bCs/>
              </w:rPr>
              <w:t>]</w:t>
            </w:r>
          </w:p>
        </w:tc>
        <w:tc>
          <w:tcPr>
            <w:tcW w:w="1341" w:type="dxa"/>
          </w:tcPr>
          <w:p w14:paraId="238E363A" w14:textId="77777777" w:rsidR="007E2D4D"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16</w:t>
            </w:r>
          </w:p>
        </w:tc>
        <w:tc>
          <w:tcPr>
            <w:tcW w:w="1229" w:type="dxa"/>
          </w:tcPr>
          <w:p w14:paraId="21C30E9D" w14:textId="77777777" w:rsidR="007E2D4D"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13</w:t>
            </w:r>
          </w:p>
        </w:tc>
        <w:tc>
          <w:tcPr>
            <w:tcW w:w="1281" w:type="dxa"/>
          </w:tcPr>
          <w:p w14:paraId="531451B5" w14:textId="77777777" w:rsidR="007E2D4D"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8</w:t>
            </w:r>
          </w:p>
        </w:tc>
      </w:tr>
      <w:tr w:rsidR="007E2D4D" w14:paraId="5CEE03EC" w14:textId="77777777" w:rsidTr="00630269">
        <w:tc>
          <w:tcPr>
            <w:cnfStyle w:val="001000000000" w:firstRow="0" w:lastRow="0" w:firstColumn="1" w:lastColumn="0" w:oddVBand="0" w:evenVBand="0" w:oddHBand="0" w:evenHBand="0" w:firstRowFirstColumn="0" w:firstRowLastColumn="0" w:lastRowFirstColumn="0" w:lastRowLastColumn="0"/>
            <w:tcW w:w="2127" w:type="dxa"/>
            <w:vMerge/>
          </w:tcPr>
          <w:p w14:paraId="155C18FC" w14:textId="77777777" w:rsidR="007E2D4D" w:rsidRDefault="007E2D4D" w:rsidP="00630269">
            <w:pPr>
              <w:spacing w:before="20" w:after="20"/>
              <w:rPr>
                <w:b/>
                <w:bCs/>
              </w:rPr>
            </w:pPr>
          </w:p>
        </w:tc>
        <w:tc>
          <w:tcPr>
            <w:tcW w:w="2476" w:type="dxa"/>
            <w:gridSpan w:val="2"/>
          </w:tcPr>
          <w:p w14:paraId="09372968" w14:textId="77777777" w:rsidR="007E2D4D" w:rsidRDefault="007E2D4D" w:rsidP="00630269">
            <w:pPr>
              <w:spacing w:before="20" w:after="20"/>
              <w:ind w:left="30"/>
              <w:cnfStyle w:val="000000000000" w:firstRow="0" w:lastRow="0" w:firstColumn="0" w:lastColumn="0" w:oddVBand="0" w:evenVBand="0" w:oddHBand="0" w:evenHBand="0" w:firstRowFirstColumn="0" w:firstRowLastColumn="0" w:lastRowFirstColumn="0" w:lastRowLastColumn="0"/>
              <w:rPr>
                <w:b/>
                <w:bCs/>
              </w:rPr>
            </w:pPr>
            <w:r>
              <w:rPr>
                <w:b/>
                <w:bCs/>
              </w:rPr>
              <w:t>OPEX [% of CAPEX /y]</w:t>
            </w:r>
          </w:p>
        </w:tc>
        <w:tc>
          <w:tcPr>
            <w:tcW w:w="1341" w:type="dxa"/>
          </w:tcPr>
          <w:p w14:paraId="243C348E" w14:textId="77777777" w:rsidR="007E2D4D"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3%</w:t>
            </w:r>
          </w:p>
        </w:tc>
        <w:tc>
          <w:tcPr>
            <w:tcW w:w="1229" w:type="dxa"/>
          </w:tcPr>
          <w:p w14:paraId="34B8E0C9" w14:textId="77777777" w:rsidR="007E2D4D"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3%</w:t>
            </w:r>
          </w:p>
        </w:tc>
        <w:tc>
          <w:tcPr>
            <w:tcW w:w="1281" w:type="dxa"/>
          </w:tcPr>
          <w:p w14:paraId="33945783" w14:textId="77777777" w:rsidR="007E2D4D" w:rsidRDefault="007E2D4D" w:rsidP="00630269">
            <w:pPr>
              <w:spacing w:before="20" w:after="20"/>
              <w:ind w:left="103"/>
              <w:cnfStyle w:val="000000000000" w:firstRow="0" w:lastRow="0" w:firstColumn="0" w:lastColumn="0" w:oddVBand="0" w:evenVBand="0" w:oddHBand="0" w:evenHBand="0" w:firstRowFirstColumn="0" w:firstRowLastColumn="0" w:lastRowFirstColumn="0" w:lastRowLastColumn="0"/>
            </w:pPr>
            <w:r>
              <w:t>3%</w:t>
            </w:r>
          </w:p>
        </w:tc>
      </w:tr>
    </w:tbl>
    <w:p w14:paraId="32194B94" w14:textId="1F4FC620" w:rsidR="007E2D4D" w:rsidRPr="006A6380" w:rsidRDefault="007E2D4D" w:rsidP="007E2D4D">
      <w:pPr>
        <w:spacing w:before="60" w:after="120" w:line="0" w:lineRule="atLeast"/>
        <w:rPr>
          <w:b/>
          <w:sz w:val="16"/>
          <w:szCs w:val="16"/>
          <w:lang w:val="fr-CA"/>
        </w:rPr>
      </w:pPr>
      <w:r w:rsidRPr="006A6380">
        <w:rPr>
          <w:sz w:val="14"/>
          <w:szCs w:val="10"/>
          <w:lang w:val="fr-CA"/>
        </w:rPr>
        <w:t>Source: Harvard 2022</w:t>
      </w:r>
      <w:r w:rsidRPr="00574724">
        <w:rPr>
          <w:rStyle w:val="Voetnootmarkering"/>
          <w:sz w:val="14"/>
          <w:szCs w:val="10"/>
        </w:rPr>
        <w:footnoteReference w:id="76"/>
      </w:r>
      <w:r w:rsidRPr="006A6380">
        <w:rPr>
          <w:sz w:val="14"/>
          <w:szCs w:val="10"/>
          <w:lang w:val="fr-CA"/>
        </w:rPr>
        <w:t xml:space="preserve">, </w:t>
      </w:r>
      <w:r w:rsidRPr="006A6380">
        <w:rPr>
          <w:sz w:val="14"/>
          <w:szCs w:val="14"/>
          <w:lang w:val="fr-CA"/>
        </w:rPr>
        <w:t>ENTEC 2022</w:t>
      </w:r>
      <w:r w:rsidRPr="00574724">
        <w:rPr>
          <w:sz w:val="14"/>
          <w:szCs w:val="14"/>
          <w:vertAlign w:val="superscript"/>
        </w:rPr>
        <w:fldChar w:fldCharType="begin"/>
      </w:r>
      <w:r w:rsidRPr="006A6380">
        <w:rPr>
          <w:sz w:val="14"/>
          <w:szCs w:val="14"/>
          <w:vertAlign w:val="superscript"/>
          <w:lang w:val="fr-CA"/>
        </w:rPr>
        <w:instrText xml:space="preserve"> NOTEREF _Ref103379231 \h  \* MERGEFORMAT </w:instrText>
      </w:r>
      <w:r w:rsidRPr="00574724">
        <w:rPr>
          <w:sz w:val="14"/>
          <w:szCs w:val="14"/>
          <w:vertAlign w:val="superscript"/>
        </w:rPr>
      </w:r>
      <w:r w:rsidRPr="00574724">
        <w:rPr>
          <w:sz w:val="14"/>
          <w:szCs w:val="14"/>
          <w:vertAlign w:val="superscript"/>
        </w:rPr>
        <w:fldChar w:fldCharType="separate"/>
      </w:r>
      <w:r w:rsidR="00265258">
        <w:rPr>
          <w:sz w:val="14"/>
          <w:szCs w:val="14"/>
          <w:vertAlign w:val="superscript"/>
          <w:lang w:val="fr-CA"/>
        </w:rPr>
        <w:t>63</w:t>
      </w:r>
      <w:r w:rsidRPr="00574724">
        <w:rPr>
          <w:sz w:val="14"/>
          <w:szCs w:val="14"/>
          <w:vertAlign w:val="superscript"/>
        </w:rPr>
        <w:fldChar w:fldCharType="end"/>
      </w:r>
      <w:r w:rsidRPr="006A6380">
        <w:rPr>
          <w:sz w:val="14"/>
          <w:szCs w:val="14"/>
          <w:lang w:val="fr-CA"/>
        </w:rPr>
        <w:t xml:space="preserve">, </w:t>
      </w:r>
      <w:proofErr w:type="spellStart"/>
      <w:r w:rsidRPr="006A6380">
        <w:rPr>
          <w:sz w:val="14"/>
          <w:szCs w:val="14"/>
          <w:lang w:val="fr-CA"/>
        </w:rPr>
        <w:t>PtX</w:t>
      </w:r>
      <w:proofErr w:type="spellEnd"/>
      <w:r w:rsidRPr="006A6380">
        <w:rPr>
          <w:sz w:val="14"/>
          <w:szCs w:val="14"/>
          <w:lang w:val="fr-CA"/>
        </w:rPr>
        <w:t xml:space="preserve"> Atlas - Fraunhofer IEE</w:t>
      </w:r>
      <w:r w:rsidRPr="00574724">
        <w:rPr>
          <w:sz w:val="14"/>
          <w:szCs w:val="14"/>
          <w:vertAlign w:val="superscript"/>
        </w:rPr>
        <w:fldChar w:fldCharType="begin"/>
      </w:r>
      <w:r w:rsidRPr="006A6380">
        <w:rPr>
          <w:sz w:val="14"/>
          <w:szCs w:val="14"/>
          <w:vertAlign w:val="superscript"/>
          <w:lang w:val="fr-CA"/>
        </w:rPr>
        <w:instrText xml:space="preserve"> NOTEREF _Ref103186303 \h  \* MERGEFORMAT </w:instrText>
      </w:r>
      <w:r w:rsidRPr="00574724">
        <w:rPr>
          <w:sz w:val="14"/>
          <w:szCs w:val="14"/>
          <w:vertAlign w:val="superscript"/>
        </w:rPr>
      </w:r>
      <w:r w:rsidRPr="00574724">
        <w:rPr>
          <w:sz w:val="14"/>
          <w:szCs w:val="14"/>
          <w:vertAlign w:val="superscript"/>
        </w:rPr>
        <w:fldChar w:fldCharType="separate"/>
      </w:r>
      <w:r w:rsidR="00265258">
        <w:rPr>
          <w:sz w:val="14"/>
          <w:szCs w:val="14"/>
          <w:vertAlign w:val="superscript"/>
          <w:lang w:val="fr-CA"/>
        </w:rPr>
        <w:t>66</w:t>
      </w:r>
      <w:r w:rsidRPr="00574724">
        <w:rPr>
          <w:sz w:val="14"/>
          <w:szCs w:val="14"/>
          <w:vertAlign w:val="superscript"/>
        </w:rPr>
        <w:fldChar w:fldCharType="end"/>
      </w:r>
      <w:r w:rsidRPr="006A6380">
        <w:rPr>
          <w:sz w:val="14"/>
          <w:szCs w:val="14"/>
          <w:lang w:val="fr-CA"/>
        </w:rPr>
        <w:t xml:space="preserve">, </w:t>
      </w:r>
      <w:proofErr w:type="spellStart"/>
      <w:r w:rsidRPr="006A6380">
        <w:rPr>
          <w:sz w:val="14"/>
          <w:szCs w:val="14"/>
          <w:lang w:val="fr-CA"/>
        </w:rPr>
        <w:t>Reuß</w:t>
      </w:r>
      <w:proofErr w:type="spellEnd"/>
      <w:r w:rsidRPr="006A6380">
        <w:rPr>
          <w:sz w:val="14"/>
          <w:szCs w:val="14"/>
          <w:lang w:val="fr-CA"/>
        </w:rPr>
        <w:t xml:space="preserve"> et al. 2017</w:t>
      </w:r>
      <w:r w:rsidRPr="00574724">
        <w:rPr>
          <w:rStyle w:val="Voetnootmarkering"/>
          <w:sz w:val="14"/>
          <w:szCs w:val="14"/>
        </w:rPr>
        <w:footnoteReference w:id="77"/>
      </w:r>
    </w:p>
    <w:p w14:paraId="0BD1454A" w14:textId="3BC6B94C" w:rsidR="00D1757F" w:rsidRDefault="00D1757F" w:rsidP="009E00C9">
      <w:pPr>
        <w:pStyle w:val="Kop3"/>
        <w:spacing w:before="240" w:after="120" w:line="0" w:lineRule="atLeast"/>
        <w:contextualSpacing w:val="0"/>
      </w:pPr>
      <w:r>
        <w:t>Gas storage potential of the Baltic-Finnish zone</w:t>
      </w:r>
    </w:p>
    <w:p w14:paraId="3C5C34EF" w14:textId="6CC63AF9" w:rsidR="00340122" w:rsidRPr="00F97EE3" w:rsidRDefault="00340122" w:rsidP="009E00C9">
      <w:pPr>
        <w:spacing w:before="120" w:after="120"/>
        <w:ind w:left="539"/>
        <w:jc w:val="both"/>
        <w:rPr>
          <w:color w:val="F04E30" w:themeColor="accent2"/>
        </w:rPr>
      </w:pPr>
      <w:r>
        <w:t>The current and announced short-term storage facilities (mainly at LNG terminals) in the Baltic-Finnish countries can as such be used for bio-LNG and could, after significant infrastructure modifications, also be used as storage facilities for LH2 and hydrogen derivatives</w:t>
      </w:r>
      <w:r w:rsidRPr="005F30F2">
        <w:t>.</w:t>
      </w:r>
    </w:p>
    <w:p w14:paraId="3867873F" w14:textId="608E6FC8" w:rsidR="00340122" w:rsidRDefault="00007CEB" w:rsidP="00CB7D70">
      <w:pPr>
        <w:tabs>
          <w:tab w:val="left" w:pos="0"/>
        </w:tabs>
        <w:spacing w:before="120" w:after="120"/>
        <w:ind w:left="539"/>
        <w:jc w:val="both"/>
      </w:pPr>
      <w:r>
        <w:t xml:space="preserve">The </w:t>
      </w:r>
      <w:r w:rsidR="00340122">
        <w:t>Baltic</w:t>
      </w:r>
      <w:r w:rsidR="00340122" w:rsidRPr="0082729A">
        <w:t>-</w:t>
      </w:r>
      <w:r w:rsidR="00340122">
        <w:t xml:space="preserve">Finnish region has only one underground </w:t>
      </w:r>
      <w:r>
        <w:t xml:space="preserve">gas </w:t>
      </w:r>
      <w:r w:rsidR="00340122">
        <w:t>storage facility which is situated in Latvia (</w:t>
      </w:r>
      <w:proofErr w:type="spellStart"/>
      <w:r w:rsidR="00340122" w:rsidRPr="00CF660F">
        <w:t>Inčukalns</w:t>
      </w:r>
      <w:proofErr w:type="spellEnd"/>
      <w:r w:rsidR="00340122" w:rsidRPr="00CF660F">
        <w:t xml:space="preserve"> UGS</w:t>
      </w:r>
      <w:r w:rsidR="00340122">
        <w:t xml:space="preserve">) and is operated by the national TSO </w:t>
      </w:r>
      <w:r w:rsidR="00340122" w:rsidRPr="00807D98">
        <w:t>Conexus Baltic Grid</w:t>
      </w:r>
      <w:r w:rsidR="00340122">
        <w:t>.</w:t>
      </w:r>
      <w:r w:rsidR="00014A3B">
        <w:rPr>
          <w:rStyle w:val="Voetnootmarkering"/>
        </w:rPr>
        <w:footnoteReference w:id="78"/>
      </w:r>
      <w:r w:rsidR="00340122">
        <w:t xml:space="preserve"> This storage facility is classified as </w:t>
      </w:r>
      <w:r>
        <w:t xml:space="preserve">a </w:t>
      </w:r>
      <w:r w:rsidR="00340122">
        <w:t xml:space="preserve">porous underground gas storage facility; it consists of </w:t>
      </w:r>
      <w:r w:rsidR="00340122" w:rsidRPr="00496492">
        <w:t>a layer of porous sandstone, which has good storage properties, and which is coated with gas-tight rock layers</w:t>
      </w:r>
      <w:r w:rsidR="00340122">
        <w:t xml:space="preserve">. These </w:t>
      </w:r>
      <w:r w:rsidR="00340122" w:rsidRPr="00496492">
        <w:t xml:space="preserve">geological structures are </w:t>
      </w:r>
      <w:r w:rsidR="00340122">
        <w:t xml:space="preserve">situated </w:t>
      </w:r>
      <w:r w:rsidR="00340122" w:rsidRPr="00496492">
        <w:t xml:space="preserve">at </w:t>
      </w:r>
      <w:r>
        <w:t xml:space="preserve">an </w:t>
      </w:r>
      <w:r w:rsidR="00340122" w:rsidRPr="00496492">
        <w:t>optimal level of 700-800 meters deep, allowing safe and cost-efficient storage of gas.</w:t>
      </w:r>
      <w:r w:rsidR="00142A35">
        <w:rPr>
          <w:rStyle w:val="Voetnootmarkering"/>
        </w:rPr>
        <w:footnoteReference w:id="79"/>
      </w:r>
    </w:p>
    <w:p w14:paraId="04A726B5" w14:textId="0B54D77B" w:rsidR="00340122" w:rsidRDefault="00007CEB" w:rsidP="00CB7D70">
      <w:pPr>
        <w:spacing w:after="120"/>
        <w:ind w:left="539"/>
        <w:jc w:val="both"/>
      </w:pPr>
      <w:r>
        <w:t xml:space="preserve">The </w:t>
      </w:r>
      <w:r w:rsidR="00AC6B51">
        <w:t xml:space="preserve">Gas Infrastructure </w:t>
      </w:r>
      <w:r w:rsidR="00340122">
        <w:t>Europe</w:t>
      </w:r>
      <w:r w:rsidR="00B43D4C">
        <w:t>’s 2021 report</w:t>
      </w:r>
      <w:r w:rsidR="00340122">
        <w:rPr>
          <w:rStyle w:val="Voetnootmarkering"/>
        </w:rPr>
        <w:footnoteReference w:id="80"/>
      </w:r>
      <w:r w:rsidR="00340122">
        <w:t xml:space="preserve"> </w:t>
      </w:r>
      <w:r w:rsidR="00A93032">
        <w:t>discusses the feasibility</w:t>
      </w:r>
      <w:r w:rsidR="00BB3DFC">
        <w:t xml:space="preserve"> and readiness</w:t>
      </w:r>
      <w:r w:rsidR="00A93032">
        <w:t xml:space="preserve"> of </w:t>
      </w:r>
      <w:r w:rsidR="00686945">
        <w:t xml:space="preserve">European </w:t>
      </w:r>
      <w:r w:rsidR="00340122">
        <w:t xml:space="preserve">underground </w:t>
      </w:r>
      <w:r w:rsidR="004A4692">
        <w:t xml:space="preserve">gas </w:t>
      </w:r>
      <w:r w:rsidR="00340122">
        <w:t xml:space="preserve">storage </w:t>
      </w:r>
      <w:r w:rsidR="004A4692">
        <w:t>sites</w:t>
      </w:r>
      <w:r w:rsidR="00BB3DFC">
        <w:t xml:space="preserve"> to store hydrogen</w:t>
      </w:r>
      <w:r w:rsidR="00340122">
        <w:t>. The report concludes that t</w:t>
      </w:r>
      <w:r w:rsidR="00340122" w:rsidRPr="00D626D3">
        <w:t xml:space="preserve">here </w:t>
      </w:r>
      <w:r w:rsidR="00340122">
        <w:t>is</w:t>
      </w:r>
      <w:r w:rsidR="00340122" w:rsidRPr="00D626D3">
        <w:t xml:space="preserve"> no salt cavern</w:t>
      </w:r>
      <w:r w:rsidR="00340122">
        <w:t xml:space="preserve"> or depleted</w:t>
      </w:r>
      <w:r w:rsidR="00340122" w:rsidRPr="00D626D3">
        <w:t xml:space="preserve"> gas </w:t>
      </w:r>
      <w:r w:rsidR="00340122">
        <w:t>field potential in Estonia and Finland</w:t>
      </w:r>
      <w:r w:rsidR="00340122" w:rsidRPr="00D626D3">
        <w:t xml:space="preserve"> that </w:t>
      </w:r>
      <w:r w:rsidR="00340122">
        <w:t xml:space="preserve">could </w:t>
      </w:r>
      <w:r w:rsidR="00340122" w:rsidRPr="00D626D3">
        <w:t xml:space="preserve">be utilized for </w:t>
      </w:r>
      <w:r w:rsidR="00340122">
        <w:t>natural gas/</w:t>
      </w:r>
      <w:r w:rsidR="00340122" w:rsidRPr="00D626D3">
        <w:t>hydrogen</w:t>
      </w:r>
      <w:r w:rsidR="00340122">
        <w:t xml:space="preserve"> storage. </w:t>
      </w:r>
      <w:proofErr w:type="spellStart"/>
      <w:r w:rsidR="00340122">
        <w:t>Caglayan</w:t>
      </w:r>
      <w:proofErr w:type="spellEnd"/>
      <w:r w:rsidR="00340122">
        <w:t xml:space="preserve"> et al.</w:t>
      </w:r>
      <w:r w:rsidR="00340122">
        <w:rPr>
          <w:rStyle w:val="Voetnootmarkering"/>
        </w:rPr>
        <w:footnoteReference w:id="81"/>
      </w:r>
      <w:r w:rsidR="00340122">
        <w:t xml:space="preserve"> </w:t>
      </w:r>
      <w:r w:rsidR="00CB7D70">
        <w:t xml:space="preserve">also </w:t>
      </w:r>
      <w:r w:rsidR="00340122">
        <w:t xml:space="preserve">reported the EU wide salt cavern storage potential and concluded that there is no </w:t>
      </w:r>
      <w:r w:rsidR="003776C3">
        <w:t xml:space="preserve">suitable </w:t>
      </w:r>
      <w:r w:rsidR="00340122">
        <w:t>salt cavern underground storage potential in the Baltic-Finnish region</w:t>
      </w:r>
      <w:r w:rsidR="00CB7D70">
        <w:t>.</w:t>
      </w:r>
    </w:p>
    <w:p w14:paraId="422EEB4B" w14:textId="111A2EC9" w:rsidR="007378A1" w:rsidRDefault="002D5D56" w:rsidP="00B57176">
      <w:pPr>
        <w:spacing w:after="120"/>
        <w:jc w:val="both"/>
      </w:pPr>
      <w:proofErr w:type="spellStart"/>
      <w:r>
        <w:t>I</w:t>
      </w:r>
      <w:r w:rsidR="00B13B52" w:rsidRPr="00760ECD">
        <w:t>nčukalns</w:t>
      </w:r>
      <w:proofErr w:type="spellEnd"/>
      <w:r w:rsidR="00B13B52" w:rsidRPr="00760ECD">
        <w:t xml:space="preserve"> UGS is the only </w:t>
      </w:r>
      <w:r w:rsidR="00B13B52" w:rsidRPr="0017488E">
        <w:rPr>
          <w:color w:val="000000" w:themeColor="text1"/>
        </w:rPr>
        <w:t xml:space="preserve">functional </w:t>
      </w:r>
      <w:r w:rsidR="003776C3">
        <w:rPr>
          <w:color w:val="000000" w:themeColor="text1"/>
        </w:rPr>
        <w:t xml:space="preserve">gas </w:t>
      </w:r>
      <w:r w:rsidR="00B13B52" w:rsidRPr="0017488E">
        <w:rPr>
          <w:color w:val="000000" w:themeColor="text1"/>
        </w:rPr>
        <w:t xml:space="preserve">storage </w:t>
      </w:r>
      <w:r w:rsidR="003776C3">
        <w:rPr>
          <w:color w:val="000000" w:themeColor="text1"/>
        </w:rPr>
        <w:t xml:space="preserve">facility </w:t>
      </w:r>
      <w:r w:rsidR="00B13B52" w:rsidRPr="0017488E">
        <w:rPr>
          <w:color w:val="000000" w:themeColor="text1"/>
        </w:rPr>
        <w:t xml:space="preserve">in the Baltic countries, which ensures the stability of </w:t>
      </w:r>
      <w:r w:rsidR="003776C3">
        <w:rPr>
          <w:color w:val="000000" w:themeColor="text1"/>
        </w:rPr>
        <w:t xml:space="preserve">the </w:t>
      </w:r>
      <w:r w:rsidR="00B13B52" w:rsidRPr="0017488E">
        <w:rPr>
          <w:color w:val="000000" w:themeColor="text1"/>
        </w:rPr>
        <w:t xml:space="preserve">regional NG gas supply and has not been tested with any hydrogen blends till now. </w:t>
      </w:r>
      <w:r w:rsidR="00B32ADF">
        <w:rPr>
          <w:color w:val="000000" w:themeColor="text1"/>
        </w:rPr>
        <w:t>But t</w:t>
      </w:r>
      <w:r w:rsidR="007378A1" w:rsidRPr="0017488E">
        <w:rPr>
          <w:color w:val="000000" w:themeColor="text1"/>
        </w:rPr>
        <w:t xml:space="preserve">here is an early planning phase for a potential R&amp;D Project in </w:t>
      </w:r>
      <w:proofErr w:type="spellStart"/>
      <w:r w:rsidR="007378A1" w:rsidRPr="0017488E">
        <w:rPr>
          <w:color w:val="000000" w:themeColor="text1"/>
        </w:rPr>
        <w:t>Inčukalns</w:t>
      </w:r>
      <w:proofErr w:type="spellEnd"/>
      <w:r w:rsidR="007378A1" w:rsidRPr="0017488E">
        <w:rPr>
          <w:color w:val="000000" w:themeColor="text1"/>
        </w:rPr>
        <w:t xml:space="preserve"> UGS as hydrogen seasonal storage with a capacity of at least one TWh</w:t>
      </w:r>
      <w:r w:rsidR="007378A1">
        <w:rPr>
          <w:rStyle w:val="Voetnootmarkering"/>
          <w:color w:val="000000" w:themeColor="text1"/>
        </w:rPr>
        <w:footnoteReference w:id="82"/>
      </w:r>
      <w:r w:rsidR="007378A1" w:rsidRPr="0017488E">
        <w:rPr>
          <w:color w:val="000000" w:themeColor="text1"/>
        </w:rPr>
        <w:t>.</w:t>
      </w:r>
    </w:p>
    <w:p w14:paraId="1B84952B" w14:textId="41299A79" w:rsidR="00340122" w:rsidRDefault="00340122" w:rsidP="008120F8">
      <w:pPr>
        <w:spacing w:after="240"/>
        <w:ind w:left="539"/>
        <w:jc w:val="both"/>
        <w:rPr>
          <w:color w:val="000000" w:themeColor="text1"/>
        </w:rPr>
      </w:pPr>
      <w:r w:rsidRPr="00631DB5">
        <w:t xml:space="preserve">Biomethane acceptance in UGS facilities has been tested by </w:t>
      </w:r>
      <w:proofErr w:type="spellStart"/>
      <w:r w:rsidRPr="00631DB5">
        <w:t>Marcogaz</w:t>
      </w:r>
      <w:proofErr w:type="spellEnd"/>
      <w:r w:rsidRPr="00631DB5">
        <w:t xml:space="preserve"> recently (in 2022) and the results presented the oxygen levels implications on the storage facility.</w:t>
      </w:r>
      <w:r>
        <w:t xml:space="preserve"> </w:t>
      </w:r>
      <w:proofErr w:type="spellStart"/>
      <w:r>
        <w:t>Marcogaz</w:t>
      </w:r>
      <w:proofErr w:type="spellEnd"/>
      <w:r w:rsidRPr="00631DB5">
        <w:t xml:space="preserve"> concluded that biomethane can be injected in UGS facilities as an exchange gas equivalent to natural gas provided that the NG standards are met. But the</w:t>
      </w:r>
      <w:r>
        <w:t xml:space="preserve"> methane gas </w:t>
      </w:r>
      <w:r w:rsidRPr="00631DB5">
        <w:t>reservoirs have not been tested yet with pure hydrogen. Early-stage pilot testing with natural gas and H</w:t>
      </w:r>
      <w:r w:rsidRPr="009610B4">
        <w:rPr>
          <w:vertAlign w:val="subscript"/>
        </w:rPr>
        <w:t>2</w:t>
      </w:r>
      <w:r w:rsidRPr="00631DB5">
        <w:t xml:space="preserve"> </w:t>
      </w:r>
      <w:r w:rsidR="00F07C20">
        <w:t>ad</w:t>
      </w:r>
      <w:r w:rsidRPr="00631DB5">
        <w:t xml:space="preserve">mixture has been performed in Austria, hence the </w:t>
      </w:r>
      <w:r>
        <w:t xml:space="preserve">concept entails a </w:t>
      </w:r>
      <w:r w:rsidRPr="00631DB5">
        <w:t xml:space="preserve">TRL </w:t>
      </w:r>
      <w:r>
        <w:t xml:space="preserve">of </w:t>
      </w:r>
      <w:r w:rsidRPr="00631DB5">
        <w:t>2-3</w:t>
      </w:r>
      <w:r>
        <w:t xml:space="preserve"> but can be a potentially mature option after further field tests in the </w:t>
      </w:r>
      <w:r w:rsidRPr="00744EB4">
        <w:rPr>
          <w:color w:val="000000" w:themeColor="text1"/>
        </w:rPr>
        <w:t>near future</w:t>
      </w:r>
      <w:r w:rsidRPr="00744EB4">
        <w:rPr>
          <w:color w:val="000000" w:themeColor="text1"/>
          <w:vertAlign w:val="superscript"/>
        </w:rPr>
        <w:fldChar w:fldCharType="begin"/>
      </w:r>
      <w:r w:rsidRPr="00744EB4">
        <w:rPr>
          <w:color w:val="000000" w:themeColor="text1"/>
          <w:vertAlign w:val="superscript"/>
        </w:rPr>
        <w:instrText xml:space="preserve"> NOTEREF _Ref103385630 \h </w:instrText>
      </w:r>
      <w:r>
        <w:rPr>
          <w:color w:val="000000" w:themeColor="text1"/>
          <w:vertAlign w:val="superscript"/>
        </w:rPr>
        <w:instrText xml:space="preserve"> \* MERGEFORMAT </w:instrText>
      </w:r>
      <w:r w:rsidRPr="00744EB4">
        <w:rPr>
          <w:color w:val="000000" w:themeColor="text1"/>
          <w:vertAlign w:val="superscript"/>
        </w:rPr>
      </w:r>
      <w:r w:rsidRPr="00744EB4">
        <w:rPr>
          <w:color w:val="000000" w:themeColor="text1"/>
          <w:vertAlign w:val="superscript"/>
        </w:rPr>
        <w:fldChar w:fldCharType="separate"/>
      </w:r>
      <w:r w:rsidR="00265258">
        <w:rPr>
          <w:color w:val="000000" w:themeColor="text1"/>
          <w:vertAlign w:val="superscript"/>
        </w:rPr>
        <w:t>34</w:t>
      </w:r>
      <w:r w:rsidRPr="00744EB4">
        <w:rPr>
          <w:color w:val="000000" w:themeColor="text1"/>
          <w:vertAlign w:val="superscript"/>
        </w:rPr>
        <w:fldChar w:fldCharType="end"/>
      </w:r>
      <w:r>
        <w:rPr>
          <w:color w:val="000000" w:themeColor="text1"/>
          <w:vertAlign w:val="superscript"/>
        </w:rPr>
        <w:t>,</w:t>
      </w:r>
      <w:r w:rsidRPr="00744EB4">
        <w:rPr>
          <w:color w:val="000000" w:themeColor="text1"/>
          <w:vertAlign w:val="superscript"/>
        </w:rPr>
        <w:fldChar w:fldCharType="begin"/>
      </w:r>
      <w:r w:rsidRPr="00744EB4">
        <w:rPr>
          <w:color w:val="000000" w:themeColor="text1"/>
          <w:vertAlign w:val="superscript"/>
        </w:rPr>
        <w:instrText xml:space="preserve"> NOTEREF _Ref103385637 \h </w:instrText>
      </w:r>
      <w:r>
        <w:rPr>
          <w:color w:val="000000" w:themeColor="text1"/>
          <w:vertAlign w:val="superscript"/>
        </w:rPr>
        <w:instrText xml:space="preserve"> \* MERGEFORMAT </w:instrText>
      </w:r>
      <w:r w:rsidRPr="00744EB4">
        <w:rPr>
          <w:color w:val="000000" w:themeColor="text1"/>
          <w:vertAlign w:val="superscript"/>
        </w:rPr>
      </w:r>
      <w:r w:rsidRPr="00744EB4">
        <w:rPr>
          <w:color w:val="000000" w:themeColor="text1"/>
          <w:vertAlign w:val="superscript"/>
        </w:rPr>
        <w:fldChar w:fldCharType="separate"/>
      </w:r>
      <w:r w:rsidR="00265258">
        <w:rPr>
          <w:color w:val="000000" w:themeColor="text1"/>
          <w:vertAlign w:val="superscript"/>
        </w:rPr>
        <w:t>38</w:t>
      </w:r>
      <w:r w:rsidRPr="00744EB4">
        <w:rPr>
          <w:color w:val="000000" w:themeColor="text1"/>
          <w:vertAlign w:val="superscript"/>
        </w:rPr>
        <w:fldChar w:fldCharType="end"/>
      </w:r>
      <w:r w:rsidRPr="00744EB4">
        <w:rPr>
          <w:color w:val="000000" w:themeColor="text1"/>
        </w:rPr>
        <w:t>.</w:t>
      </w:r>
      <w:r w:rsidR="00115F51">
        <w:rPr>
          <w:color w:val="000000" w:themeColor="text1"/>
        </w:rPr>
        <w:t xml:space="preserve"> </w:t>
      </w:r>
    </w:p>
    <w:p w14:paraId="0272560A" w14:textId="2E8BF865" w:rsidR="007273C0" w:rsidRDefault="007273C0" w:rsidP="007273C0">
      <w:pPr>
        <w:pStyle w:val="Bijschrift"/>
      </w:pPr>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11</w:t>
      </w:r>
      <w:r w:rsidR="006D12F8">
        <w:rPr>
          <w:noProof/>
        </w:rPr>
        <w:fldChar w:fldCharType="end"/>
      </w:r>
      <w:r>
        <w:t xml:space="preserve">. Gas storage technology feasibility/potential by member state in </w:t>
      </w:r>
      <w:r w:rsidR="00F07C20">
        <w:t xml:space="preserve">the </w:t>
      </w:r>
      <w:r>
        <w:t xml:space="preserve">Baltic-Finnish zone </w:t>
      </w:r>
    </w:p>
    <w:tbl>
      <w:tblPr>
        <w:tblStyle w:val="Table1"/>
        <w:tblW w:w="0" w:type="auto"/>
        <w:tblLook w:val="04A0" w:firstRow="1" w:lastRow="0" w:firstColumn="1" w:lastColumn="0" w:noHBand="0" w:noVBand="1"/>
      </w:tblPr>
      <w:tblGrid>
        <w:gridCol w:w="1249"/>
        <w:gridCol w:w="1200"/>
        <w:gridCol w:w="1200"/>
        <w:gridCol w:w="1200"/>
        <w:gridCol w:w="1200"/>
        <w:gridCol w:w="1200"/>
        <w:gridCol w:w="1200"/>
      </w:tblGrid>
      <w:tr w:rsidR="007273C0" w:rsidRPr="00A545E1" w14:paraId="43C75919" w14:textId="77777777" w:rsidTr="0032087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49" w:type="dxa"/>
            <w:vMerge w:val="restart"/>
          </w:tcPr>
          <w:p w14:paraId="775B77D9" w14:textId="77777777" w:rsidR="007273C0" w:rsidRPr="00C004FF" w:rsidRDefault="007273C0" w:rsidP="00630269">
            <w:pPr>
              <w:spacing w:before="60" w:after="60" w:line="0" w:lineRule="atLeast"/>
              <w:ind w:left="0"/>
              <w:rPr>
                <w:rFonts w:ascii="Trebuchet MS" w:hAnsi="Trebuchet MS"/>
              </w:rPr>
            </w:pPr>
            <w:r w:rsidRPr="00C004FF">
              <w:rPr>
                <w:rFonts w:ascii="Trebuchet MS" w:hAnsi="Trebuchet MS"/>
              </w:rPr>
              <w:lastRenderedPageBreak/>
              <w:t>Country</w:t>
            </w:r>
          </w:p>
        </w:tc>
        <w:tc>
          <w:tcPr>
            <w:tcW w:w="7200" w:type="dxa"/>
            <w:gridSpan w:val="6"/>
            <w:tcBorders>
              <w:bottom w:val="single" w:sz="4" w:space="0" w:color="FFFFFF"/>
            </w:tcBorders>
          </w:tcPr>
          <w:p w14:paraId="0B11C536" w14:textId="77777777" w:rsidR="007273C0" w:rsidRPr="00C004FF" w:rsidRDefault="007273C0" w:rsidP="00630269">
            <w:pPr>
              <w:spacing w:before="60" w:after="60" w:line="0" w:lineRule="atLeast"/>
              <w:ind w:left="0"/>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C004FF">
              <w:rPr>
                <w:rFonts w:ascii="Trebuchet MS" w:hAnsi="Trebuchet MS"/>
              </w:rPr>
              <w:t>Storage type feasibility</w:t>
            </w:r>
          </w:p>
        </w:tc>
      </w:tr>
      <w:tr w:rsidR="007273C0" w:rsidRPr="00A545E1" w14:paraId="5386C1B3" w14:textId="77777777" w:rsidTr="0032087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49" w:type="dxa"/>
            <w:vMerge/>
            <w:tcBorders>
              <w:bottom w:val="double" w:sz="4" w:space="0" w:color="002C54" w:themeColor="accent5"/>
            </w:tcBorders>
          </w:tcPr>
          <w:p w14:paraId="51B1DB90" w14:textId="77777777" w:rsidR="007273C0" w:rsidRPr="00C004FF" w:rsidRDefault="007273C0" w:rsidP="00630269">
            <w:pPr>
              <w:spacing w:before="60" w:after="60" w:line="0" w:lineRule="atLeast"/>
              <w:ind w:left="0"/>
            </w:pPr>
          </w:p>
        </w:tc>
        <w:tc>
          <w:tcPr>
            <w:tcW w:w="1200" w:type="dxa"/>
            <w:tcBorders>
              <w:top w:val="single" w:sz="4" w:space="0" w:color="FFFFFF"/>
              <w:bottom w:val="double" w:sz="4" w:space="0" w:color="002C54" w:themeColor="accent5"/>
            </w:tcBorders>
            <w:shd w:val="clear" w:color="auto" w:fill="005962" w:themeFill="accent1"/>
          </w:tcPr>
          <w:p w14:paraId="2F410818" w14:textId="77777777" w:rsidR="007273C0" w:rsidRPr="00C004FF" w:rsidRDefault="007273C0" w:rsidP="00630269">
            <w:pPr>
              <w:spacing w:before="60" w:after="60" w:line="0" w:lineRule="atLeast"/>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C004FF">
              <w:rPr>
                <w:bCs/>
                <w:sz w:val="14"/>
                <w:szCs w:val="14"/>
              </w:rPr>
              <w:t>Compressed gas (CNG, Bio-CNG, CGH2)</w:t>
            </w:r>
          </w:p>
        </w:tc>
        <w:tc>
          <w:tcPr>
            <w:tcW w:w="1200" w:type="dxa"/>
            <w:tcBorders>
              <w:top w:val="single" w:sz="4" w:space="0" w:color="FFFFFF"/>
              <w:bottom w:val="double" w:sz="4" w:space="0" w:color="002C54" w:themeColor="accent5"/>
            </w:tcBorders>
            <w:shd w:val="clear" w:color="auto" w:fill="005962" w:themeFill="accent1"/>
          </w:tcPr>
          <w:p w14:paraId="6CE03FF5" w14:textId="016353ED" w:rsidR="007273C0" w:rsidRPr="00C004FF" w:rsidRDefault="007273C0" w:rsidP="00630269">
            <w:pPr>
              <w:spacing w:before="60" w:after="60" w:line="0" w:lineRule="atLeast"/>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C004FF">
              <w:rPr>
                <w:bCs/>
                <w:sz w:val="14"/>
                <w:szCs w:val="14"/>
              </w:rPr>
              <w:t>Liqu</w:t>
            </w:r>
            <w:r w:rsidR="00CB5F28">
              <w:rPr>
                <w:bCs/>
                <w:sz w:val="14"/>
                <w:szCs w:val="14"/>
              </w:rPr>
              <w:t>efaction</w:t>
            </w:r>
            <w:r w:rsidRPr="00C004FF">
              <w:rPr>
                <w:bCs/>
                <w:sz w:val="14"/>
                <w:szCs w:val="14"/>
              </w:rPr>
              <w:t xml:space="preserve"> (LNG, Bio-LNG, LH2)</w:t>
            </w:r>
          </w:p>
        </w:tc>
        <w:tc>
          <w:tcPr>
            <w:tcW w:w="1200" w:type="dxa"/>
            <w:tcBorders>
              <w:top w:val="single" w:sz="4" w:space="0" w:color="FFFFFF"/>
              <w:bottom w:val="double" w:sz="4" w:space="0" w:color="002C54" w:themeColor="accent5"/>
            </w:tcBorders>
            <w:shd w:val="clear" w:color="auto" w:fill="005962" w:themeFill="accent1"/>
          </w:tcPr>
          <w:p w14:paraId="72027F87" w14:textId="77777777" w:rsidR="007273C0" w:rsidRPr="00C004FF" w:rsidRDefault="007273C0" w:rsidP="00630269">
            <w:pPr>
              <w:spacing w:before="60" w:after="60" w:line="0" w:lineRule="atLeast"/>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C004FF">
              <w:rPr>
                <w:bCs/>
                <w:sz w:val="14"/>
                <w:szCs w:val="14"/>
              </w:rPr>
              <w:t xml:space="preserve">Liquid derivatives of Hydrogen – </w:t>
            </w:r>
            <w:proofErr w:type="spellStart"/>
            <w:r w:rsidRPr="00C004FF">
              <w:rPr>
                <w:bCs/>
                <w:sz w:val="14"/>
                <w:szCs w:val="14"/>
              </w:rPr>
              <w:t>PtG</w:t>
            </w:r>
            <w:proofErr w:type="spellEnd"/>
            <w:r w:rsidRPr="00C004FF">
              <w:rPr>
                <w:bCs/>
                <w:sz w:val="14"/>
                <w:szCs w:val="14"/>
              </w:rPr>
              <w:t xml:space="preserve"> (ammonia, methanol)</w:t>
            </w:r>
          </w:p>
        </w:tc>
        <w:tc>
          <w:tcPr>
            <w:tcW w:w="1200" w:type="dxa"/>
            <w:tcBorders>
              <w:top w:val="single" w:sz="4" w:space="0" w:color="FFFFFF"/>
              <w:bottom w:val="double" w:sz="4" w:space="0" w:color="002C54" w:themeColor="accent5"/>
            </w:tcBorders>
            <w:shd w:val="clear" w:color="auto" w:fill="005962" w:themeFill="accent1"/>
          </w:tcPr>
          <w:p w14:paraId="64E3630A" w14:textId="77777777" w:rsidR="007273C0" w:rsidRPr="00C004FF" w:rsidRDefault="007273C0" w:rsidP="00630269">
            <w:pPr>
              <w:spacing w:before="60" w:after="60" w:line="0" w:lineRule="atLeast"/>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C004FF">
              <w:rPr>
                <w:bCs/>
                <w:sz w:val="14"/>
                <w:szCs w:val="14"/>
              </w:rPr>
              <w:t>Liquid derivatives of Hydrogen (LOHC)</w:t>
            </w:r>
          </w:p>
        </w:tc>
        <w:tc>
          <w:tcPr>
            <w:tcW w:w="1200" w:type="dxa"/>
            <w:tcBorders>
              <w:top w:val="single" w:sz="4" w:space="0" w:color="FFFFFF"/>
              <w:bottom w:val="double" w:sz="4" w:space="0" w:color="002C54" w:themeColor="accent5"/>
            </w:tcBorders>
            <w:shd w:val="clear" w:color="auto" w:fill="005962" w:themeFill="accent1"/>
          </w:tcPr>
          <w:p w14:paraId="025B605C" w14:textId="77777777" w:rsidR="007273C0" w:rsidRPr="00C004FF" w:rsidRDefault="007273C0" w:rsidP="00630269">
            <w:pPr>
              <w:spacing w:before="60" w:after="60" w:line="0" w:lineRule="atLeast"/>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C004FF">
              <w:rPr>
                <w:bCs/>
                <w:sz w:val="14"/>
                <w:szCs w:val="14"/>
              </w:rPr>
              <w:t>Salt caverns (hydrogen storage)</w:t>
            </w:r>
          </w:p>
        </w:tc>
        <w:tc>
          <w:tcPr>
            <w:tcW w:w="1200" w:type="dxa"/>
            <w:tcBorders>
              <w:top w:val="single" w:sz="4" w:space="0" w:color="FFFFFF"/>
              <w:bottom w:val="double" w:sz="4" w:space="0" w:color="002C54" w:themeColor="accent5"/>
            </w:tcBorders>
            <w:shd w:val="clear" w:color="auto" w:fill="005962" w:themeFill="accent1"/>
          </w:tcPr>
          <w:p w14:paraId="068C6837" w14:textId="77777777" w:rsidR="007273C0" w:rsidRPr="00C004FF" w:rsidRDefault="007273C0" w:rsidP="00630269">
            <w:pPr>
              <w:spacing w:before="60" w:after="60" w:line="0" w:lineRule="atLeast"/>
              <w:ind w:left="0"/>
              <w:cnfStyle w:val="100000000000" w:firstRow="1" w:lastRow="0" w:firstColumn="0" w:lastColumn="0" w:oddVBand="0" w:evenVBand="0" w:oddHBand="0" w:evenHBand="0" w:firstRowFirstColumn="0" w:firstRowLastColumn="0" w:lastRowFirstColumn="0" w:lastRowLastColumn="0"/>
              <w:rPr>
                <w:b w:val="0"/>
                <w:bCs/>
                <w:sz w:val="14"/>
                <w:szCs w:val="14"/>
              </w:rPr>
            </w:pPr>
            <w:r w:rsidRPr="00C004FF">
              <w:rPr>
                <w:bCs/>
                <w:sz w:val="14"/>
                <w:szCs w:val="14"/>
              </w:rPr>
              <w:t>Porous reservoirs (NG, Biomethane, H2)</w:t>
            </w:r>
          </w:p>
        </w:tc>
      </w:tr>
      <w:tr w:rsidR="007273C0" w:rsidRPr="00A545E1" w14:paraId="728ABB89" w14:textId="77777777" w:rsidTr="00630269">
        <w:tc>
          <w:tcPr>
            <w:cnfStyle w:val="001000000000" w:firstRow="0" w:lastRow="0" w:firstColumn="1" w:lastColumn="0" w:oddVBand="0" w:evenVBand="0" w:oddHBand="0" w:evenHBand="0" w:firstRowFirstColumn="0" w:firstRowLastColumn="0" w:lastRowFirstColumn="0" w:lastRowLastColumn="0"/>
            <w:tcW w:w="1249" w:type="dxa"/>
            <w:tcBorders>
              <w:top w:val="double" w:sz="4" w:space="0" w:color="002C54" w:themeColor="accent5"/>
            </w:tcBorders>
          </w:tcPr>
          <w:p w14:paraId="73C1D7F1" w14:textId="77777777" w:rsidR="007273C0" w:rsidRPr="008C0F12" w:rsidRDefault="007273C0" w:rsidP="00630269">
            <w:pPr>
              <w:spacing w:before="60" w:after="60" w:line="0" w:lineRule="atLeast"/>
              <w:ind w:left="0"/>
              <w:rPr>
                <w:b/>
                <w:bCs/>
              </w:rPr>
            </w:pPr>
            <w:r w:rsidRPr="008C0F12">
              <w:rPr>
                <w:b/>
                <w:bCs/>
              </w:rPr>
              <w:t>Estonia</w:t>
            </w:r>
          </w:p>
        </w:tc>
        <w:tc>
          <w:tcPr>
            <w:tcW w:w="1200" w:type="dxa"/>
            <w:tcBorders>
              <w:top w:val="double" w:sz="4" w:space="0" w:color="002C54" w:themeColor="accent5"/>
            </w:tcBorders>
          </w:tcPr>
          <w:p w14:paraId="6E8626FE"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E2E5F4B" wp14:editId="540AB343">
                  <wp:extent cx="181069" cy="181069"/>
                  <wp:effectExtent l="0" t="0" r="9525" b="9525"/>
                  <wp:docPr id="65" name="Graphic 6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Borders>
              <w:top w:val="double" w:sz="4" w:space="0" w:color="002C54" w:themeColor="accent5"/>
            </w:tcBorders>
          </w:tcPr>
          <w:p w14:paraId="2B92D496"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98BE449" wp14:editId="46C1A148">
                  <wp:extent cx="181069" cy="181069"/>
                  <wp:effectExtent l="0" t="0" r="9525" b="9525"/>
                  <wp:docPr id="66" name="Graphic 6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Borders>
              <w:top w:val="double" w:sz="4" w:space="0" w:color="002C54" w:themeColor="accent5"/>
            </w:tcBorders>
          </w:tcPr>
          <w:p w14:paraId="3AF25124"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D551C0E" wp14:editId="1521F0D9">
                  <wp:extent cx="181069" cy="181069"/>
                  <wp:effectExtent l="0" t="0" r="9525" b="9525"/>
                  <wp:docPr id="67" name="Graphic 6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Borders>
              <w:top w:val="double" w:sz="4" w:space="0" w:color="002C54" w:themeColor="accent5"/>
            </w:tcBorders>
          </w:tcPr>
          <w:p w14:paraId="7D1F92F6"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216B4E" wp14:editId="671E6B32">
                  <wp:extent cx="181069" cy="181069"/>
                  <wp:effectExtent l="0" t="0" r="9525" b="9525"/>
                  <wp:docPr id="68" name="Graphic 6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Borders>
              <w:top w:val="double" w:sz="4" w:space="0" w:color="002C54" w:themeColor="accent5"/>
            </w:tcBorders>
          </w:tcPr>
          <w:p w14:paraId="3F55F31C"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035188" wp14:editId="3B5B8541">
                  <wp:extent cx="153909" cy="153909"/>
                  <wp:effectExtent l="0" t="0" r="0" b="0"/>
                  <wp:docPr id="69" name="Graphic 6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Clos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V="1">
                            <a:off x="0" y="0"/>
                            <a:ext cx="174929" cy="174929"/>
                          </a:xfrm>
                          <a:prstGeom prst="rect">
                            <a:avLst/>
                          </a:prstGeom>
                        </pic:spPr>
                      </pic:pic>
                    </a:graphicData>
                  </a:graphic>
                </wp:inline>
              </w:drawing>
            </w:r>
          </w:p>
        </w:tc>
        <w:tc>
          <w:tcPr>
            <w:tcW w:w="1200" w:type="dxa"/>
            <w:tcBorders>
              <w:top w:val="double" w:sz="4" w:space="0" w:color="002C54" w:themeColor="accent5"/>
            </w:tcBorders>
          </w:tcPr>
          <w:p w14:paraId="5F5C49DE"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13E6F4" wp14:editId="338FFE66">
                  <wp:extent cx="153909" cy="153909"/>
                  <wp:effectExtent l="0" t="0" r="0" b="0"/>
                  <wp:docPr id="70" name="Graphic 7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Clos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V="1">
                            <a:off x="0" y="0"/>
                            <a:ext cx="174929" cy="174929"/>
                          </a:xfrm>
                          <a:prstGeom prst="rect">
                            <a:avLst/>
                          </a:prstGeom>
                        </pic:spPr>
                      </pic:pic>
                    </a:graphicData>
                  </a:graphic>
                </wp:inline>
              </w:drawing>
            </w:r>
          </w:p>
        </w:tc>
      </w:tr>
      <w:tr w:rsidR="007273C0" w:rsidRPr="00A545E1" w14:paraId="7232F34B" w14:textId="77777777" w:rsidTr="00630269">
        <w:tc>
          <w:tcPr>
            <w:cnfStyle w:val="001000000000" w:firstRow="0" w:lastRow="0" w:firstColumn="1" w:lastColumn="0" w:oddVBand="0" w:evenVBand="0" w:oddHBand="0" w:evenHBand="0" w:firstRowFirstColumn="0" w:firstRowLastColumn="0" w:lastRowFirstColumn="0" w:lastRowLastColumn="0"/>
            <w:tcW w:w="1249" w:type="dxa"/>
          </w:tcPr>
          <w:p w14:paraId="4F497A91" w14:textId="77777777" w:rsidR="007273C0" w:rsidRPr="008C0F12" w:rsidRDefault="007273C0" w:rsidP="00630269">
            <w:pPr>
              <w:spacing w:before="60" w:after="60" w:line="0" w:lineRule="atLeast"/>
              <w:ind w:left="0"/>
              <w:rPr>
                <w:b/>
                <w:bCs/>
              </w:rPr>
            </w:pPr>
            <w:r w:rsidRPr="008C0F12">
              <w:rPr>
                <w:b/>
                <w:bCs/>
              </w:rPr>
              <w:t xml:space="preserve">Latvia </w:t>
            </w:r>
          </w:p>
        </w:tc>
        <w:tc>
          <w:tcPr>
            <w:tcW w:w="1200" w:type="dxa"/>
          </w:tcPr>
          <w:p w14:paraId="50EFF9FF"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61F6E24" wp14:editId="6ED121CF">
                  <wp:extent cx="181069" cy="181069"/>
                  <wp:effectExtent l="0" t="0" r="9525" b="9525"/>
                  <wp:docPr id="76" name="Graphic 7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21568601"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0AEE05" wp14:editId="065A1E58">
                  <wp:extent cx="181069" cy="181069"/>
                  <wp:effectExtent l="0" t="0" r="9525" b="9525"/>
                  <wp:docPr id="79" name="Graphic 7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0F5F8A17"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A4AD85B" wp14:editId="345AF25A">
                  <wp:extent cx="181069" cy="181069"/>
                  <wp:effectExtent l="0" t="0" r="9525" b="9525"/>
                  <wp:docPr id="83" name="Graphic 8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5F4150E5"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01031A0" wp14:editId="284C932E">
                  <wp:extent cx="181069" cy="181069"/>
                  <wp:effectExtent l="0" t="0" r="9525" b="9525"/>
                  <wp:docPr id="88" name="Graphic 8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67C95866"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CB70D33" wp14:editId="35822DED">
                  <wp:extent cx="153909" cy="153909"/>
                  <wp:effectExtent l="0" t="0" r="0" b="0"/>
                  <wp:docPr id="71" name="Graphic 7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Clos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V="1">
                            <a:off x="0" y="0"/>
                            <a:ext cx="174929" cy="174929"/>
                          </a:xfrm>
                          <a:prstGeom prst="rect">
                            <a:avLst/>
                          </a:prstGeom>
                        </pic:spPr>
                      </pic:pic>
                    </a:graphicData>
                  </a:graphic>
                </wp:inline>
              </w:drawing>
            </w:r>
          </w:p>
        </w:tc>
        <w:tc>
          <w:tcPr>
            <w:tcW w:w="1200" w:type="dxa"/>
          </w:tcPr>
          <w:p w14:paraId="325140E2" w14:textId="5968AB73" w:rsidR="007273C0" w:rsidRPr="00A545E1" w:rsidRDefault="008D7B14"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863811" wp14:editId="7B219D1E">
                  <wp:extent cx="181069" cy="181069"/>
                  <wp:effectExtent l="0" t="0" r="9525" b="9525"/>
                  <wp:docPr id="19" name="Graphic 1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r>
      <w:tr w:rsidR="007273C0" w:rsidRPr="00A545E1" w14:paraId="3C956387" w14:textId="77777777" w:rsidTr="00630269">
        <w:tc>
          <w:tcPr>
            <w:cnfStyle w:val="001000000000" w:firstRow="0" w:lastRow="0" w:firstColumn="1" w:lastColumn="0" w:oddVBand="0" w:evenVBand="0" w:oddHBand="0" w:evenHBand="0" w:firstRowFirstColumn="0" w:firstRowLastColumn="0" w:lastRowFirstColumn="0" w:lastRowLastColumn="0"/>
            <w:tcW w:w="1249" w:type="dxa"/>
          </w:tcPr>
          <w:p w14:paraId="27AC723E" w14:textId="77777777" w:rsidR="007273C0" w:rsidRPr="008C0F12" w:rsidRDefault="007273C0" w:rsidP="00630269">
            <w:pPr>
              <w:spacing w:before="60" w:after="60" w:line="0" w:lineRule="atLeast"/>
              <w:ind w:left="0"/>
              <w:rPr>
                <w:b/>
                <w:bCs/>
              </w:rPr>
            </w:pPr>
            <w:r w:rsidRPr="008C0F12">
              <w:rPr>
                <w:b/>
                <w:bCs/>
              </w:rPr>
              <w:t>Lithuania</w:t>
            </w:r>
          </w:p>
        </w:tc>
        <w:tc>
          <w:tcPr>
            <w:tcW w:w="1200" w:type="dxa"/>
          </w:tcPr>
          <w:p w14:paraId="1DA780E1"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7E446E4" wp14:editId="5B8053F2">
                  <wp:extent cx="181069" cy="181069"/>
                  <wp:effectExtent l="0" t="0" r="9525" b="9525"/>
                  <wp:docPr id="77" name="Graphic 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3E07EEBC"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2150D1" wp14:editId="4A263CF7">
                  <wp:extent cx="181069" cy="181069"/>
                  <wp:effectExtent l="0" t="0" r="9525" b="9525"/>
                  <wp:docPr id="80" name="Graphic 8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515E8893"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FD9DCE" wp14:editId="179BCC05">
                  <wp:extent cx="181069" cy="181069"/>
                  <wp:effectExtent l="0" t="0" r="9525" b="9525"/>
                  <wp:docPr id="86" name="Graphic 8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32AA46EB"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EEE89AC" wp14:editId="30246B9E">
                  <wp:extent cx="181069" cy="181069"/>
                  <wp:effectExtent l="0" t="0" r="9525" b="9525"/>
                  <wp:docPr id="89" name="Graphic 8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496F8534"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04167F7" wp14:editId="683E20DB">
                  <wp:extent cx="153909" cy="153909"/>
                  <wp:effectExtent l="0" t="0" r="0" b="0"/>
                  <wp:docPr id="92" name="Graphic 9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Clos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V="1">
                            <a:off x="0" y="0"/>
                            <a:ext cx="174929" cy="174929"/>
                          </a:xfrm>
                          <a:prstGeom prst="rect">
                            <a:avLst/>
                          </a:prstGeom>
                        </pic:spPr>
                      </pic:pic>
                    </a:graphicData>
                  </a:graphic>
                </wp:inline>
              </w:drawing>
            </w:r>
          </w:p>
        </w:tc>
        <w:tc>
          <w:tcPr>
            <w:tcW w:w="1200" w:type="dxa"/>
          </w:tcPr>
          <w:p w14:paraId="565601F1" w14:textId="6034D1B3" w:rsidR="007273C0" w:rsidRPr="00A545E1" w:rsidRDefault="008D7B14"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55DAED8" wp14:editId="5609871C">
                  <wp:extent cx="153909" cy="153909"/>
                  <wp:effectExtent l="0" t="0" r="0" b="0"/>
                  <wp:docPr id="11"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Clos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V="1">
                            <a:off x="0" y="0"/>
                            <a:ext cx="174929" cy="174929"/>
                          </a:xfrm>
                          <a:prstGeom prst="rect">
                            <a:avLst/>
                          </a:prstGeom>
                        </pic:spPr>
                      </pic:pic>
                    </a:graphicData>
                  </a:graphic>
                </wp:inline>
              </w:drawing>
            </w:r>
          </w:p>
        </w:tc>
      </w:tr>
      <w:tr w:rsidR="007273C0" w:rsidRPr="00A545E1" w14:paraId="333D6A59" w14:textId="77777777" w:rsidTr="00630269">
        <w:tc>
          <w:tcPr>
            <w:cnfStyle w:val="001000000000" w:firstRow="0" w:lastRow="0" w:firstColumn="1" w:lastColumn="0" w:oddVBand="0" w:evenVBand="0" w:oddHBand="0" w:evenHBand="0" w:firstRowFirstColumn="0" w:firstRowLastColumn="0" w:lastRowFirstColumn="0" w:lastRowLastColumn="0"/>
            <w:tcW w:w="1249" w:type="dxa"/>
          </w:tcPr>
          <w:p w14:paraId="4A17F7E0" w14:textId="77777777" w:rsidR="007273C0" w:rsidRPr="008C0F12" w:rsidRDefault="007273C0" w:rsidP="00630269">
            <w:pPr>
              <w:spacing w:before="60" w:after="60" w:line="0" w:lineRule="atLeast"/>
              <w:ind w:left="0"/>
              <w:rPr>
                <w:b/>
                <w:bCs/>
              </w:rPr>
            </w:pPr>
            <w:r w:rsidRPr="008C0F12">
              <w:rPr>
                <w:b/>
                <w:bCs/>
              </w:rPr>
              <w:t>Finland</w:t>
            </w:r>
          </w:p>
        </w:tc>
        <w:tc>
          <w:tcPr>
            <w:tcW w:w="1200" w:type="dxa"/>
          </w:tcPr>
          <w:p w14:paraId="148D314E"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E969227" wp14:editId="5171D555">
                  <wp:extent cx="181069" cy="181069"/>
                  <wp:effectExtent l="0" t="0" r="9525" b="9525"/>
                  <wp:docPr id="78" name="Graphic 7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07A94A84"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711FEB0" wp14:editId="2864737D">
                  <wp:extent cx="181069" cy="181069"/>
                  <wp:effectExtent l="0" t="0" r="9525" b="9525"/>
                  <wp:docPr id="81" name="Graphic 8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049C60E1"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0AF5C2D" wp14:editId="526FF50D">
                  <wp:extent cx="181069" cy="181069"/>
                  <wp:effectExtent l="0" t="0" r="9525" b="9525"/>
                  <wp:docPr id="87" name="Graphic 8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7E3D50AE"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18D13C" wp14:editId="4F1FB8A6">
                  <wp:extent cx="181069" cy="181069"/>
                  <wp:effectExtent l="0" t="0" r="9525" b="9525"/>
                  <wp:docPr id="90" name="Graphic 9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Checkmark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87949" cy="187949"/>
                          </a:xfrm>
                          <a:prstGeom prst="rect">
                            <a:avLst/>
                          </a:prstGeom>
                        </pic:spPr>
                      </pic:pic>
                    </a:graphicData>
                  </a:graphic>
                </wp:inline>
              </w:drawing>
            </w:r>
          </w:p>
        </w:tc>
        <w:tc>
          <w:tcPr>
            <w:tcW w:w="1200" w:type="dxa"/>
          </w:tcPr>
          <w:p w14:paraId="114D2537"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FB8795" wp14:editId="628D1959">
                  <wp:extent cx="153909" cy="153909"/>
                  <wp:effectExtent l="0" t="0" r="0" b="0"/>
                  <wp:docPr id="74" name="Graphic 7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Clos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V="1">
                            <a:off x="0" y="0"/>
                            <a:ext cx="174929" cy="174929"/>
                          </a:xfrm>
                          <a:prstGeom prst="rect">
                            <a:avLst/>
                          </a:prstGeom>
                        </pic:spPr>
                      </pic:pic>
                    </a:graphicData>
                  </a:graphic>
                </wp:inline>
              </w:drawing>
            </w:r>
          </w:p>
        </w:tc>
        <w:tc>
          <w:tcPr>
            <w:tcW w:w="1200" w:type="dxa"/>
          </w:tcPr>
          <w:p w14:paraId="57996826" w14:textId="77777777" w:rsidR="007273C0" w:rsidRPr="00A545E1" w:rsidRDefault="007273C0" w:rsidP="00630269">
            <w:pPr>
              <w:spacing w:before="60" w:after="60" w:line="0" w:lineRule="atLeas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A124A57" wp14:editId="0ABAD1BC">
                  <wp:extent cx="153909" cy="153909"/>
                  <wp:effectExtent l="0" t="0" r="0" b="0"/>
                  <wp:docPr id="75" name="Graphic 7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Close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flipV="1">
                            <a:off x="0" y="0"/>
                            <a:ext cx="174929" cy="174929"/>
                          </a:xfrm>
                          <a:prstGeom prst="rect">
                            <a:avLst/>
                          </a:prstGeom>
                        </pic:spPr>
                      </pic:pic>
                    </a:graphicData>
                  </a:graphic>
                </wp:inline>
              </w:drawing>
            </w:r>
          </w:p>
        </w:tc>
      </w:tr>
    </w:tbl>
    <w:p w14:paraId="43E34F9F" w14:textId="5A975D86" w:rsidR="007273C0" w:rsidRPr="007273C0" w:rsidRDefault="007273C0" w:rsidP="009E00C9">
      <w:pPr>
        <w:spacing w:before="60" w:after="240" w:line="0" w:lineRule="atLeast"/>
        <w:jc w:val="both"/>
        <w:rPr>
          <w:sz w:val="14"/>
        </w:rPr>
      </w:pPr>
      <w:r w:rsidRPr="00771485">
        <w:rPr>
          <w:sz w:val="14"/>
        </w:rPr>
        <w:t xml:space="preserve">Source: Own analysis based on the information provided in the previous paragraphs   </w:t>
      </w:r>
    </w:p>
    <w:p w14:paraId="2F6933CE" w14:textId="4BEA649B" w:rsidR="002D5D56" w:rsidRDefault="002D5D56" w:rsidP="009E00C9">
      <w:pPr>
        <w:pStyle w:val="Kop3"/>
        <w:spacing w:before="240" w:after="120" w:line="0" w:lineRule="atLeast"/>
        <w:contextualSpacing w:val="0"/>
      </w:pPr>
      <w:r w:rsidRPr="002D5D56">
        <w:t>LNG terminals design to import renewable and decarbonised gases</w:t>
      </w:r>
    </w:p>
    <w:p w14:paraId="5FD306B4" w14:textId="414D0D37" w:rsidR="00F063CD" w:rsidRPr="00126DAC" w:rsidRDefault="00F063CD" w:rsidP="00A83069">
      <w:pPr>
        <w:spacing w:after="120"/>
        <w:jc w:val="both"/>
      </w:pPr>
      <w:r w:rsidRPr="00126DAC">
        <w:t xml:space="preserve">The feasibility and associated costs of converting LNG terminals to </w:t>
      </w:r>
      <w:r>
        <w:t>handle</w:t>
      </w:r>
      <w:r w:rsidRPr="00126DAC">
        <w:t xml:space="preserve"> liquefied renewable and low-carbon gases is a critical subject in determining LNG</w:t>
      </w:r>
      <w:r>
        <w:t xml:space="preserve"> terminals’</w:t>
      </w:r>
      <w:r w:rsidRPr="00126DAC">
        <w:t xml:space="preserve"> potential role in decarbonization. With some modifications, biomethane</w:t>
      </w:r>
      <w:r w:rsidR="00D8100A">
        <w:t xml:space="preserve"> and </w:t>
      </w:r>
      <w:r w:rsidRPr="00126DAC">
        <w:t xml:space="preserve">hydrogen may be </w:t>
      </w:r>
      <w:r w:rsidR="00D8100A">
        <w:t>stored</w:t>
      </w:r>
      <w:r w:rsidRPr="00126DAC">
        <w:t xml:space="preserve"> and </w:t>
      </w:r>
      <w:r>
        <w:t xml:space="preserve">transported </w:t>
      </w:r>
      <w:r w:rsidRPr="00126DAC">
        <w:t xml:space="preserve">using LNG facilities. </w:t>
      </w:r>
      <w:r>
        <w:t>As t</w:t>
      </w:r>
      <w:r w:rsidRPr="00126DAC">
        <w:t>he characteristics of biomethane and synthetic methane are similar to those of natural gas</w:t>
      </w:r>
      <w:r>
        <w:t>, it can be ensured that they</w:t>
      </w:r>
      <w:r w:rsidRPr="00126DAC">
        <w:t xml:space="preserve"> meet the gas quality criteria, </w:t>
      </w:r>
      <w:r>
        <w:t xml:space="preserve">and </w:t>
      </w:r>
      <w:r w:rsidRPr="00126DAC">
        <w:t>upgrades to LNG terminals</w:t>
      </w:r>
      <w:r w:rsidRPr="002F7721">
        <w:rPr>
          <w:vertAlign w:val="superscript"/>
        </w:rPr>
        <w:footnoteReference w:id="83"/>
      </w:r>
      <w:r w:rsidRPr="00126DAC">
        <w:t xml:space="preserve"> </w:t>
      </w:r>
      <w:r>
        <w:t xml:space="preserve">would hence not be </w:t>
      </w:r>
      <w:r w:rsidRPr="00126DAC">
        <w:t xml:space="preserve">required. Shippers may need administrative procedures to monitor </w:t>
      </w:r>
      <w:r w:rsidR="00F07C20">
        <w:t>guarantees</w:t>
      </w:r>
      <w:r w:rsidRPr="00126DAC">
        <w:t xml:space="preserve"> of origin/sustainability certificates and ensure that the gas satisfies </w:t>
      </w:r>
      <w:r w:rsidR="00F07C20">
        <w:t xml:space="preserve">the </w:t>
      </w:r>
      <w:r w:rsidRPr="00126DAC">
        <w:t>technical criteria, but no new investments or O&amp;M are required</w:t>
      </w:r>
      <w:r w:rsidRPr="002F7721">
        <w:rPr>
          <w:vertAlign w:val="superscript"/>
        </w:rPr>
        <w:footnoteReference w:id="84"/>
      </w:r>
      <w:r w:rsidRPr="00126DAC">
        <w:t>.</w:t>
      </w:r>
    </w:p>
    <w:p w14:paraId="7A09BAF6" w14:textId="52DBF9D1" w:rsidR="00956EBF" w:rsidRDefault="00F063CD" w:rsidP="00885997">
      <w:pPr>
        <w:spacing w:after="120"/>
        <w:jc w:val="both"/>
      </w:pPr>
      <w:r w:rsidRPr="00126DAC">
        <w:t>In the case of hydrogen, due to technical differences between methane and hydrogen (such as hydrogen's lower boiling temperature than methane), existing LNG infrastructure cannot be used as is and must be modified. Moreover, as hydrogen has a lower energy density than LNG (at pressures between 350 and 700 bar),</w:t>
      </w:r>
      <w:r>
        <w:t xml:space="preserve"> </w:t>
      </w:r>
      <w:r w:rsidRPr="00126DAC">
        <w:t xml:space="preserve">shipping costs are expected to be substantially higher. </w:t>
      </w:r>
      <w:r>
        <w:t>As</w:t>
      </w:r>
      <w:r w:rsidRPr="00126DAC">
        <w:t xml:space="preserve"> the costs of adjusting the liquefaction, transport, storage, and regasification phases </w:t>
      </w:r>
      <w:r>
        <w:t xml:space="preserve">would be relatively </w:t>
      </w:r>
      <w:r w:rsidRPr="00126DAC">
        <w:t xml:space="preserve">high, importing hydrogen </w:t>
      </w:r>
      <w:r>
        <w:t xml:space="preserve">via LNG terminals </w:t>
      </w:r>
      <w:r w:rsidRPr="00126DAC">
        <w:t xml:space="preserve">could be difficult. Another option for importing hydrogen from non-EU production facilities is to convert hydrogen to ammonia </w:t>
      </w:r>
      <w:r>
        <w:t>or</w:t>
      </w:r>
      <w:r w:rsidRPr="00126DAC">
        <w:t xml:space="preserve"> methanol and transport these energ</w:t>
      </w:r>
      <w:r>
        <w:t xml:space="preserve">y vectors </w:t>
      </w:r>
      <w:r w:rsidRPr="00126DAC">
        <w:t>using LNG ships and terminals: their boiling temperatures, -33°C and 65°C, respectively at atmospheric pressure are much higher than those of H</w:t>
      </w:r>
      <w:r w:rsidRPr="00FA48C4">
        <w:rPr>
          <w:vertAlign w:val="subscript"/>
        </w:rPr>
        <w:t>2</w:t>
      </w:r>
      <w:r w:rsidRPr="00126DAC">
        <w:t xml:space="preserve"> and CH</w:t>
      </w:r>
      <w:r w:rsidRPr="00FA48C4">
        <w:rPr>
          <w:vertAlign w:val="subscript"/>
        </w:rPr>
        <w:t>4</w:t>
      </w:r>
      <w:r w:rsidRPr="00126DAC">
        <w:t xml:space="preserve">, the liquefaction, transport, storage, and regasification stages can be carried out at higher temperatures or lower pressures, and the associated costs are lower for  ammonia and methanol than for hydrogen. As a result, synthesizing methanol and ammonia makes the </w:t>
      </w:r>
      <w:r>
        <w:t xml:space="preserve">transport and </w:t>
      </w:r>
      <w:r w:rsidRPr="00126DAC">
        <w:t xml:space="preserve">import processes easier and more economic than importing hydrogen.  However, </w:t>
      </w:r>
      <w:r w:rsidR="00D936AA">
        <w:t xml:space="preserve">additional energy is </w:t>
      </w:r>
      <w:r w:rsidR="00332902">
        <w:t xml:space="preserve">required </w:t>
      </w:r>
      <w:r w:rsidR="00F02238">
        <w:t xml:space="preserve">to </w:t>
      </w:r>
      <w:r w:rsidR="003B4C2B">
        <w:t>o</w:t>
      </w:r>
      <w:r w:rsidR="00F02238">
        <w:t xml:space="preserve">btain the hydrogen </w:t>
      </w:r>
      <w:r w:rsidR="003B4C2B">
        <w:t>back from these carriers</w:t>
      </w:r>
      <w:r w:rsidR="006934C6">
        <w:t>,</w:t>
      </w:r>
      <w:r w:rsidR="003B4C2B">
        <w:t xml:space="preserve"> </w:t>
      </w:r>
      <w:r w:rsidR="00C84B8D">
        <w:t xml:space="preserve">if the </w:t>
      </w:r>
      <w:r w:rsidR="007C07D1">
        <w:t>goal is not to use</w:t>
      </w:r>
      <w:r w:rsidR="00F92797">
        <w:t xml:space="preserve"> the methanol or ammonia</w:t>
      </w:r>
      <w:r w:rsidR="00C81541">
        <w:t xml:space="preserve"> as such</w:t>
      </w:r>
      <w:r>
        <w:rPr>
          <w:rStyle w:val="Voetnootmarkering"/>
        </w:rPr>
        <w:footnoteReference w:id="85"/>
      </w:r>
      <w:r>
        <w:t>.</w:t>
      </w:r>
    </w:p>
    <w:p w14:paraId="62566B5F" w14:textId="3C3AAEC6" w:rsidR="00B20520" w:rsidRPr="00474B71" w:rsidRDefault="00B20520" w:rsidP="00B20520">
      <w:pPr>
        <w:pStyle w:val="Kop2"/>
        <w:ind w:left="1134" w:hanging="567"/>
        <w:rPr>
          <w:color w:val="005962" w:themeColor="accent1"/>
        </w:rPr>
      </w:pPr>
      <w:bookmarkStart w:id="125" w:name="_Toc114565061"/>
      <w:r w:rsidRPr="00474B71">
        <w:rPr>
          <w:color w:val="005962" w:themeColor="accent1"/>
        </w:rPr>
        <w:t>Gas blending effect on gas supply infrastructure and on the end-use equipment</w:t>
      </w:r>
      <w:bookmarkEnd w:id="125"/>
      <w:r w:rsidRPr="00474B71">
        <w:rPr>
          <w:color w:val="005962" w:themeColor="accent1"/>
        </w:rPr>
        <w:t xml:space="preserve"> </w:t>
      </w:r>
    </w:p>
    <w:p w14:paraId="28620D08" w14:textId="1E53964A" w:rsidR="00B20520" w:rsidRPr="00860186" w:rsidRDefault="00B20520" w:rsidP="00B20520">
      <w:pPr>
        <w:pStyle w:val="Kop5"/>
      </w:pPr>
      <w:r w:rsidRPr="00860186">
        <w:t xml:space="preserve">Potential impacts </w:t>
      </w:r>
      <w:r>
        <w:t>of</w:t>
      </w:r>
      <w:r w:rsidRPr="00860186">
        <w:t xml:space="preserve"> biomethane injection</w:t>
      </w:r>
      <w:r>
        <w:t xml:space="preserve"> </w:t>
      </w:r>
      <w:r w:rsidR="00C81541">
        <w:t>into</w:t>
      </w:r>
      <w:r>
        <w:t xml:space="preserve"> the NG grid</w:t>
      </w:r>
    </w:p>
    <w:p w14:paraId="549AA680" w14:textId="767A8A3D" w:rsidR="00B20520" w:rsidRDefault="00B20520" w:rsidP="00B20520">
      <w:pPr>
        <w:spacing w:after="120"/>
        <w:jc w:val="both"/>
      </w:pPr>
      <w:r>
        <w:t>B</w:t>
      </w:r>
      <w:r w:rsidRPr="003514D3">
        <w:t xml:space="preserve">iomethane has a lower </w:t>
      </w:r>
      <w:proofErr w:type="spellStart"/>
      <w:r w:rsidRPr="003514D3">
        <w:t>Wobbe</w:t>
      </w:r>
      <w:proofErr w:type="spellEnd"/>
      <w:r w:rsidRPr="003514D3">
        <w:t xml:space="preserve"> index (WI) and calorific value than most EU and notably non-EU natural gas sources</w:t>
      </w:r>
      <w:r>
        <w:rPr>
          <w:rStyle w:val="Voetnootmarkering"/>
        </w:rPr>
        <w:footnoteReference w:id="86"/>
      </w:r>
      <w:r>
        <w:t>.</w:t>
      </w:r>
      <w:r w:rsidRPr="003514D3">
        <w:t xml:space="preserve"> Furthermore, given the various biomass feedstocks and manufacturing procedures, the </w:t>
      </w:r>
      <w:proofErr w:type="spellStart"/>
      <w:r w:rsidRPr="003514D3">
        <w:lastRenderedPageBreak/>
        <w:t>Wobbe</w:t>
      </w:r>
      <w:proofErr w:type="spellEnd"/>
      <w:r w:rsidRPr="003514D3">
        <w:t xml:space="preserve"> index of biomethane can be intrinsically variable. Gas quality fluctuations can also occur due to demand fluctuations and varying biomethane injection rates (biomethane production does not display substantial seasonality on a system level, although there can be daily and intra-day fluctuations).</w:t>
      </w:r>
      <w:r>
        <w:t xml:space="preserve"> The impact of biomethane on the average gas WI or calorific value is not significant at low blending rates, but the situation may alter </w:t>
      </w:r>
      <w:r w:rsidR="00C81541">
        <w:t>when</w:t>
      </w:r>
      <w:r>
        <w:t xml:space="preserve"> biomethane </w:t>
      </w:r>
      <w:r w:rsidR="00C81541">
        <w:t xml:space="preserve">injection </w:t>
      </w:r>
      <w:r>
        <w:t>increases. At high biomethane blending rates, the gas's lower and fluctuating calorific value could cause metering and billing problems, as flow meters may wrongly estimate the user</w:t>
      </w:r>
      <w:r w:rsidR="00C81541">
        <w:t>s’</w:t>
      </w:r>
      <w:r>
        <w:t xml:space="preserve"> effective energy use. Second, increased biomethane blending rates can lead </w:t>
      </w:r>
      <w:r w:rsidRPr="000E6797">
        <w:t xml:space="preserve">to higher concentrations of specific components, which could harm </w:t>
      </w:r>
      <w:r w:rsidR="00C81541">
        <w:t xml:space="preserve">the </w:t>
      </w:r>
      <w:r w:rsidRPr="000E6797">
        <w:t xml:space="preserve">gas </w:t>
      </w:r>
      <w:r w:rsidR="00C81541">
        <w:t xml:space="preserve">network </w:t>
      </w:r>
      <w:r w:rsidRPr="000E6797">
        <w:t xml:space="preserve">infrastructure </w:t>
      </w:r>
      <w:r w:rsidR="00135FD6" w:rsidRPr="000E6797">
        <w:t>or end</w:t>
      </w:r>
      <w:r w:rsidR="00C81541">
        <w:t>-</w:t>
      </w:r>
      <w:r w:rsidRPr="000E6797">
        <w:t>users’ equipment.</w:t>
      </w:r>
    </w:p>
    <w:p w14:paraId="4BF257FD" w14:textId="1A9A1812" w:rsidR="00B20520" w:rsidRPr="000E6797" w:rsidRDefault="00B20520" w:rsidP="00B20520">
      <w:pPr>
        <w:spacing w:after="120"/>
        <w:jc w:val="both"/>
      </w:pPr>
      <w:r w:rsidRPr="000E6797">
        <w:t xml:space="preserve">Injecting biomethane into distribution grids could be done at lower pressures, requiring a smaller compressor (if one is required at the biogas upgrading plant's outlet) and cheaper operating costs (notably for electricity). However, if high volumes are injected at distribution level, investments in compressors may be needed to allow flows to the transmission level. On the other hand, Injection at the transmission level, requires the construction of grid-connection pipelines that must operate at higher pressures (as gas compression typically occurs at the biogas upgrading site), and the reduction of gas pressure for injection from transmission to distribution grid results in losses due to the need for pre-heating when decompressing the gas. The increasing injection of biomethane of varying quality may </w:t>
      </w:r>
      <w:r w:rsidR="00140FC3">
        <w:t xml:space="preserve">also </w:t>
      </w:r>
      <w:r w:rsidRPr="000E6797">
        <w:t>require efficient cross-border flow management. Biomethane can for instance be naturally high in sulphur. Sulphur is usually removed with oxygen, resulting in a high oxygen concentration in the gas.</w:t>
      </w:r>
    </w:p>
    <w:p w14:paraId="2B26566F" w14:textId="68CDA725" w:rsidR="00B20520" w:rsidRPr="000E6797" w:rsidRDefault="00B20520" w:rsidP="00B20520">
      <w:pPr>
        <w:spacing w:after="120"/>
        <w:jc w:val="both"/>
      </w:pPr>
      <w:r w:rsidRPr="000E6797">
        <w:t xml:space="preserve">Blending biomethane with natural gas must respect the gas quality standards and considered the interconnected regional gas system, any national plan for biomethane injection must respect the common standards. Each country of the Baltic-Finnish region has the ambition to increase the biogas/biomethane production for direct consumption in the transport or power sector but no clear targets of biomethane blending </w:t>
      </w:r>
      <w:r w:rsidR="00140FC3">
        <w:t>in</w:t>
      </w:r>
      <w:r w:rsidRPr="000E6797">
        <w:t xml:space="preserve">to the natural gas grid have been published. </w:t>
      </w:r>
      <w:r w:rsidRPr="000E6797">
        <w:rPr>
          <w:rFonts w:cstheme="minorHAnsi"/>
          <w:lang w:val="en-US"/>
        </w:rPr>
        <w:t xml:space="preserve">Currently in Estonia, </w:t>
      </w:r>
      <w:r>
        <w:rPr>
          <w:rFonts w:cstheme="minorHAnsi"/>
          <w:lang w:val="en-US"/>
        </w:rPr>
        <w:t xml:space="preserve">around </w:t>
      </w:r>
      <w:r w:rsidRPr="000E6797">
        <w:rPr>
          <w:rFonts w:cstheme="minorHAnsi"/>
          <w:lang w:val="en-US"/>
        </w:rPr>
        <w:t xml:space="preserve">70% </w:t>
      </w:r>
      <w:r>
        <w:rPr>
          <w:rFonts w:cstheme="minorHAnsi"/>
          <w:lang w:val="en-US"/>
        </w:rPr>
        <w:t xml:space="preserve">- 75% </w:t>
      </w:r>
      <w:r w:rsidRPr="000E6797">
        <w:rPr>
          <w:rFonts w:cstheme="minorHAnsi"/>
          <w:lang w:val="en-US"/>
        </w:rPr>
        <w:t xml:space="preserve">of </w:t>
      </w:r>
      <w:r w:rsidR="00140FC3">
        <w:rPr>
          <w:rFonts w:cstheme="minorHAnsi"/>
          <w:lang w:val="en-US"/>
        </w:rPr>
        <w:t xml:space="preserve">the </w:t>
      </w:r>
      <w:r w:rsidRPr="000E6797">
        <w:rPr>
          <w:rFonts w:cstheme="minorHAnsi"/>
          <w:lang w:val="en-US"/>
        </w:rPr>
        <w:t xml:space="preserve">biomethane </w:t>
      </w:r>
      <w:r w:rsidR="00140FC3">
        <w:rPr>
          <w:rFonts w:cstheme="minorHAnsi"/>
          <w:lang w:val="en-US"/>
        </w:rPr>
        <w:t xml:space="preserve">production </w:t>
      </w:r>
      <w:r w:rsidRPr="000E6797">
        <w:rPr>
          <w:rFonts w:cstheme="minorHAnsi"/>
          <w:lang w:val="en-US"/>
        </w:rPr>
        <w:t xml:space="preserve">is injected into the distribution grid and </w:t>
      </w:r>
      <w:r>
        <w:rPr>
          <w:rFonts w:cstheme="minorHAnsi"/>
          <w:lang w:val="en-US"/>
        </w:rPr>
        <w:t xml:space="preserve">25% - </w:t>
      </w:r>
      <w:r w:rsidRPr="000E6797">
        <w:rPr>
          <w:rFonts w:cstheme="minorHAnsi"/>
          <w:lang w:val="en-US"/>
        </w:rPr>
        <w:t>30% is locally used</w:t>
      </w:r>
      <w:r w:rsidR="00140FC3">
        <w:rPr>
          <w:rFonts w:cstheme="minorHAnsi"/>
          <w:lang w:val="en-US"/>
        </w:rPr>
        <w:t xml:space="preserve">, as the concerned plants </w:t>
      </w:r>
      <w:r>
        <w:rPr>
          <w:rFonts w:cstheme="minorHAnsi"/>
          <w:lang w:val="en-US"/>
        </w:rPr>
        <w:t xml:space="preserve">don’t have </w:t>
      </w:r>
      <w:r w:rsidR="00140FC3">
        <w:rPr>
          <w:rFonts w:cstheme="minorHAnsi"/>
          <w:lang w:val="en-US"/>
        </w:rPr>
        <w:t>a</w:t>
      </w:r>
      <w:r>
        <w:rPr>
          <w:rFonts w:cstheme="minorHAnsi"/>
          <w:lang w:val="en-US"/>
        </w:rPr>
        <w:t xml:space="preserve"> grid connection</w:t>
      </w:r>
      <w:r w:rsidRPr="000E6797">
        <w:rPr>
          <w:rStyle w:val="Voetnootmarkering"/>
          <w:rFonts w:cstheme="minorHAnsi"/>
          <w:szCs w:val="22"/>
          <w:lang w:val="en-US"/>
        </w:rPr>
        <w:footnoteReference w:id="87"/>
      </w:r>
      <w:r w:rsidRPr="000E6797">
        <w:rPr>
          <w:rFonts w:cstheme="minorHAnsi"/>
          <w:szCs w:val="22"/>
          <w:lang w:val="en-US"/>
        </w:rPr>
        <w:t>.</w:t>
      </w:r>
      <w:r w:rsidRPr="000E6797">
        <w:rPr>
          <w:rFonts w:cstheme="minorHAnsi"/>
          <w:szCs w:val="22"/>
        </w:rPr>
        <w:t xml:space="preserve"> The Estonian TSO stated that the </w:t>
      </w:r>
      <w:r w:rsidRPr="000E6797">
        <w:rPr>
          <w:szCs w:val="22"/>
          <w:shd w:val="clear" w:color="auto" w:fill="FFFFFF"/>
        </w:rPr>
        <w:t xml:space="preserve">biomethane quality is adequate to be injected into the natural gas transmission system, but that compressors would be needed to enable reverse flows from distribution to transmission networks. Otherwise, injection would only be possible </w:t>
      </w:r>
      <w:r w:rsidR="00140FC3">
        <w:rPr>
          <w:szCs w:val="22"/>
          <w:shd w:val="clear" w:color="auto" w:fill="FFFFFF"/>
        </w:rPr>
        <w:t>to the extent that</w:t>
      </w:r>
      <w:r w:rsidRPr="000E6797">
        <w:rPr>
          <w:szCs w:val="22"/>
          <w:shd w:val="clear" w:color="auto" w:fill="FFFFFF"/>
        </w:rPr>
        <w:t xml:space="preserve"> the biomethane production </w:t>
      </w:r>
      <w:r w:rsidR="00140FC3">
        <w:rPr>
          <w:szCs w:val="22"/>
          <w:shd w:val="clear" w:color="auto" w:fill="FFFFFF"/>
        </w:rPr>
        <w:t xml:space="preserve">would not </w:t>
      </w:r>
      <w:r w:rsidRPr="000E6797">
        <w:rPr>
          <w:szCs w:val="22"/>
          <w:shd w:val="clear" w:color="auto" w:fill="FFFFFF"/>
        </w:rPr>
        <w:t xml:space="preserve">exceed the distribution grid consumption. According to the EBA report 2020, Finland is injecting 10% of its produced biomethane in the natural gas grid. There is no restriction for biomethane blending in Lithuania but currently the overall production is very low. </w:t>
      </w:r>
    </w:p>
    <w:p w14:paraId="78CEABC6" w14:textId="77777777" w:rsidR="00B20520" w:rsidRPr="00C417C8" w:rsidRDefault="00B20520" w:rsidP="00B20520">
      <w:pPr>
        <w:pStyle w:val="Kop5"/>
      </w:pPr>
      <w:r w:rsidRPr="00C417C8">
        <w:t xml:space="preserve">Limitations </w:t>
      </w:r>
      <w:r>
        <w:t>to</w:t>
      </w:r>
      <w:r w:rsidRPr="00C417C8">
        <w:t xml:space="preserve"> </w:t>
      </w:r>
      <w:r>
        <w:t xml:space="preserve">hydrogen </w:t>
      </w:r>
      <w:r w:rsidRPr="00C417C8">
        <w:t>blending</w:t>
      </w:r>
      <w:r>
        <w:t xml:space="preserve"> in natural gas networks</w:t>
      </w:r>
    </w:p>
    <w:p w14:paraId="2BA0C7C3" w14:textId="5F0369C6" w:rsidR="00B20520" w:rsidRDefault="00B20520" w:rsidP="00B20520">
      <w:pPr>
        <w:spacing w:after="120"/>
        <w:jc w:val="both"/>
      </w:pPr>
      <w:r w:rsidRPr="00374068">
        <w:t>The implications of hydrogen admixture are numerous</w:t>
      </w:r>
      <w:r>
        <w:t>.</w:t>
      </w:r>
      <w:r w:rsidRPr="00374068">
        <w:t xml:space="preserve"> </w:t>
      </w:r>
      <w:r>
        <w:t xml:space="preserve">Some components of the </w:t>
      </w:r>
      <w:r w:rsidRPr="00374068">
        <w:t>trans</w:t>
      </w:r>
      <w:r>
        <w:t>mission</w:t>
      </w:r>
      <w:r w:rsidRPr="00374068">
        <w:t xml:space="preserve"> or distribution infrastructure can be extremely sensitive to gas quality fluctuations to accept high hydrogen admixture rates due to the ease with which point-to-point supply/demand connections can be controlled.</w:t>
      </w:r>
      <w:r>
        <w:t xml:space="preserve"> </w:t>
      </w:r>
      <w:r w:rsidRPr="00884958">
        <w:t xml:space="preserve">Although hydrogen can be blended with natural gas, the chemical and physical properties of hydrogen-blended natural gas differ significantly from those of pure natural gas. If hydrogen blending in gas grids exceeds certain thresholds, it will necessitate significant investments to upgrade existing grid infrastructure (distribution and transmission pipelines, gas metering and monitoring) as well as end-user equipment (power plants, gas engines, residential appliances, and industrial equipment) to make them </w:t>
      </w:r>
      <w:r w:rsidR="00910E1C">
        <w:t>methane/</w:t>
      </w:r>
      <w:r>
        <w:t xml:space="preserve">hydrogen </w:t>
      </w:r>
      <w:r w:rsidRPr="00884958">
        <w:t>blending ready.</w:t>
      </w:r>
    </w:p>
    <w:p w14:paraId="521C4EFE" w14:textId="46C5B887" w:rsidR="00B20520" w:rsidRPr="006F327B" w:rsidRDefault="00B20520" w:rsidP="00B20520">
      <w:pPr>
        <w:spacing w:after="240"/>
        <w:ind w:left="539"/>
        <w:jc w:val="both"/>
        <w:rPr>
          <w:b/>
          <w:bCs/>
        </w:rPr>
      </w:pPr>
      <w:r>
        <w:t xml:space="preserve">The </w:t>
      </w:r>
      <w:r>
        <w:fldChar w:fldCharType="begin"/>
      </w:r>
      <w:r>
        <w:instrText xml:space="preserve"> REF _Ref108535386 \h </w:instrText>
      </w:r>
      <w:r>
        <w:fldChar w:fldCharType="separate"/>
      </w:r>
      <w:r w:rsidR="00265258">
        <w:t xml:space="preserve">Table </w:t>
      </w:r>
      <w:r w:rsidR="00265258">
        <w:rPr>
          <w:noProof/>
        </w:rPr>
        <w:t>6</w:t>
      </w:r>
      <w:r w:rsidR="00265258">
        <w:noBreakHyphen/>
      </w:r>
      <w:r w:rsidR="00265258">
        <w:rPr>
          <w:noProof/>
        </w:rPr>
        <w:t>12</w:t>
      </w:r>
      <w:r>
        <w:fldChar w:fldCharType="end"/>
      </w:r>
      <w:r>
        <w:t xml:space="preserve"> shows the </w:t>
      </w:r>
      <w:r w:rsidR="00910E1C">
        <w:t>maximum</w:t>
      </w:r>
      <w:r>
        <w:t xml:space="preserve"> tolerated hydrogen blending percentages (vol.%) in the NG transmission infrastructure, storage, distribution pipelines and end user appliances/equipment. </w:t>
      </w:r>
      <w:bookmarkStart w:id="126" w:name="_Hlk108535721"/>
      <w:r w:rsidRPr="006F327B">
        <w:rPr>
          <w:b/>
          <w:bCs/>
        </w:rPr>
        <w:t xml:space="preserve">These </w:t>
      </w:r>
      <w:r w:rsidRPr="006F327B">
        <w:rPr>
          <w:b/>
          <w:bCs/>
        </w:rPr>
        <w:lastRenderedPageBreak/>
        <w:t xml:space="preserve">maximum blending limits are </w:t>
      </w:r>
      <w:r w:rsidR="00910E1C">
        <w:rPr>
          <w:b/>
          <w:bCs/>
        </w:rPr>
        <w:t>determined</w:t>
      </w:r>
      <w:r w:rsidRPr="006F327B">
        <w:rPr>
          <w:b/>
          <w:bCs/>
        </w:rPr>
        <w:t xml:space="preserve"> by </w:t>
      </w:r>
      <w:proofErr w:type="spellStart"/>
      <w:r w:rsidRPr="006F327B">
        <w:rPr>
          <w:b/>
          <w:bCs/>
        </w:rPr>
        <w:t>Marcogaz</w:t>
      </w:r>
      <w:proofErr w:type="spellEnd"/>
      <w:r>
        <w:rPr>
          <w:rStyle w:val="Voetnootmarkering"/>
          <w:b/>
          <w:bCs/>
        </w:rPr>
        <w:footnoteReference w:id="88"/>
      </w:r>
      <w:r w:rsidRPr="006F327B">
        <w:rPr>
          <w:b/>
          <w:bCs/>
        </w:rPr>
        <w:t xml:space="preserve"> and do not </w:t>
      </w:r>
      <w:r w:rsidR="00910E1C">
        <w:rPr>
          <w:b/>
          <w:bCs/>
        </w:rPr>
        <w:t>necessarily re</w:t>
      </w:r>
      <w:r w:rsidRPr="006F327B">
        <w:rPr>
          <w:b/>
          <w:bCs/>
        </w:rPr>
        <w:t xml:space="preserve">present the </w:t>
      </w:r>
      <w:r w:rsidR="00910E1C">
        <w:rPr>
          <w:b/>
          <w:bCs/>
        </w:rPr>
        <w:t>specific</w:t>
      </w:r>
      <w:r w:rsidRPr="006F327B">
        <w:rPr>
          <w:b/>
          <w:bCs/>
        </w:rPr>
        <w:t xml:space="preserve"> hydrogen </w:t>
      </w:r>
      <w:r w:rsidR="00910E1C">
        <w:rPr>
          <w:b/>
          <w:bCs/>
        </w:rPr>
        <w:t xml:space="preserve">blending </w:t>
      </w:r>
      <w:r w:rsidRPr="006F327B">
        <w:rPr>
          <w:b/>
          <w:bCs/>
        </w:rPr>
        <w:t xml:space="preserve">limits of the gas network and end-use applications in </w:t>
      </w:r>
      <w:r w:rsidR="00910E1C">
        <w:rPr>
          <w:b/>
          <w:bCs/>
        </w:rPr>
        <w:t>the countries</w:t>
      </w:r>
      <w:r w:rsidRPr="006F327B">
        <w:rPr>
          <w:b/>
          <w:bCs/>
        </w:rPr>
        <w:t xml:space="preserve"> of the Baltic-Finnish zone</w:t>
      </w:r>
      <w:bookmarkEnd w:id="126"/>
      <w:r w:rsidRPr="006F327B">
        <w:rPr>
          <w:b/>
          <w:bCs/>
        </w:rPr>
        <w:t xml:space="preserve">. </w:t>
      </w:r>
    </w:p>
    <w:p w14:paraId="230F473C" w14:textId="0965DD14" w:rsidR="00B20520" w:rsidRPr="000333CD" w:rsidRDefault="00B20520" w:rsidP="00B20520">
      <w:pPr>
        <w:pStyle w:val="Bijschrift"/>
        <w:spacing w:before="120" w:line="360" w:lineRule="auto"/>
        <w:jc w:val="both"/>
      </w:pPr>
      <w:bookmarkStart w:id="127" w:name="_Ref108535386"/>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12</w:t>
      </w:r>
      <w:r w:rsidR="006D12F8">
        <w:rPr>
          <w:noProof/>
        </w:rPr>
        <w:fldChar w:fldCharType="end"/>
      </w:r>
      <w:bookmarkEnd w:id="127"/>
      <w:r>
        <w:t>. Overview of available test results and regulatory limits for hydrogen admi</w:t>
      </w:r>
      <w:r w:rsidR="00910E1C">
        <w:t>xture</w:t>
      </w:r>
      <w:r>
        <w:t xml:space="preserve"> into existing NG infrastructure and end-use equipment [Source: </w:t>
      </w:r>
      <w:proofErr w:type="spellStart"/>
      <w:r>
        <w:t>Marcogaz</w:t>
      </w:r>
      <w:proofErr w:type="spellEnd"/>
      <w:r>
        <w:t>]</w:t>
      </w:r>
      <w:r>
        <w:rPr>
          <w:rStyle w:val="Voetnootmarkering"/>
        </w:rPr>
        <w:footnoteReference w:id="89"/>
      </w:r>
    </w:p>
    <w:tbl>
      <w:tblPr>
        <w:tblStyle w:val="Tabelraster"/>
        <w:tblW w:w="8505" w:type="dxa"/>
        <w:tblInd w:w="562" w:type="dxa"/>
        <w:tblLook w:val="04A0" w:firstRow="1" w:lastRow="0" w:firstColumn="1" w:lastColumn="0" w:noHBand="0" w:noVBand="1"/>
      </w:tblPr>
      <w:tblGrid>
        <w:gridCol w:w="1560"/>
        <w:gridCol w:w="6945"/>
      </w:tblGrid>
      <w:tr w:rsidR="00B20520" w:rsidRPr="00E3190C" w14:paraId="5CC8E76E" w14:textId="77777777">
        <w:tc>
          <w:tcPr>
            <w:tcW w:w="1560" w:type="dxa"/>
            <w:shd w:val="clear" w:color="auto" w:fill="005962" w:themeFill="accent1"/>
          </w:tcPr>
          <w:p w14:paraId="1C2C7DEC" w14:textId="77777777" w:rsidR="00B20520" w:rsidRPr="00E3190C" w:rsidRDefault="00B20520">
            <w:pPr>
              <w:jc w:val="both"/>
              <w:rPr>
                <w:b/>
                <w:bCs/>
                <w:color w:val="FFFFFF" w:themeColor="background1"/>
                <w:sz w:val="16"/>
                <w:szCs w:val="16"/>
              </w:rPr>
            </w:pPr>
          </w:p>
        </w:tc>
        <w:tc>
          <w:tcPr>
            <w:tcW w:w="6945" w:type="dxa"/>
            <w:shd w:val="clear" w:color="auto" w:fill="005962" w:themeFill="accent1"/>
          </w:tcPr>
          <w:p w14:paraId="71E79841" w14:textId="77777777" w:rsidR="00B20520" w:rsidRPr="00E3190C" w:rsidRDefault="00B20520">
            <w:pPr>
              <w:jc w:val="both"/>
              <w:rPr>
                <w:b/>
                <w:bCs/>
                <w:color w:val="FFFFFF" w:themeColor="background1"/>
                <w:sz w:val="16"/>
                <w:szCs w:val="16"/>
              </w:rPr>
            </w:pPr>
            <w:r w:rsidRPr="00E3190C">
              <w:rPr>
                <w:b/>
                <w:bCs/>
                <w:color w:val="FFFFFF" w:themeColor="background1"/>
                <w:sz w:val="16"/>
                <w:szCs w:val="16"/>
              </w:rPr>
              <w:t>Hydrogen blending levels</w:t>
            </w:r>
            <w:r>
              <w:rPr>
                <w:b/>
                <w:bCs/>
                <w:color w:val="FFFFFF" w:themeColor="background1"/>
                <w:sz w:val="16"/>
                <w:szCs w:val="16"/>
              </w:rPr>
              <w:t>*</w:t>
            </w:r>
          </w:p>
        </w:tc>
      </w:tr>
      <w:tr w:rsidR="00B20520" w:rsidRPr="00E3190C" w14:paraId="0096DEB0" w14:textId="77777777">
        <w:tc>
          <w:tcPr>
            <w:tcW w:w="1560" w:type="dxa"/>
          </w:tcPr>
          <w:p w14:paraId="22633D81" w14:textId="77777777" w:rsidR="00B20520" w:rsidRPr="00E3190C" w:rsidRDefault="00B20520">
            <w:pPr>
              <w:spacing w:before="40" w:after="40" w:line="240" w:lineRule="auto"/>
              <w:ind w:left="33"/>
              <w:jc w:val="both"/>
              <w:rPr>
                <w:b/>
                <w:bCs/>
                <w:sz w:val="16"/>
                <w:szCs w:val="16"/>
              </w:rPr>
            </w:pPr>
            <w:r w:rsidRPr="00E3190C">
              <w:rPr>
                <w:b/>
                <w:bCs/>
                <w:sz w:val="16"/>
                <w:szCs w:val="16"/>
              </w:rPr>
              <w:t>Transmission lines (&gt; 16 bar)</w:t>
            </w:r>
          </w:p>
        </w:tc>
        <w:tc>
          <w:tcPr>
            <w:tcW w:w="6945" w:type="dxa"/>
          </w:tcPr>
          <w:p w14:paraId="543B4FD5" w14:textId="77777777" w:rsidR="00B20520" w:rsidRPr="00E3190C" w:rsidRDefault="00B20520">
            <w:pPr>
              <w:spacing w:before="40" w:after="40" w:line="240" w:lineRule="auto"/>
              <w:ind w:left="182"/>
              <w:jc w:val="both"/>
              <w:rPr>
                <w:sz w:val="16"/>
                <w:szCs w:val="16"/>
              </w:rPr>
            </w:pPr>
            <w:r w:rsidRPr="00E3190C">
              <w:rPr>
                <w:b/>
                <w:sz w:val="16"/>
                <w:szCs w:val="16"/>
              </w:rPr>
              <w:t>Steel transmission pipeline:</w:t>
            </w:r>
            <w:r w:rsidRPr="00E3190C">
              <w:rPr>
                <w:sz w:val="16"/>
                <w:szCs w:val="16"/>
              </w:rPr>
              <w:t xml:space="preserve"> Up to 10% (allowance can be up to 100% after modifications to the infrastructure depending on the case-by-case basis)</w:t>
            </w:r>
          </w:p>
          <w:p w14:paraId="027293A5" w14:textId="77777777" w:rsidR="00B20520" w:rsidRPr="00E3190C" w:rsidRDefault="00B20520">
            <w:pPr>
              <w:spacing w:before="40" w:after="40" w:line="240" w:lineRule="auto"/>
              <w:ind w:left="182"/>
              <w:jc w:val="both"/>
              <w:rPr>
                <w:sz w:val="16"/>
                <w:szCs w:val="16"/>
              </w:rPr>
            </w:pPr>
            <w:r w:rsidRPr="00E3190C">
              <w:rPr>
                <w:b/>
                <w:bCs/>
                <w:sz w:val="16"/>
                <w:szCs w:val="16"/>
              </w:rPr>
              <w:t xml:space="preserve">Compressor: </w:t>
            </w:r>
            <w:r w:rsidRPr="00E3190C">
              <w:rPr>
                <w:sz w:val="16"/>
                <w:szCs w:val="16"/>
              </w:rPr>
              <w:t>Up to 5%</w:t>
            </w:r>
            <w:r w:rsidRPr="00E3190C">
              <w:rPr>
                <w:b/>
                <w:bCs/>
                <w:sz w:val="16"/>
                <w:szCs w:val="16"/>
              </w:rPr>
              <w:t xml:space="preserve"> </w:t>
            </w:r>
          </w:p>
        </w:tc>
      </w:tr>
      <w:tr w:rsidR="00B20520" w:rsidRPr="00E3190C" w14:paraId="57B6483B" w14:textId="77777777">
        <w:tc>
          <w:tcPr>
            <w:tcW w:w="1560" w:type="dxa"/>
          </w:tcPr>
          <w:p w14:paraId="36E9ACD4" w14:textId="77777777" w:rsidR="00B20520" w:rsidRPr="00E3190C" w:rsidRDefault="00B20520">
            <w:pPr>
              <w:spacing w:before="40" w:after="40" w:line="240" w:lineRule="auto"/>
              <w:ind w:left="33"/>
              <w:jc w:val="both"/>
              <w:rPr>
                <w:b/>
                <w:bCs/>
                <w:sz w:val="16"/>
                <w:szCs w:val="16"/>
              </w:rPr>
            </w:pPr>
            <w:r w:rsidRPr="00E3190C">
              <w:rPr>
                <w:b/>
                <w:bCs/>
                <w:sz w:val="16"/>
                <w:szCs w:val="16"/>
              </w:rPr>
              <w:t xml:space="preserve">Gas storage </w:t>
            </w:r>
          </w:p>
        </w:tc>
        <w:tc>
          <w:tcPr>
            <w:tcW w:w="6945" w:type="dxa"/>
          </w:tcPr>
          <w:p w14:paraId="3D9815E7" w14:textId="77777777" w:rsidR="00B20520" w:rsidRPr="00E3190C" w:rsidRDefault="00B20520">
            <w:pPr>
              <w:spacing w:before="40" w:after="40" w:line="240" w:lineRule="auto"/>
              <w:ind w:left="182"/>
              <w:jc w:val="both"/>
              <w:rPr>
                <w:b/>
                <w:bCs/>
                <w:sz w:val="16"/>
                <w:szCs w:val="16"/>
              </w:rPr>
            </w:pPr>
            <w:r w:rsidRPr="00E3190C">
              <w:rPr>
                <w:b/>
                <w:bCs/>
                <w:sz w:val="16"/>
                <w:szCs w:val="16"/>
              </w:rPr>
              <w:t xml:space="preserve">Cavern storage: </w:t>
            </w:r>
            <w:r w:rsidRPr="00E3190C">
              <w:rPr>
                <w:sz w:val="16"/>
                <w:szCs w:val="16"/>
              </w:rPr>
              <w:t>Up to 100%</w:t>
            </w:r>
            <w:r w:rsidRPr="00E3190C">
              <w:rPr>
                <w:b/>
                <w:bCs/>
                <w:sz w:val="16"/>
                <w:szCs w:val="16"/>
              </w:rPr>
              <w:t xml:space="preserve"> </w:t>
            </w:r>
          </w:p>
          <w:p w14:paraId="0E8D244D" w14:textId="77777777" w:rsidR="00B20520" w:rsidRPr="00E3190C" w:rsidRDefault="00B20520">
            <w:pPr>
              <w:spacing w:before="40" w:after="40" w:line="240" w:lineRule="auto"/>
              <w:ind w:left="182"/>
              <w:jc w:val="both"/>
              <w:rPr>
                <w:b/>
                <w:bCs/>
                <w:sz w:val="16"/>
                <w:szCs w:val="16"/>
              </w:rPr>
            </w:pPr>
            <w:r w:rsidRPr="00E3190C">
              <w:rPr>
                <w:b/>
                <w:bCs/>
                <w:sz w:val="16"/>
                <w:szCs w:val="16"/>
              </w:rPr>
              <w:t xml:space="preserve">Porous storage: </w:t>
            </w:r>
            <w:r w:rsidRPr="00E3190C">
              <w:rPr>
                <w:sz w:val="16"/>
                <w:szCs w:val="16"/>
              </w:rPr>
              <w:t>Under study, but learnings from depleted fields can be utilised</w:t>
            </w:r>
          </w:p>
        </w:tc>
      </w:tr>
      <w:tr w:rsidR="00B20520" w:rsidRPr="00E3190C" w14:paraId="178A9833" w14:textId="77777777">
        <w:tc>
          <w:tcPr>
            <w:tcW w:w="1560" w:type="dxa"/>
          </w:tcPr>
          <w:p w14:paraId="06FDEA5C" w14:textId="77777777" w:rsidR="00B20520" w:rsidRPr="00E3190C" w:rsidRDefault="00B20520">
            <w:pPr>
              <w:spacing w:before="40" w:after="40" w:line="240" w:lineRule="auto"/>
              <w:ind w:left="33"/>
              <w:jc w:val="both"/>
              <w:rPr>
                <w:b/>
                <w:bCs/>
                <w:sz w:val="16"/>
                <w:szCs w:val="16"/>
              </w:rPr>
            </w:pPr>
            <w:r w:rsidRPr="00E3190C">
              <w:rPr>
                <w:b/>
                <w:bCs/>
                <w:sz w:val="16"/>
                <w:szCs w:val="16"/>
              </w:rPr>
              <w:t xml:space="preserve">Grid metering and pressure regulation </w:t>
            </w:r>
          </w:p>
        </w:tc>
        <w:tc>
          <w:tcPr>
            <w:tcW w:w="6945" w:type="dxa"/>
          </w:tcPr>
          <w:p w14:paraId="5614869D" w14:textId="77777777" w:rsidR="00B20520" w:rsidRPr="00E3190C" w:rsidRDefault="00B20520">
            <w:pPr>
              <w:spacing w:before="40" w:after="40" w:line="240" w:lineRule="auto"/>
              <w:ind w:left="182"/>
              <w:jc w:val="both"/>
              <w:rPr>
                <w:sz w:val="16"/>
                <w:szCs w:val="16"/>
              </w:rPr>
            </w:pPr>
            <w:r w:rsidRPr="00E3190C">
              <w:rPr>
                <w:b/>
                <w:bCs/>
                <w:sz w:val="16"/>
                <w:szCs w:val="16"/>
              </w:rPr>
              <w:t xml:space="preserve">Gas meters: </w:t>
            </w:r>
            <w:r w:rsidRPr="00E3190C">
              <w:rPr>
                <w:sz w:val="16"/>
                <w:szCs w:val="16"/>
              </w:rPr>
              <w:t xml:space="preserve">Up to 10% without modifications </w:t>
            </w:r>
          </w:p>
          <w:p w14:paraId="6C7D21E7" w14:textId="77777777" w:rsidR="00B20520" w:rsidRPr="00E3190C" w:rsidRDefault="00B20520">
            <w:pPr>
              <w:spacing w:before="40" w:after="40" w:line="240" w:lineRule="auto"/>
              <w:ind w:left="182"/>
              <w:jc w:val="both"/>
              <w:rPr>
                <w:sz w:val="16"/>
                <w:szCs w:val="16"/>
              </w:rPr>
            </w:pPr>
            <w:r w:rsidRPr="00E3190C">
              <w:rPr>
                <w:b/>
                <w:bCs/>
                <w:sz w:val="16"/>
                <w:szCs w:val="16"/>
              </w:rPr>
              <w:t xml:space="preserve">Valves: </w:t>
            </w:r>
            <w:r w:rsidRPr="00E3190C">
              <w:rPr>
                <w:sz w:val="16"/>
                <w:szCs w:val="16"/>
              </w:rPr>
              <w:t xml:space="preserve">Up to 10% – 60% (up to 10% without technical modifications) </w:t>
            </w:r>
          </w:p>
        </w:tc>
      </w:tr>
      <w:tr w:rsidR="00B20520" w:rsidRPr="00E3190C" w14:paraId="75C59C9D" w14:textId="77777777">
        <w:tc>
          <w:tcPr>
            <w:tcW w:w="1560" w:type="dxa"/>
          </w:tcPr>
          <w:p w14:paraId="3AFDAAFA" w14:textId="77777777" w:rsidR="00B20520" w:rsidRPr="00E3190C" w:rsidRDefault="00B20520">
            <w:pPr>
              <w:spacing w:before="40" w:after="40" w:line="240" w:lineRule="auto"/>
              <w:ind w:left="33"/>
              <w:jc w:val="both"/>
              <w:rPr>
                <w:b/>
                <w:bCs/>
                <w:sz w:val="16"/>
                <w:szCs w:val="16"/>
              </w:rPr>
            </w:pPr>
            <w:r w:rsidRPr="00E3190C">
              <w:rPr>
                <w:b/>
                <w:bCs/>
                <w:sz w:val="16"/>
                <w:szCs w:val="16"/>
              </w:rPr>
              <w:t xml:space="preserve">Distribution </w:t>
            </w:r>
          </w:p>
          <w:p w14:paraId="3095197B" w14:textId="77777777" w:rsidR="00B20520" w:rsidRPr="00E3190C" w:rsidRDefault="00B20520">
            <w:pPr>
              <w:spacing w:before="40" w:after="40" w:line="240" w:lineRule="auto"/>
              <w:ind w:left="33"/>
              <w:jc w:val="both"/>
              <w:rPr>
                <w:b/>
                <w:bCs/>
                <w:sz w:val="16"/>
                <w:szCs w:val="16"/>
              </w:rPr>
            </w:pPr>
            <w:r w:rsidRPr="00E3190C">
              <w:rPr>
                <w:b/>
                <w:bCs/>
                <w:sz w:val="16"/>
                <w:szCs w:val="16"/>
              </w:rPr>
              <w:t>(&lt; 16 bar)</w:t>
            </w:r>
          </w:p>
        </w:tc>
        <w:tc>
          <w:tcPr>
            <w:tcW w:w="6945" w:type="dxa"/>
          </w:tcPr>
          <w:p w14:paraId="62FF434C" w14:textId="77777777" w:rsidR="00B20520" w:rsidRPr="00E3190C" w:rsidRDefault="00B20520">
            <w:pPr>
              <w:spacing w:before="40" w:after="40" w:line="240" w:lineRule="auto"/>
              <w:ind w:left="182"/>
              <w:jc w:val="both"/>
              <w:rPr>
                <w:sz w:val="16"/>
                <w:szCs w:val="16"/>
              </w:rPr>
            </w:pPr>
            <w:r w:rsidRPr="00E3190C">
              <w:rPr>
                <w:b/>
                <w:bCs/>
                <w:sz w:val="16"/>
                <w:szCs w:val="16"/>
              </w:rPr>
              <w:t>Steel transmission pipeline:</w:t>
            </w:r>
            <w:r w:rsidRPr="00E3190C">
              <w:rPr>
                <w:sz w:val="16"/>
                <w:szCs w:val="16"/>
              </w:rPr>
              <w:t xml:space="preserve"> Up to 10% (allowance can be up to 100% after modifications to the infrastructure depending on the case-by-case basis)</w:t>
            </w:r>
          </w:p>
        </w:tc>
      </w:tr>
      <w:tr w:rsidR="00B20520" w:rsidRPr="00E3190C" w14:paraId="27344DDC" w14:textId="77777777">
        <w:tc>
          <w:tcPr>
            <w:tcW w:w="1560" w:type="dxa"/>
          </w:tcPr>
          <w:p w14:paraId="3916235A" w14:textId="77777777" w:rsidR="00B20520" w:rsidRPr="00E3190C" w:rsidRDefault="00B20520">
            <w:pPr>
              <w:spacing w:before="40" w:after="40" w:line="240" w:lineRule="auto"/>
              <w:ind w:left="33"/>
              <w:jc w:val="both"/>
              <w:rPr>
                <w:b/>
                <w:bCs/>
                <w:sz w:val="16"/>
                <w:szCs w:val="16"/>
              </w:rPr>
            </w:pPr>
            <w:r w:rsidRPr="00E3190C">
              <w:rPr>
                <w:b/>
                <w:bCs/>
                <w:sz w:val="16"/>
                <w:szCs w:val="16"/>
              </w:rPr>
              <w:t xml:space="preserve">End-use equipment </w:t>
            </w:r>
          </w:p>
        </w:tc>
        <w:tc>
          <w:tcPr>
            <w:tcW w:w="6945" w:type="dxa"/>
          </w:tcPr>
          <w:p w14:paraId="21571854" w14:textId="77777777" w:rsidR="00B20520" w:rsidRPr="00E3190C" w:rsidRDefault="00B20520">
            <w:pPr>
              <w:spacing w:before="40" w:after="40" w:line="240" w:lineRule="auto"/>
              <w:ind w:hanging="567"/>
              <w:jc w:val="both"/>
              <w:rPr>
                <w:b/>
                <w:bCs/>
                <w:sz w:val="16"/>
                <w:szCs w:val="16"/>
              </w:rPr>
            </w:pPr>
            <w:r w:rsidRPr="00E3190C">
              <w:rPr>
                <w:b/>
                <w:bCs/>
                <w:sz w:val="16"/>
                <w:szCs w:val="16"/>
              </w:rPr>
              <w:t xml:space="preserve">Gas turbine: </w:t>
            </w:r>
            <w:r w:rsidRPr="00E3190C">
              <w:rPr>
                <w:sz w:val="16"/>
                <w:szCs w:val="16"/>
              </w:rPr>
              <w:t>Up to 1% without modifications</w:t>
            </w:r>
          </w:p>
          <w:p w14:paraId="254CFFD2" w14:textId="77777777" w:rsidR="00B20520" w:rsidRPr="00E3190C" w:rsidRDefault="00B20520">
            <w:pPr>
              <w:spacing w:before="40" w:after="40" w:line="240" w:lineRule="auto"/>
              <w:ind w:hanging="567"/>
              <w:jc w:val="both"/>
              <w:rPr>
                <w:b/>
                <w:bCs/>
                <w:sz w:val="16"/>
                <w:szCs w:val="16"/>
              </w:rPr>
            </w:pPr>
            <w:r w:rsidRPr="00E3190C">
              <w:rPr>
                <w:b/>
                <w:bCs/>
                <w:sz w:val="16"/>
                <w:szCs w:val="16"/>
              </w:rPr>
              <w:t xml:space="preserve">Gas engine: </w:t>
            </w:r>
            <w:r w:rsidRPr="00E3190C">
              <w:rPr>
                <w:sz w:val="16"/>
                <w:szCs w:val="16"/>
              </w:rPr>
              <w:t>Up to 10% without modifications</w:t>
            </w:r>
          </w:p>
          <w:p w14:paraId="15FEE2B3" w14:textId="77777777" w:rsidR="00B20520" w:rsidRPr="00E3190C" w:rsidRDefault="00B20520">
            <w:pPr>
              <w:spacing w:before="40" w:after="40" w:line="240" w:lineRule="auto"/>
              <w:ind w:hanging="567"/>
              <w:jc w:val="both"/>
              <w:rPr>
                <w:b/>
                <w:bCs/>
                <w:sz w:val="16"/>
                <w:szCs w:val="16"/>
              </w:rPr>
            </w:pPr>
            <w:r w:rsidRPr="00E3190C">
              <w:rPr>
                <w:b/>
                <w:bCs/>
                <w:sz w:val="16"/>
                <w:szCs w:val="16"/>
              </w:rPr>
              <w:t>Residential appliances (without modifications):</w:t>
            </w:r>
          </w:p>
          <w:p w14:paraId="6E4BA479" w14:textId="34A2E0CF" w:rsidR="00B20520" w:rsidRPr="00E3190C" w:rsidRDefault="00B20520">
            <w:pPr>
              <w:pStyle w:val="Lijstalinea"/>
              <w:widowControl w:val="0"/>
              <w:numPr>
                <w:ilvl w:val="0"/>
                <w:numId w:val="13"/>
              </w:numPr>
              <w:tabs>
                <w:tab w:val="left" w:pos="1712"/>
              </w:tabs>
              <w:autoSpaceDE w:val="0"/>
              <w:autoSpaceDN w:val="0"/>
              <w:spacing w:before="40" w:after="40" w:line="240" w:lineRule="auto"/>
              <w:ind w:left="182" w:right="363" w:hanging="142"/>
              <w:contextualSpacing w:val="0"/>
              <w:jc w:val="both"/>
              <w:rPr>
                <w:sz w:val="16"/>
                <w:szCs w:val="16"/>
              </w:rPr>
            </w:pPr>
            <w:r w:rsidRPr="00E3190C">
              <w:rPr>
                <w:sz w:val="16"/>
                <w:szCs w:val="16"/>
              </w:rPr>
              <w:t>NG fuel</w:t>
            </w:r>
            <w:r w:rsidR="002B2FFA">
              <w:rPr>
                <w:sz w:val="16"/>
                <w:szCs w:val="16"/>
              </w:rPr>
              <w:t>l</w:t>
            </w:r>
            <w:r w:rsidRPr="00E3190C">
              <w:rPr>
                <w:sz w:val="16"/>
                <w:szCs w:val="16"/>
              </w:rPr>
              <w:t xml:space="preserve">ed FC heating appliances: Up to 10% </w:t>
            </w:r>
          </w:p>
          <w:p w14:paraId="66F19FAE" w14:textId="77777777" w:rsidR="00B20520" w:rsidRPr="00E3190C" w:rsidRDefault="00B20520">
            <w:pPr>
              <w:pStyle w:val="Lijstalinea"/>
              <w:widowControl w:val="0"/>
              <w:numPr>
                <w:ilvl w:val="0"/>
                <w:numId w:val="13"/>
              </w:numPr>
              <w:tabs>
                <w:tab w:val="left" w:pos="1712"/>
              </w:tabs>
              <w:autoSpaceDE w:val="0"/>
              <w:autoSpaceDN w:val="0"/>
              <w:spacing w:before="40" w:after="40" w:line="240" w:lineRule="auto"/>
              <w:ind w:left="182" w:right="363" w:hanging="142"/>
              <w:contextualSpacing w:val="0"/>
              <w:jc w:val="both"/>
              <w:rPr>
                <w:sz w:val="16"/>
                <w:szCs w:val="16"/>
              </w:rPr>
            </w:pPr>
            <w:r w:rsidRPr="00E3190C">
              <w:rPr>
                <w:sz w:val="16"/>
                <w:szCs w:val="16"/>
              </w:rPr>
              <w:t>Gas cooker/burner: Up to 10%</w:t>
            </w:r>
          </w:p>
          <w:p w14:paraId="5E87BB70" w14:textId="77777777" w:rsidR="00B20520" w:rsidRPr="00E3190C" w:rsidRDefault="00B20520">
            <w:pPr>
              <w:pStyle w:val="Lijstalinea"/>
              <w:widowControl w:val="0"/>
              <w:numPr>
                <w:ilvl w:val="0"/>
                <w:numId w:val="13"/>
              </w:numPr>
              <w:tabs>
                <w:tab w:val="left" w:pos="1712"/>
              </w:tabs>
              <w:autoSpaceDE w:val="0"/>
              <w:autoSpaceDN w:val="0"/>
              <w:spacing w:before="40" w:after="40" w:line="240" w:lineRule="auto"/>
              <w:ind w:left="182" w:right="363" w:hanging="142"/>
              <w:contextualSpacing w:val="0"/>
              <w:jc w:val="both"/>
              <w:rPr>
                <w:sz w:val="16"/>
                <w:szCs w:val="16"/>
              </w:rPr>
            </w:pPr>
            <w:r w:rsidRPr="00E3190C">
              <w:rPr>
                <w:sz w:val="16"/>
                <w:szCs w:val="16"/>
              </w:rPr>
              <w:t>Condensing boiler: Up to 10%</w:t>
            </w:r>
          </w:p>
          <w:p w14:paraId="182EA0BD" w14:textId="77777777" w:rsidR="00B20520" w:rsidRPr="00E3190C" w:rsidRDefault="00B20520">
            <w:pPr>
              <w:spacing w:before="40" w:after="40" w:line="240" w:lineRule="auto"/>
              <w:jc w:val="both"/>
              <w:rPr>
                <w:b/>
                <w:bCs/>
                <w:sz w:val="16"/>
                <w:szCs w:val="16"/>
              </w:rPr>
            </w:pPr>
            <w:r w:rsidRPr="00E3190C">
              <w:rPr>
                <w:b/>
                <w:bCs/>
                <w:sz w:val="16"/>
                <w:szCs w:val="16"/>
              </w:rPr>
              <w:t xml:space="preserve">Mobility (CNG vehicle): </w:t>
            </w:r>
            <w:r w:rsidRPr="00E3190C">
              <w:rPr>
                <w:bCs/>
                <w:sz w:val="16"/>
                <w:szCs w:val="16"/>
              </w:rPr>
              <w:t>Up to 5%</w:t>
            </w:r>
          </w:p>
          <w:p w14:paraId="4FD93F76" w14:textId="77777777" w:rsidR="00B20520" w:rsidRPr="00E3190C" w:rsidRDefault="00B20520">
            <w:pPr>
              <w:spacing w:before="40" w:after="40" w:line="240" w:lineRule="auto"/>
              <w:ind w:hanging="527"/>
              <w:jc w:val="both"/>
              <w:rPr>
                <w:b/>
                <w:bCs/>
                <w:sz w:val="16"/>
                <w:szCs w:val="16"/>
              </w:rPr>
            </w:pPr>
            <w:r w:rsidRPr="00E3190C">
              <w:rPr>
                <w:b/>
                <w:bCs/>
                <w:sz w:val="16"/>
                <w:szCs w:val="16"/>
              </w:rPr>
              <w:t xml:space="preserve">Industrial equipment: </w:t>
            </w:r>
          </w:p>
          <w:p w14:paraId="5C6472AC" w14:textId="77777777" w:rsidR="00B20520" w:rsidRPr="00E3190C" w:rsidRDefault="00B20520">
            <w:pPr>
              <w:pStyle w:val="Lijstalinea"/>
              <w:widowControl w:val="0"/>
              <w:numPr>
                <w:ilvl w:val="0"/>
                <w:numId w:val="14"/>
              </w:numPr>
              <w:tabs>
                <w:tab w:val="clear" w:pos="851"/>
                <w:tab w:val="left" w:pos="182"/>
                <w:tab w:val="left" w:pos="1712"/>
              </w:tabs>
              <w:autoSpaceDE w:val="0"/>
              <w:autoSpaceDN w:val="0"/>
              <w:spacing w:before="40" w:after="40" w:line="240" w:lineRule="auto"/>
              <w:ind w:right="363" w:hanging="720"/>
              <w:contextualSpacing w:val="0"/>
              <w:jc w:val="both"/>
              <w:rPr>
                <w:sz w:val="16"/>
                <w:szCs w:val="16"/>
              </w:rPr>
            </w:pPr>
            <w:r w:rsidRPr="00E3190C">
              <w:rPr>
                <w:sz w:val="16"/>
                <w:szCs w:val="16"/>
              </w:rPr>
              <w:t>Feedstock: Up to 2% with some use case base modifications</w:t>
            </w:r>
          </w:p>
          <w:p w14:paraId="14902467" w14:textId="77777777" w:rsidR="00B20520" w:rsidRPr="00E3190C" w:rsidRDefault="00B20520">
            <w:pPr>
              <w:pStyle w:val="Lijstalinea"/>
              <w:widowControl w:val="0"/>
              <w:numPr>
                <w:ilvl w:val="0"/>
                <w:numId w:val="14"/>
              </w:numPr>
              <w:tabs>
                <w:tab w:val="clear" w:pos="851"/>
                <w:tab w:val="left" w:pos="182"/>
                <w:tab w:val="left" w:pos="1712"/>
              </w:tabs>
              <w:autoSpaceDE w:val="0"/>
              <w:autoSpaceDN w:val="0"/>
              <w:spacing w:before="40" w:after="40" w:line="240" w:lineRule="auto"/>
              <w:ind w:right="363" w:hanging="720"/>
              <w:contextualSpacing w:val="0"/>
              <w:jc w:val="both"/>
              <w:rPr>
                <w:sz w:val="16"/>
                <w:szCs w:val="16"/>
              </w:rPr>
            </w:pPr>
            <w:r w:rsidRPr="00E3190C">
              <w:rPr>
                <w:sz w:val="16"/>
                <w:szCs w:val="16"/>
              </w:rPr>
              <w:t>Steam boiler: Up to 5% without modifications</w:t>
            </w:r>
          </w:p>
          <w:p w14:paraId="78D136D1" w14:textId="77777777" w:rsidR="00B20520" w:rsidRPr="00E3190C" w:rsidRDefault="00B20520">
            <w:pPr>
              <w:pStyle w:val="Lijstalinea"/>
              <w:widowControl w:val="0"/>
              <w:numPr>
                <w:ilvl w:val="0"/>
                <w:numId w:val="14"/>
              </w:numPr>
              <w:tabs>
                <w:tab w:val="clear" w:pos="851"/>
                <w:tab w:val="left" w:pos="182"/>
                <w:tab w:val="left" w:pos="1712"/>
              </w:tabs>
              <w:autoSpaceDE w:val="0"/>
              <w:autoSpaceDN w:val="0"/>
              <w:spacing w:before="40" w:after="40" w:line="240" w:lineRule="auto"/>
              <w:ind w:right="363" w:hanging="720"/>
              <w:contextualSpacing w:val="0"/>
              <w:jc w:val="both"/>
              <w:rPr>
                <w:sz w:val="16"/>
                <w:szCs w:val="16"/>
              </w:rPr>
            </w:pPr>
            <w:r w:rsidRPr="00E3190C">
              <w:rPr>
                <w:sz w:val="16"/>
                <w:szCs w:val="16"/>
              </w:rPr>
              <w:t>Industrial thermal processes (uncontrolled): Up to 5% without modifications</w:t>
            </w:r>
          </w:p>
          <w:p w14:paraId="0D30E0FF" w14:textId="77777777" w:rsidR="00B20520" w:rsidRPr="00E3190C" w:rsidRDefault="00B20520">
            <w:pPr>
              <w:pStyle w:val="Lijstalinea"/>
              <w:widowControl w:val="0"/>
              <w:numPr>
                <w:ilvl w:val="0"/>
                <w:numId w:val="14"/>
              </w:numPr>
              <w:tabs>
                <w:tab w:val="clear" w:pos="851"/>
                <w:tab w:val="left" w:pos="182"/>
                <w:tab w:val="left" w:pos="1712"/>
              </w:tabs>
              <w:autoSpaceDE w:val="0"/>
              <w:autoSpaceDN w:val="0"/>
              <w:spacing w:before="40" w:after="40" w:line="240" w:lineRule="auto"/>
              <w:ind w:right="363" w:hanging="720"/>
              <w:contextualSpacing w:val="0"/>
              <w:jc w:val="both"/>
              <w:rPr>
                <w:b/>
                <w:bCs/>
                <w:sz w:val="16"/>
                <w:szCs w:val="16"/>
              </w:rPr>
            </w:pPr>
            <w:r w:rsidRPr="00E3190C">
              <w:rPr>
                <w:sz w:val="16"/>
                <w:szCs w:val="16"/>
              </w:rPr>
              <w:t>Industrial thermal processes (uncontrolled): Up to 5% without modifications</w:t>
            </w:r>
          </w:p>
        </w:tc>
      </w:tr>
    </w:tbl>
    <w:p w14:paraId="1C9BC5BE" w14:textId="2541124A" w:rsidR="00B20520" w:rsidRPr="00787E13" w:rsidRDefault="00B20520" w:rsidP="00B20520">
      <w:pPr>
        <w:spacing w:before="120" w:after="120"/>
        <w:jc w:val="both"/>
        <w:rPr>
          <w:b/>
        </w:rPr>
      </w:pPr>
      <w:r>
        <w:t xml:space="preserve">Studies on the feasibility of hydrogen blending in the natural gas grid in the Baltic region have been undertaken. Based on a study conducted by </w:t>
      </w:r>
      <w:r w:rsidR="002B2FFA">
        <w:t xml:space="preserve">the </w:t>
      </w:r>
      <w:r>
        <w:t xml:space="preserve">Riga Technical University, </w:t>
      </w:r>
      <w:r w:rsidR="002B2FFA">
        <w:t xml:space="preserve">feasible </w:t>
      </w:r>
      <w:r>
        <w:t>hydrogen blending levels in the Estonian, Latvian, and Lithuanian NG grids could range between 5 and 23% (vol.%). As a precondition to any gas blend</w:t>
      </w:r>
      <w:r w:rsidR="002B2FFA">
        <w:t>ing</w:t>
      </w:r>
      <w:r>
        <w:t xml:space="preserve"> percentage,</w:t>
      </w:r>
      <w:r w:rsidRPr="00AE0290">
        <w:t xml:space="preserve"> </w:t>
      </w:r>
      <w:r>
        <w:t>it is</w:t>
      </w:r>
      <w:r w:rsidRPr="00AE0290">
        <w:t xml:space="preserve"> </w:t>
      </w:r>
      <w:r>
        <w:t>of utmost importance</w:t>
      </w:r>
      <w:r w:rsidRPr="00AE0290">
        <w:t xml:space="preserve"> to </w:t>
      </w:r>
      <w:r w:rsidR="002B2FFA">
        <w:t xml:space="preserve">evaluate </w:t>
      </w:r>
      <w:r w:rsidRPr="00AE0290">
        <w:t xml:space="preserve">the readiness of </w:t>
      </w:r>
      <w:r w:rsidR="002B2FFA">
        <w:t xml:space="preserve">the </w:t>
      </w:r>
      <w:r w:rsidRPr="00AE0290">
        <w:t xml:space="preserve">gas grid </w:t>
      </w:r>
      <w:r>
        <w:t xml:space="preserve">components </w:t>
      </w:r>
      <w:r w:rsidRPr="00AE0290">
        <w:t xml:space="preserve">and </w:t>
      </w:r>
      <w:r>
        <w:t xml:space="preserve">end </w:t>
      </w:r>
      <w:r w:rsidRPr="00AE0290">
        <w:t>consumers</w:t>
      </w:r>
      <w:r>
        <w:t xml:space="preserve">’ equipment </w:t>
      </w:r>
      <w:r w:rsidRPr="00AE0290">
        <w:t xml:space="preserve">in </w:t>
      </w:r>
      <w:r>
        <w:t>the concerned countries.</w:t>
      </w:r>
      <w:r w:rsidRPr="00AE0290">
        <w:t xml:space="preserve"> </w:t>
      </w:r>
      <w:r>
        <w:t xml:space="preserve">The </w:t>
      </w:r>
      <w:r w:rsidR="002B2FFA">
        <w:t>feasibility</w:t>
      </w:r>
      <w:r w:rsidRPr="00AE0290">
        <w:t xml:space="preserve"> and safety of hydrogen blend</w:t>
      </w:r>
      <w:r w:rsidR="002B2FFA">
        <w:t>ing level</w:t>
      </w:r>
      <w:r w:rsidRPr="00AE0290">
        <w:t xml:space="preserve">s above 5 %mol </w:t>
      </w:r>
      <w:r>
        <w:t>can only be</w:t>
      </w:r>
      <w:r w:rsidRPr="00AE0290">
        <w:t xml:space="preserve"> </w:t>
      </w:r>
      <w:r w:rsidR="002B2FFA">
        <w:t>confirmed</w:t>
      </w:r>
      <w:r w:rsidRPr="00AE0290">
        <w:t xml:space="preserve">, </w:t>
      </w:r>
      <w:r>
        <w:t xml:space="preserve">after a thorough analysis of </w:t>
      </w:r>
      <w:r w:rsidRPr="00AE0290">
        <w:t>the possible re</w:t>
      </w:r>
      <w:r w:rsidR="002B2FFA">
        <w:t>view</w:t>
      </w:r>
      <w:r w:rsidRPr="00AE0290">
        <w:t xml:space="preserve"> of the minimum requirements for the quality of the grid gas and </w:t>
      </w:r>
      <w:r>
        <w:t xml:space="preserve">an </w:t>
      </w:r>
      <w:r w:rsidRPr="00AE0290">
        <w:t>evaluat</w:t>
      </w:r>
      <w:r>
        <w:t>ion of</w:t>
      </w:r>
      <w:r w:rsidRPr="00AE0290">
        <w:t xml:space="preserve"> the associated risks (primarily related to specific gravity)</w:t>
      </w:r>
      <w:r>
        <w:rPr>
          <w:rStyle w:val="Voetnootmarkering"/>
        </w:rPr>
        <w:footnoteReference w:id="90"/>
      </w:r>
      <w:r>
        <w:t xml:space="preserve">. </w:t>
      </w:r>
    </w:p>
    <w:p w14:paraId="1EFDD52E" w14:textId="6C01A722" w:rsidR="00B20520" w:rsidRDefault="00B20520" w:rsidP="00B20520">
      <w:pPr>
        <w:jc w:val="both"/>
      </w:pPr>
      <w:r w:rsidRPr="35B53AFA">
        <w:t xml:space="preserve">In 2020, </w:t>
      </w:r>
      <w:r>
        <w:t xml:space="preserve">the </w:t>
      </w:r>
      <w:r w:rsidRPr="35B53AFA">
        <w:t xml:space="preserve">Estonian TSO </w:t>
      </w:r>
      <w:proofErr w:type="spellStart"/>
      <w:r w:rsidRPr="35B53AFA">
        <w:t>Elering</w:t>
      </w:r>
      <w:proofErr w:type="spellEnd"/>
      <w:r w:rsidRPr="35B53AFA">
        <w:t xml:space="preserve"> AS </w:t>
      </w:r>
      <w:r>
        <w:t xml:space="preserve">has </w:t>
      </w:r>
      <w:r w:rsidRPr="35B53AFA">
        <w:t>commissioned a study</w:t>
      </w:r>
      <w:r w:rsidRPr="00E66BE0">
        <w:rPr>
          <w:b/>
          <w:bCs/>
          <w:vertAlign w:val="superscript"/>
        </w:rPr>
        <w:fldChar w:fldCharType="begin"/>
      </w:r>
      <w:r w:rsidRPr="00E66BE0">
        <w:rPr>
          <w:b/>
          <w:bCs/>
          <w:vertAlign w:val="superscript"/>
        </w:rPr>
        <w:instrText xml:space="preserve"> NOTEREF _Ref101028220 \h  \* MERGEFORMAT </w:instrText>
      </w:r>
      <w:r w:rsidRPr="00E66BE0">
        <w:rPr>
          <w:b/>
          <w:bCs/>
          <w:vertAlign w:val="superscript"/>
        </w:rPr>
      </w:r>
      <w:r w:rsidRPr="00E66BE0">
        <w:rPr>
          <w:b/>
          <w:bCs/>
          <w:vertAlign w:val="superscript"/>
        </w:rPr>
        <w:fldChar w:fldCharType="separate"/>
      </w:r>
      <w:r w:rsidR="00265258">
        <w:rPr>
          <w:b/>
          <w:bCs/>
          <w:vertAlign w:val="superscript"/>
        </w:rPr>
        <w:t>90</w:t>
      </w:r>
      <w:r w:rsidRPr="00E66BE0">
        <w:rPr>
          <w:b/>
          <w:bCs/>
          <w:vertAlign w:val="superscript"/>
        </w:rPr>
        <w:fldChar w:fldCharType="end"/>
      </w:r>
      <w:r w:rsidRPr="35B53AFA">
        <w:t xml:space="preserve"> (</w:t>
      </w:r>
      <w:r>
        <w:t xml:space="preserve">undertaken </w:t>
      </w:r>
      <w:r w:rsidRPr="35B53AFA">
        <w:t xml:space="preserve">by TALTECH University) to investigate the impacts of hydrogen and synthetic gas on transmission pipelines and end-user equipment. As </w:t>
      </w:r>
      <w:r>
        <w:t xml:space="preserve">the different categories of </w:t>
      </w:r>
      <w:r w:rsidRPr="35B53AFA">
        <w:t>consumer</w:t>
      </w:r>
      <w:r>
        <w:t>s</w:t>
      </w:r>
      <w:r w:rsidRPr="35B53AFA">
        <w:t xml:space="preserve"> ha</w:t>
      </w:r>
      <w:r>
        <w:t>ve</w:t>
      </w:r>
      <w:r w:rsidRPr="35B53AFA">
        <w:t xml:space="preserve"> different end-use limitations,</w:t>
      </w:r>
      <w:r>
        <w:t xml:space="preserve"> a uniform</w:t>
      </w:r>
      <w:r w:rsidRPr="35B53AFA">
        <w:t xml:space="preserve"> </w:t>
      </w:r>
      <w:r w:rsidR="008B2556">
        <w:t xml:space="preserve">high level </w:t>
      </w:r>
      <w:r w:rsidRPr="35B53AFA">
        <w:t>blend</w:t>
      </w:r>
      <w:r w:rsidR="002B2FFA">
        <w:t>ing</w:t>
      </w:r>
      <w:r w:rsidRPr="35B53AFA">
        <w:t xml:space="preserve"> percentage for </w:t>
      </w:r>
      <w:r>
        <w:t>all</w:t>
      </w:r>
      <w:r w:rsidRPr="35B53AFA">
        <w:t xml:space="preserve"> end</w:t>
      </w:r>
      <w:r>
        <w:t>-users</w:t>
      </w:r>
      <w:r w:rsidRPr="35B53AFA">
        <w:t xml:space="preserve"> can give rise to problems</w:t>
      </w:r>
      <w:r w:rsidR="008B2556">
        <w:t>, in this case, certain level of end user limitations for H</w:t>
      </w:r>
      <w:r w:rsidR="008B2556" w:rsidRPr="000B0BFC">
        <w:rPr>
          <w:vertAlign w:val="subscript"/>
        </w:rPr>
        <w:t>2</w:t>
      </w:r>
      <w:r w:rsidR="008B2556">
        <w:t xml:space="preserve"> blending is considered. </w:t>
      </w:r>
      <w:r w:rsidRPr="35B53AFA">
        <w:t xml:space="preserve">The key findings of the study on the maximum allowable limit of hydrogen </w:t>
      </w:r>
      <w:r w:rsidR="002B2FFA">
        <w:t xml:space="preserve">admixture </w:t>
      </w:r>
      <w:r w:rsidRPr="35B53AFA">
        <w:t xml:space="preserve">in the NG grid for various </w:t>
      </w:r>
      <w:r>
        <w:t xml:space="preserve">types of </w:t>
      </w:r>
      <w:r w:rsidRPr="35B53AFA">
        <w:t>end</w:t>
      </w:r>
      <w:r>
        <w:t>-users</w:t>
      </w:r>
      <w:r w:rsidRPr="35B53AFA">
        <w:t xml:space="preserve"> are presented in </w:t>
      </w:r>
      <w:r w:rsidRPr="0017588D">
        <w:rPr>
          <w:b/>
          <w:bCs/>
        </w:rPr>
        <w:fldChar w:fldCharType="begin"/>
      </w:r>
      <w:r w:rsidRPr="0017588D">
        <w:rPr>
          <w:b/>
          <w:bCs/>
        </w:rPr>
        <w:instrText xml:space="preserve"> REF _Ref103385708 \h </w:instrText>
      </w:r>
      <w:r>
        <w:rPr>
          <w:b/>
          <w:bCs/>
        </w:rPr>
        <w:instrText xml:space="preserve"> \* MERGEFORMAT </w:instrText>
      </w:r>
      <w:r w:rsidRPr="0017588D">
        <w:rPr>
          <w:b/>
          <w:bCs/>
        </w:rPr>
      </w:r>
      <w:r w:rsidRPr="0017588D">
        <w:rPr>
          <w:b/>
          <w:bCs/>
        </w:rPr>
        <w:fldChar w:fldCharType="separate"/>
      </w:r>
      <w:r w:rsidR="00265258" w:rsidRPr="000B0BFC">
        <w:rPr>
          <w:b/>
          <w:bCs/>
          <w:sz w:val="16"/>
          <w:szCs w:val="16"/>
        </w:rPr>
        <w:t xml:space="preserve">Table </w:t>
      </w:r>
      <w:r w:rsidR="00265258" w:rsidRPr="000B0BFC">
        <w:rPr>
          <w:b/>
          <w:bCs/>
          <w:noProof/>
          <w:szCs w:val="16"/>
        </w:rPr>
        <w:t>6</w:t>
      </w:r>
      <w:r w:rsidR="00265258" w:rsidRPr="000B0BFC">
        <w:rPr>
          <w:b/>
          <w:bCs/>
          <w:noProof/>
          <w:szCs w:val="16"/>
        </w:rPr>
        <w:noBreakHyphen/>
        <w:t>13</w:t>
      </w:r>
      <w:r w:rsidRPr="0017588D">
        <w:rPr>
          <w:b/>
          <w:bCs/>
        </w:rPr>
        <w:fldChar w:fldCharType="end"/>
      </w:r>
      <w:r w:rsidRPr="35B53AFA">
        <w:t xml:space="preserve">. </w:t>
      </w:r>
      <w:r>
        <w:t xml:space="preserve">The values presented in the following table may differ </w:t>
      </w:r>
      <w:r w:rsidRPr="35B53AFA">
        <w:t xml:space="preserve">from the actual limitations in </w:t>
      </w:r>
      <w:r>
        <w:t xml:space="preserve">the </w:t>
      </w:r>
      <w:r w:rsidRPr="35B53AFA">
        <w:t>Estonian gas grids or end consumer devices</w:t>
      </w:r>
      <w:r>
        <w:t>, r</w:t>
      </w:r>
      <w:r w:rsidRPr="35B53AFA">
        <w:t>esulting in possible safety concerns for end-users.</w:t>
      </w:r>
    </w:p>
    <w:p w14:paraId="0AE8004F" w14:textId="69FA2467" w:rsidR="00B20520" w:rsidRPr="00575503" w:rsidRDefault="00B20520" w:rsidP="00B20520">
      <w:pPr>
        <w:pStyle w:val="Bijschrift"/>
        <w:spacing w:before="240"/>
        <w:rPr>
          <w:iCs/>
          <w:color w:val="3C5571" w:themeColor="text2"/>
        </w:rPr>
      </w:pPr>
      <w:bookmarkStart w:id="128" w:name="_Ref103385708"/>
      <w:bookmarkStart w:id="129" w:name="_Ref103385658"/>
      <w:r w:rsidRPr="000966B0">
        <w:rPr>
          <w:szCs w:val="16"/>
        </w:rPr>
        <w:lastRenderedPageBreak/>
        <w:t xml:space="preserve">Table </w:t>
      </w:r>
      <w:r w:rsidR="004F3F0A">
        <w:rPr>
          <w:szCs w:val="16"/>
        </w:rPr>
        <w:fldChar w:fldCharType="begin"/>
      </w:r>
      <w:r w:rsidR="004F3F0A">
        <w:rPr>
          <w:szCs w:val="16"/>
        </w:rPr>
        <w:instrText xml:space="preserve"> STYLEREF 1 \s </w:instrText>
      </w:r>
      <w:r w:rsidR="004F3F0A">
        <w:rPr>
          <w:szCs w:val="16"/>
        </w:rPr>
        <w:fldChar w:fldCharType="separate"/>
      </w:r>
      <w:r w:rsidR="00265258">
        <w:rPr>
          <w:noProof/>
          <w:szCs w:val="16"/>
        </w:rPr>
        <w:t>6</w:t>
      </w:r>
      <w:r w:rsidR="004F3F0A">
        <w:rPr>
          <w:szCs w:val="16"/>
        </w:rPr>
        <w:fldChar w:fldCharType="end"/>
      </w:r>
      <w:r w:rsidR="004F3F0A">
        <w:rPr>
          <w:szCs w:val="16"/>
        </w:rPr>
        <w:noBreakHyphen/>
      </w:r>
      <w:r w:rsidR="004F3F0A">
        <w:rPr>
          <w:szCs w:val="16"/>
        </w:rPr>
        <w:fldChar w:fldCharType="begin"/>
      </w:r>
      <w:r w:rsidR="004F3F0A">
        <w:rPr>
          <w:szCs w:val="16"/>
        </w:rPr>
        <w:instrText xml:space="preserve"> SEQ Table \* ARABIC \s 1 </w:instrText>
      </w:r>
      <w:r w:rsidR="004F3F0A">
        <w:rPr>
          <w:szCs w:val="16"/>
        </w:rPr>
        <w:fldChar w:fldCharType="separate"/>
      </w:r>
      <w:r w:rsidR="00265258">
        <w:rPr>
          <w:noProof/>
          <w:szCs w:val="16"/>
        </w:rPr>
        <w:t>13</w:t>
      </w:r>
      <w:r w:rsidR="004F3F0A">
        <w:rPr>
          <w:szCs w:val="16"/>
        </w:rPr>
        <w:fldChar w:fldCharType="end"/>
      </w:r>
      <w:bookmarkEnd w:id="128"/>
      <w:r w:rsidRPr="000966B0">
        <w:rPr>
          <w:b w:val="0"/>
          <w:bCs w:val="0"/>
          <w:iCs/>
          <w:color w:val="3C5571" w:themeColor="text2"/>
          <w:szCs w:val="16"/>
        </w:rPr>
        <w:t>.</w:t>
      </w:r>
      <w:r w:rsidRPr="000966B0">
        <w:rPr>
          <w:b w:val="0"/>
          <w:color w:val="3C5571" w:themeColor="text2"/>
          <w:szCs w:val="16"/>
        </w:rPr>
        <w:t xml:space="preserve"> </w:t>
      </w:r>
      <w:r>
        <w:rPr>
          <w:iCs/>
          <w:color w:val="3C5571" w:themeColor="text2"/>
        </w:rPr>
        <w:t>Hydrogen blend</w:t>
      </w:r>
      <w:r w:rsidR="00A033AA">
        <w:rPr>
          <w:iCs/>
          <w:color w:val="3C5571" w:themeColor="text2"/>
        </w:rPr>
        <w:t>ing</w:t>
      </w:r>
      <w:r>
        <w:rPr>
          <w:iCs/>
          <w:color w:val="3C5571" w:themeColor="text2"/>
        </w:rPr>
        <w:t xml:space="preserve"> allowable limits for end-users and NG infrastructure</w:t>
      </w:r>
      <w:bookmarkStart w:id="130" w:name="_Ref101028220"/>
      <w:r w:rsidRPr="000966B0">
        <w:rPr>
          <w:rStyle w:val="Voetnootmarkering"/>
          <w:color w:val="005962" w:themeColor="accent1"/>
          <w:szCs w:val="16"/>
        </w:rPr>
        <w:footnoteReference w:id="91"/>
      </w:r>
      <w:bookmarkEnd w:id="129"/>
      <w:bookmarkEnd w:id="130"/>
    </w:p>
    <w:tbl>
      <w:tblPr>
        <w:tblStyle w:val="Table1"/>
        <w:tblW w:w="0" w:type="auto"/>
        <w:tblLook w:val="04A0" w:firstRow="1" w:lastRow="0" w:firstColumn="1" w:lastColumn="0" w:noHBand="0" w:noVBand="1"/>
      </w:tblPr>
      <w:tblGrid>
        <w:gridCol w:w="5211"/>
        <w:gridCol w:w="3238"/>
      </w:tblGrid>
      <w:tr w:rsidR="00B20520" w14:paraId="23445CC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66" w:type="dxa"/>
          </w:tcPr>
          <w:p w14:paraId="01608BD4" w14:textId="77777777" w:rsidR="00B20520" w:rsidRPr="0042177F" w:rsidRDefault="00B20520">
            <w:pPr>
              <w:spacing w:before="60" w:after="60"/>
              <w:ind w:hanging="109"/>
              <w:rPr>
                <w:rFonts w:ascii="Trebuchet MS" w:hAnsi="Trebuchet MS"/>
              </w:rPr>
            </w:pPr>
            <w:r w:rsidRPr="0042177F">
              <w:rPr>
                <w:rFonts w:ascii="Trebuchet MS" w:hAnsi="Trebuchet MS"/>
              </w:rPr>
              <w:t>Limiting factors, components/elements</w:t>
            </w:r>
          </w:p>
        </w:tc>
        <w:tc>
          <w:tcPr>
            <w:tcW w:w="3544" w:type="dxa"/>
          </w:tcPr>
          <w:p w14:paraId="6FE0EF2C" w14:textId="77777777" w:rsidR="00B20520" w:rsidRPr="0042177F" w:rsidRDefault="00B20520">
            <w:pPr>
              <w:spacing w:before="60" w:after="60"/>
              <w:ind w:left="107" w:hanging="51"/>
              <w:cnfStyle w:val="100000000000" w:firstRow="1" w:lastRow="0" w:firstColumn="0" w:lastColumn="0" w:oddVBand="0" w:evenVBand="0" w:oddHBand="0" w:evenHBand="0" w:firstRowFirstColumn="0" w:firstRowLastColumn="0" w:lastRowFirstColumn="0" w:lastRowLastColumn="0"/>
              <w:rPr>
                <w:rFonts w:ascii="Trebuchet MS" w:hAnsi="Trebuchet MS"/>
              </w:rPr>
            </w:pPr>
            <w:r w:rsidRPr="0042177F">
              <w:rPr>
                <w:rFonts w:ascii="Trebuchet MS" w:hAnsi="Trebuchet MS"/>
              </w:rPr>
              <w:t>Permissible concentration</w:t>
            </w:r>
          </w:p>
        </w:tc>
      </w:tr>
      <w:tr w:rsidR="00B20520" w14:paraId="5E36C9A8" w14:textId="77777777">
        <w:tc>
          <w:tcPr>
            <w:cnfStyle w:val="001000000000" w:firstRow="0" w:lastRow="0" w:firstColumn="1" w:lastColumn="0" w:oddVBand="0" w:evenVBand="0" w:oddHBand="0" w:evenHBand="0" w:firstRowFirstColumn="0" w:firstRowLastColumn="0" w:lastRowFirstColumn="0" w:lastRowLastColumn="0"/>
            <w:tcW w:w="5666" w:type="dxa"/>
          </w:tcPr>
          <w:p w14:paraId="10A9068F" w14:textId="77777777" w:rsidR="00B20520" w:rsidRDefault="00B20520">
            <w:pPr>
              <w:spacing w:before="40" w:after="40"/>
              <w:ind w:left="458"/>
            </w:pPr>
            <w:r w:rsidRPr="00DD76DC">
              <w:t>CNG transport</w:t>
            </w:r>
          </w:p>
        </w:tc>
        <w:tc>
          <w:tcPr>
            <w:tcW w:w="3544" w:type="dxa"/>
          </w:tcPr>
          <w:p w14:paraId="3F6D4682" w14:textId="77777777"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rsidRPr="004A639F">
              <w:t>up to 2 %mol</w:t>
            </w:r>
          </w:p>
        </w:tc>
      </w:tr>
      <w:tr w:rsidR="00B20520" w14:paraId="2AE2E4DA" w14:textId="77777777">
        <w:tc>
          <w:tcPr>
            <w:cnfStyle w:val="001000000000" w:firstRow="0" w:lastRow="0" w:firstColumn="1" w:lastColumn="0" w:oddVBand="0" w:evenVBand="0" w:oddHBand="0" w:evenHBand="0" w:firstRowFirstColumn="0" w:firstRowLastColumn="0" w:lastRowFirstColumn="0" w:lastRowLastColumn="0"/>
            <w:tcW w:w="5666" w:type="dxa"/>
          </w:tcPr>
          <w:p w14:paraId="76E32977" w14:textId="77777777" w:rsidR="00B20520" w:rsidRDefault="00B20520">
            <w:pPr>
              <w:spacing w:before="40" w:after="40"/>
              <w:ind w:left="458"/>
            </w:pPr>
            <w:r w:rsidRPr="00AF7A9B">
              <w:t>Gas turbines</w:t>
            </w:r>
          </w:p>
        </w:tc>
        <w:tc>
          <w:tcPr>
            <w:tcW w:w="3544" w:type="dxa"/>
          </w:tcPr>
          <w:p w14:paraId="03BAA89B" w14:textId="77777777"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rsidRPr="004A639F">
              <w:t>up to 2 %mol</w:t>
            </w:r>
          </w:p>
        </w:tc>
      </w:tr>
      <w:tr w:rsidR="00B20520" w14:paraId="1024B568" w14:textId="77777777">
        <w:tc>
          <w:tcPr>
            <w:cnfStyle w:val="001000000000" w:firstRow="0" w:lastRow="0" w:firstColumn="1" w:lastColumn="0" w:oddVBand="0" w:evenVBand="0" w:oddHBand="0" w:evenHBand="0" w:firstRowFirstColumn="0" w:firstRowLastColumn="0" w:lastRowFirstColumn="0" w:lastRowLastColumn="0"/>
            <w:tcW w:w="5666" w:type="dxa"/>
          </w:tcPr>
          <w:p w14:paraId="5D724EEB" w14:textId="77777777" w:rsidR="00B20520" w:rsidRDefault="00B20520">
            <w:pPr>
              <w:spacing w:before="40" w:after="40"/>
              <w:ind w:left="458"/>
            </w:pPr>
            <w:r>
              <w:t>Sensitive to the quality of natural gas as a raw material industrial consumer</w:t>
            </w:r>
          </w:p>
        </w:tc>
        <w:tc>
          <w:tcPr>
            <w:tcW w:w="3544" w:type="dxa"/>
          </w:tcPr>
          <w:p w14:paraId="054A7167" w14:textId="77777777"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t xml:space="preserve">case-by-case, as a rule </w:t>
            </w:r>
          </w:p>
          <w:p w14:paraId="13ED42B4" w14:textId="77777777"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t>up to 2 %mol</w:t>
            </w:r>
          </w:p>
        </w:tc>
      </w:tr>
      <w:tr w:rsidR="00B20520" w14:paraId="3A10B559" w14:textId="77777777">
        <w:tc>
          <w:tcPr>
            <w:cnfStyle w:val="001000000000" w:firstRow="0" w:lastRow="0" w:firstColumn="1" w:lastColumn="0" w:oddVBand="0" w:evenVBand="0" w:oddHBand="0" w:evenHBand="0" w:firstRowFirstColumn="0" w:firstRowLastColumn="0" w:lastRowFirstColumn="0" w:lastRowLastColumn="0"/>
            <w:tcW w:w="5666" w:type="dxa"/>
          </w:tcPr>
          <w:p w14:paraId="6B500B3B" w14:textId="77777777" w:rsidR="00B20520" w:rsidRDefault="00B20520">
            <w:pPr>
              <w:spacing w:before="40" w:after="40"/>
              <w:ind w:left="458"/>
            </w:pPr>
            <w:r w:rsidRPr="00B70CBF">
              <w:t>Compressors (natural gas transmission network)</w:t>
            </w:r>
          </w:p>
        </w:tc>
        <w:tc>
          <w:tcPr>
            <w:tcW w:w="3544" w:type="dxa"/>
          </w:tcPr>
          <w:p w14:paraId="78CBB5F7" w14:textId="77777777"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rsidRPr="00DB0797">
              <w:t>up to 5 %mol</w:t>
            </w:r>
          </w:p>
        </w:tc>
      </w:tr>
      <w:tr w:rsidR="00B20520" w14:paraId="579E0BFB" w14:textId="77777777">
        <w:tc>
          <w:tcPr>
            <w:cnfStyle w:val="001000000000" w:firstRow="0" w:lastRow="0" w:firstColumn="1" w:lastColumn="0" w:oddVBand="0" w:evenVBand="0" w:oddHBand="0" w:evenHBand="0" w:firstRowFirstColumn="0" w:firstRowLastColumn="0" w:lastRowFirstColumn="0" w:lastRowLastColumn="0"/>
            <w:tcW w:w="5666" w:type="dxa"/>
          </w:tcPr>
          <w:p w14:paraId="2E09F179" w14:textId="77777777" w:rsidR="00B20520" w:rsidRDefault="00B20520">
            <w:pPr>
              <w:spacing w:before="40" w:after="40"/>
              <w:ind w:left="458"/>
            </w:pPr>
            <w:r>
              <w:t>Density of hydrogen/ natural gas mixture compliance</w:t>
            </w:r>
          </w:p>
        </w:tc>
        <w:tc>
          <w:tcPr>
            <w:tcW w:w="3544" w:type="dxa"/>
          </w:tcPr>
          <w:p w14:paraId="4E817623" w14:textId="77777777"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rsidRPr="008540D1">
              <w:t>up to 5 %mol</w:t>
            </w:r>
          </w:p>
        </w:tc>
      </w:tr>
      <w:tr w:rsidR="00B20520" w14:paraId="032D965E" w14:textId="77777777">
        <w:tc>
          <w:tcPr>
            <w:cnfStyle w:val="001000000000" w:firstRow="0" w:lastRow="0" w:firstColumn="1" w:lastColumn="0" w:oddVBand="0" w:evenVBand="0" w:oddHBand="0" w:evenHBand="0" w:firstRowFirstColumn="0" w:firstRowLastColumn="0" w:lastRowFirstColumn="0" w:lastRowLastColumn="0"/>
            <w:tcW w:w="5666" w:type="dxa"/>
          </w:tcPr>
          <w:p w14:paraId="653E9245" w14:textId="77777777" w:rsidR="00B20520" w:rsidRDefault="00B20520">
            <w:pPr>
              <w:spacing w:before="40" w:after="40"/>
              <w:ind w:left="458"/>
            </w:pPr>
            <w:r w:rsidRPr="009F6865">
              <w:t>FID and DIAL type natural gas detection equipment</w:t>
            </w:r>
          </w:p>
        </w:tc>
        <w:tc>
          <w:tcPr>
            <w:tcW w:w="3544" w:type="dxa"/>
          </w:tcPr>
          <w:p w14:paraId="2C7E4519" w14:textId="4099A70F"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t>do not detect hydrogen or behave incorrectly</w:t>
            </w:r>
          </w:p>
        </w:tc>
      </w:tr>
      <w:tr w:rsidR="00B20520" w14:paraId="53883F48" w14:textId="77777777">
        <w:tc>
          <w:tcPr>
            <w:cnfStyle w:val="001000000000" w:firstRow="0" w:lastRow="0" w:firstColumn="1" w:lastColumn="0" w:oddVBand="0" w:evenVBand="0" w:oddHBand="0" w:evenHBand="0" w:firstRowFirstColumn="0" w:firstRowLastColumn="0" w:lastRowFirstColumn="0" w:lastRowLastColumn="0"/>
            <w:tcW w:w="5666" w:type="dxa"/>
          </w:tcPr>
          <w:p w14:paraId="06EE562A" w14:textId="77777777" w:rsidR="00B20520" w:rsidRDefault="00B20520">
            <w:pPr>
              <w:spacing w:before="40" w:after="40"/>
              <w:ind w:left="458"/>
            </w:pPr>
            <w:r w:rsidRPr="008F49C7">
              <w:t>Pigging station</w:t>
            </w:r>
          </w:p>
        </w:tc>
        <w:tc>
          <w:tcPr>
            <w:tcW w:w="3544" w:type="dxa"/>
          </w:tcPr>
          <w:p w14:paraId="006C3DB7" w14:textId="61AAC7F5" w:rsidR="00B20520" w:rsidRDefault="00A033AA">
            <w:pPr>
              <w:spacing w:before="40" w:after="40"/>
              <w:ind w:left="107" w:hanging="51"/>
              <w:cnfStyle w:val="000000000000" w:firstRow="0" w:lastRow="0" w:firstColumn="0" w:lastColumn="0" w:oddVBand="0" w:evenVBand="0" w:oddHBand="0" w:evenHBand="0" w:firstRowFirstColumn="0" w:firstRowLastColumn="0" w:lastRowFirstColumn="0" w:lastRowLastColumn="0"/>
            </w:pPr>
            <w:r>
              <w:t>n</w:t>
            </w:r>
            <w:r w:rsidR="00B20520" w:rsidRPr="0027246B">
              <w:t>o information available</w:t>
            </w:r>
          </w:p>
        </w:tc>
      </w:tr>
      <w:tr w:rsidR="00B20520" w14:paraId="169F4467" w14:textId="77777777">
        <w:tc>
          <w:tcPr>
            <w:cnfStyle w:val="001000000000" w:firstRow="0" w:lastRow="0" w:firstColumn="1" w:lastColumn="0" w:oddVBand="0" w:evenVBand="0" w:oddHBand="0" w:evenHBand="0" w:firstRowFirstColumn="0" w:firstRowLastColumn="0" w:lastRowFirstColumn="0" w:lastRowLastColumn="0"/>
            <w:tcW w:w="5666" w:type="dxa"/>
          </w:tcPr>
          <w:p w14:paraId="2CF08561" w14:textId="77777777" w:rsidR="00B20520" w:rsidRPr="009E6BBA" w:rsidRDefault="00B20520">
            <w:pPr>
              <w:spacing w:before="40" w:after="40"/>
              <w:ind w:left="458"/>
            </w:pPr>
            <w:r w:rsidRPr="00027A16">
              <w:t>Natural gas cast iron pipeline</w:t>
            </w:r>
          </w:p>
        </w:tc>
        <w:tc>
          <w:tcPr>
            <w:tcW w:w="3544" w:type="dxa"/>
          </w:tcPr>
          <w:p w14:paraId="22399895" w14:textId="77777777" w:rsidR="00B20520" w:rsidRDefault="00B20520">
            <w:pPr>
              <w:spacing w:before="40" w:after="40"/>
              <w:ind w:left="107" w:hanging="51"/>
              <w:cnfStyle w:val="000000000000" w:firstRow="0" w:lastRow="0" w:firstColumn="0" w:lastColumn="0" w:oddVBand="0" w:evenVBand="0" w:oddHBand="0" w:evenHBand="0" w:firstRowFirstColumn="0" w:firstRowLastColumn="0" w:lastRowFirstColumn="0" w:lastRowLastColumn="0"/>
            </w:pPr>
            <w:r w:rsidRPr="006C70E6">
              <w:t>no information</w:t>
            </w:r>
          </w:p>
        </w:tc>
      </w:tr>
    </w:tbl>
    <w:p w14:paraId="770FE6B3" w14:textId="77777777" w:rsidR="00B20520" w:rsidRDefault="00B20520" w:rsidP="00B20520">
      <w:pPr>
        <w:ind w:left="-810"/>
        <w:jc w:val="both"/>
        <w:rPr>
          <w:bdr w:val="none" w:sz="0" w:space="0" w:color="auto" w:frame="1"/>
          <w:shd w:val="clear" w:color="auto" w:fill="FFFFFF"/>
          <w:lang w:val="en-CA"/>
        </w:rPr>
      </w:pPr>
    </w:p>
    <w:p w14:paraId="38126594" w14:textId="6FC5F637" w:rsidR="00B20520" w:rsidRPr="00F36B2F" w:rsidRDefault="00B20520" w:rsidP="00B20520">
      <w:pPr>
        <w:pStyle w:val="Bijschrift"/>
        <w:rPr>
          <w:b w:val="0"/>
          <w:bCs w:val="0"/>
          <w:color w:val="auto"/>
          <w:sz w:val="18"/>
        </w:rPr>
      </w:pPr>
      <w:r w:rsidRPr="00F36B2F">
        <w:rPr>
          <w:b w:val="0"/>
          <w:bCs w:val="0"/>
          <w:color w:val="auto"/>
          <w:sz w:val="18"/>
        </w:rPr>
        <w:t xml:space="preserve">The </w:t>
      </w:r>
      <w:r>
        <w:rPr>
          <w:b w:val="0"/>
          <w:bCs w:val="0"/>
          <w:color w:val="auto"/>
          <w:sz w:val="18"/>
        </w:rPr>
        <w:t xml:space="preserve">current maximum possible hydrogen blending levels in NG grid in </w:t>
      </w:r>
      <w:r w:rsidR="00A033AA">
        <w:rPr>
          <w:b w:val="0"/>
          <w:bCs w:val="0"/>
          <w:color w:val="auto"/>
          <w:sz w:val="18"/>
        </w:rPr>
        <w:t xml:space="preserve">the </w:t>
      </w:r>
      <w:r>
        <w:rPr>
          <w:b w:val="0"/>
          <w:bCs w:val="0"/>
          <w:color w:val="auto"/>
          <w:sz w:val="18"/>
        </w:rPr>
        <w:t>Baltic</w:t>
      </w:r>
      <w:r w:rsidR="00A033AA">
        <w:rPr>
          <w:b w:val="0"/>
          <w:bCs w:val="0"/>
          <w:color w:val="auto"/>
          <w:sz w:val="18"/>
        </w:rPr>
        <w:t>-</w:t>
      </w:r>
      <w:r>
        <w:rPr>
          <w:b w:val="0"/>
          <w:bCs w:val="0"/>
          <w:color w:val="auto"/>
          <w:sz w:val="18"/>
        </w:rPr>
        <w:t xml:space="preserve">Finnish zone are presented in the following table. </w:t>
      </w:r>
    </w:p>
    <w:p w14:paraId="34CF9EAE" w14:textId="0E89E79D" w:rsidR="00B20520" w:rsidRDefault="00B20520" w:rsidP="00B20520">
      <w:pPr>
        <w:pStyle w:val="Bijschrift"/>
        <w:rPr>
          <w:bdr w:val="none" w:sz="0" w:space="0" w:color="auto" w:frame="1"/>
          <w:shd w:val="clear" w:color="auto" w:fill="FFFFFF"/>
          <w:lang w:val="en-CA"/>
        </w:rPr>
      </w:pPr>
      <w:r>
        <w:t xml:space="preserve">Table </w:t>
      </w:r>
      <w:r w:rsidR="006D12F8">
        <w:fldChar w:fldCharType="begin"/>
      </w:r>
      <w:r w:rsidR="006D12F8">
        <w:instrText xml:space="preserve"> STYLEREF 1 \s </w:instrText>
      </w:r>
      <w:r w:rsidR="006D12F8">
        <w:fldChar w:fldCharType="separate"/>
      </w:r>
      <w:r w:rsidR="00265258">
        <w:rPr>
          <w:noProof/>
        </w:rPr>
        <w:t>6</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14</w:t>
      </w:r>
      <w:r w:rsidR="006D12F8">
        <w:rPr>
          <w:noProof/>
        </w:rPr>
        <w:fldChar w:fldCharType="end"/>
      </w:r>
      <w:r>
        <w:t xml:space="preserve">. </w:t>
      </w:r>
      <w:r>
        <w:rPr>
          <w:bdr w:val="none" w:sz="0" w:space="0" w:color="auto" w:frame="1"/>
          <w:shd w:val="clear" w:color="auto" w:fill="FFFFFF"/>
          <w:lang w:val="en-CA"/>
        </w:rPr>
        <w:t xml:space="preserve">Maximum hydrogen blending level accepted by the national </w:t>
      </w:r>
      <w:r w:rsidR="00A033AA">
        <w:rPr>
          <w:bdr w:val="none" w:sz="0" w:space="0" w:color="auto" w:frame="1"/>
          <w:shd w:val="clear" w:color="auto" w:fill="FFFFFF"/>
          <w:lang w:val="en-CA"/>
        </w:rPr>
        <w:t xml:space="preserve">network </w:t>
      </w:r>
      <w:r>
        <w:rPr>
          <w:bdr w:val="none" w:sz="0" w:space="0" w:color="auto" w:frame="1"/>
          <w:shd w:val="clear" w:color="auto" w:fill="FFFFFF"/>
          <w:lang w:val="en-CA"/>
        </w:rPr>
        <w:t>operator</w:t>
      </w:r>
    </w:p>
    <w:tbl>
      <w:tblPr>
        <w:tblStyle w:val="Table1"/>
        <w:tblW w:w="0" w:type="auto"/>
        <w:tblLook w:val="04A0" w:firstRow="1" w:lastRow="0" w:firstColumn="1" w:lastColumn="0" w:noHBand="0" w:noVBand="1"/>
      </w:tblPr>
      <w:tblGrid>
        <w:gridCol w:w="3775"/>
        <w:gridCol w:w="4674"/>
      </w:tblGrid>
      <w:tr w:rsidR="00B20520" w:rsidRPr="00DB16E2" w14:paraId="1D11887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86" w:type="dxa"/>
          </w:tcPr>
          <w:p w14:paraId="1C0750BB" w14:textId="77777777" w:rsidR="00B20520" w:rsidRPr="0042177F" w:rsidRDefault="00B20520">
            <w:pPr>
              <w:spacing w:before="60" w:after="60"/>
              <w:jc w:val="center"/>
              <w:rPr>
                <w:rFonts w:ascii="Trebuchet MS" w:hAnsi="Trebuchet MS"/>
                <w:b w:val="0"/>
                <w:szCs w:val="16"/>
              </w:rPr>
            </w:pPr>
            <w:r w:rsidRPr="0042177F">
              <w:rPr>
                <w:rFonts w:ascii="Trebuchet MS" w:hAnsi="Trebuchet MS"/>
                <w:b w:val="0"/>
                <w:szCs w:val="16"/>
              </w:rPr>
              <w:t>Country</w:t>
            </w:r>
          </w:p>
        </w:tc>
        <w:tc>
          <w:tcPr>
            <w:tcW w:w="5124" w:type="dxa"/>
          </w:tcPr>
          <w:p w14:paraId="5FB0CF67" w14:textId="1883919F" w:rsidR="00B20520" w:rsidRPr="0042177F" w:rsidRDefault="00B20520">
            <w:pPr>
              <w:spacing w:before="60" w:after="60"/>
              <w:cnfStyle w:val="100000000000" w:firstRow="1" w:lastRow="0" w:firstColumn="0" w:lastColumn="0" w:oddVBand="0" w:evenVBand="0" w:oddHBand="0" w:evenHBand="0" w:firstRowFirstColumn="0" w:firstRowLastColumn="0" w:lastRowFirstColumn="0" w:lastRowLastColumn="0"/>
              <w:rPr>
                <w:rFonts w:ascii="Trebuchet MS" w:hAnsi="Trebuchet MS"/>
                <w:b w:val="0"/>
                <w:szCs w:val="16"/>
              </w:rPr>
            </w:pPr>
            <w:r w:rsidRPr="0042177F">
              <w:rPr>
                <w:rFonts w:ascii="Trebuchet MS" w:hAnsi="Trebuchet MS"/>
                <w:b w:val="0"/>
                <w:szCs w:val="16"/>
              </w:rPr>
              <w:t xml:space="preserve">Maximum </w:t>
            </w:r>
            <w:r w:rsidR="00A033AA">
              <w:rPr>
                <w:rFonts w:ascii="Trebuchet MS" w:hAnsi="Trebuchet MS"/>
                <w:b w:val="0"/>
                <w:szCs w:val="16"/>
              </w:rPr>
              <w:t>b</w:t>
            </w:r>
            <w:r w:rsidRPr="0042177F">
              <w:rPr>
                <w:rFonts w:ascii="Trebuchet MS" w:hAnsi="Trebuchet MS"/>
                <w:b w:val="0"/>
                <w:szCs w:val="16"/>
              </w:rPr>
              <w:t xml:space="preserve">lending level in </w:t>
            </w:r>
            <w:r>
              <w:rPr>
                <w:rFonts w:ascii="Trebuchet MS" w:hAnsi="Trebuchet MS"/>
                <w:b w:val="0"/>
                <w:szCs w:val="16"/>
              </w:rPr>
              <w:t>vol</w:t>
            </w:r>
            <w:r w:rsidRPr="0042177F">
              <w:rPr>
                <w:rFonts w:ascii="Trebuchet MS" w:hAnsi="Trebuchet MS"/>
                <w:szCs w:val="16"/>
              </w:rPr>
              <w:t>%</w:t>
            </w:r>
          </w:p>
        </w:tc>
      </w:tr>
      <w:tr w:rsidR="00B20520" w14:paraId="2C9549F1" w14:textId="77777777">
        <w:tc>
          <w:tcPr>
            <w:cnfStyle w:val="001000000000" w:firstRow="0" w:lastRow="0" w:firstColumn="1" w:lastColumn="0" w:oddVBand="0" w:evenVBand="0" w:oddHBand="0" w:evenHBand="0" w:firstRowFirstColumn="0" w:firstRowLastColumn="0" w:lastRowFirstColumn="0" w:lastRowLastColumn="0"/>
            <w:tcW w:w="4086" w:type="dxa"/>
            <w:vAlign w:val="top"/>
          </w:tcPr>
          <w:p w14:paraId="44AD4C91" w14:textId="6D96C327" w:rsidR="00B20520" w:rsidRDefault="00B20520">
            <w:pPr>
              <w:spacing w:before="40" w:after="40"/>
              <w:jc w:val="center"/>
            </w:pPr>
            <w:r>
              <w:t>Estonia</w:t>
            </w:r>
            <w:r w:rsidRPr="008D7A6A">
              <w:rPr>
                <w:vertAlign w:val="superscript"/>
              </w:rPr>
              <w:fldChar w:fldCharType="begin"/>
            </w:r>
            <w:r w:rsidRPr="008D7A6A">
              <w:rPr>
                <w:vertAlign w:val="superscript"/>
              </w:rPr>
              <w:instrText xml:space="preserve"> NOTEREF _Ref103372416 \h </w:instrText>
            </w:r>
            <w:r>
              <w:rPr>
                <w:vertAlign w:val="superscript"/>
              </w:rPr>
              <w:instrText xml:space="preserve"> \* MERGEFORMAT </w:instrText>
            </w:r>
            <w:r w:rsidRPr="008D7A6A">
              <w:rPr>
                <w:vertAlign w:val="superscript"/>
              </w:rPr>
            </w:r>
            <w:r w:rsidRPr="008D7A6A">
              <w:rPr>
                <w:vertAlign w:val="superscript"/>
              </w:rPr>
              <w:fldChar w:fldCharType="separate"/>
            </w:r>
            <w:r w:rsidR="00265258">
              <w:rPr>
                <w:vertAlign w:val="superscript"/>
              </w:rPr>
              <w:t>13</w:t>
            </w:r>
            <w:r w:rsidRPr="008D7A6A">
              <w:rPr>
                <w:vertAlign w:val="superscript"/>
              </w:rPr>
              <w:fldChar w:fldCharType="end"/>
            </w:r>
          </w:p>
        </w:tc>
        <w:tc>
          <w:tcPr>
            <w:tcW w:w="5124" w:type="dxa"/>
          </w:tcPr>
          <w:p w14:paraId="475F42DF" w14:textId="77777777" w:rsidR="00B20520" w:rsidRPr="0042177F" w:rsidRDefault="00B20520">
            <w:pPr>
              <w:cnfStyle w:val="000000000000" w:firstRow="0" w:lastRow="0" w:firstColumn="0" w:lastColumn="0" w:oddVBand="0" w:evenVBand="0" w:oddHBand="0" w:evenHBand="0" w:firstRowFirstColumn="0" w:firstRowLastColumn="0" w:lastRowFirstColumn="0" w:lastRowLastColumn="0"/>
              <w:rPr>
                <w:szCs w:val="16"/>
              </w:rPr>
            </w:pPr>
            <w:r>
              <w:rPr>
                <w:szCs w:val="16"/>
              </w:rPr>
              <w:t xml:space="preserve"> 0.1</w:t>
            </w:r>
          </w:p>
        </w:tc>
      </w:tr>
      <w:tr w:rsidR="00B20520" w14:paraId="3BFE23F1" w14:textId="77777777">
        <w:tc>
          <w:tcPr>
            <w:cnfStyle w:val="001000000000" w:firstRow="0" w:lastRow="0" w:firstColumn="1" w:lastColumn="0" w:oddVBand="0" w:evenVBand="0" w:oddHBand="0" w:evenHBand="0" w:firstRowFirstColumn="0" w:firstRowLastColumn="0" w:lastRowFirstColumn="0" w:lastRowLastColumn="0"/>
            <w:tcW w:w="4086" w:type="dxa"/>
          </w:tcPr>
          <w:p w14:paraId="76426FB9" w14:textId="10688325" w:rsidR="00B20520" w:rsidRDefault="00B20520">
            <w:pPr>
              <w:spacing w:before="40" w:after="40"/>
              <w:jc w:val="center"/>
            </w:pPr>
            <w:r>
              <w:t>Latvi</w:t>
            </w:r>
            <w:r w:rsidR="00306E76">
              <w:t>a</w:t>
            </w:r>
            <w:r w:rsidR="00930152" w:rsidRPr="00251941">
              <w:rPr>
                <w:vertAlign w:val="superscript"/>
              </w:rPr>
              <w:fldChar w:fldCharType="begin"/>
            </w:r>
            <w:r w:rsidR="00930152" w:rsidRPr="00251941">
              <w:rPr>
                <w:vertAlign w:val="superscript"/>
              </w:rPr>
              <w:instrText xml:space="preserve"> NOTEREF _Ref108625681 \h </w:instrText>
            </w:r>
            <w:r w:rsidR="00251941">
              <w:rPr>
                <w:vertAlign w:val="superscript"/>
              </w:rPr>
              <w:instrText xml:space="preserve"> \* MERGEFORMAT </w:instrText>
            </w:r>
            <w:r w:rsidR="00930152" w:rsidRPr="00251941">
              <w:rPr>
                <w:vertAlign w:val="superscript"/>
              </w:rPr>
            </w:r>
            <w:r w:rsidR="00930152" w:rsidRPr="00251941">
              <w:rPr>
                <w:vertAlign w:val="superscript"/>
              </w:rPr>
              <w:fldChar w:fldCharType="separate"/>
            </w:r>
            <w:r w:rsidR="00265258">
              <w:rPr>
                <w:vertAlign w:val="superscript"/>
              </w:rPr>
              <w:t>33</w:t>
            </w:r>
            <w:r w:rsidR="00930152" w:rsidRPr="00251941">
              <w:rPr>
                <w:vertAlign w:val="superscript"/>
              </w:rPr>
              <w:fldChar w:fldCharType="end"/>
            </w:r>
          </w:p>
        </w:tc>
        <w:tc>
          <w:tcPr>
            <w:tcW w:w="5124" w:type="dxa"/>
          </w:tcPr>
          <w:p w14:paraId="6DC50FDB" w14:textId="77777777" w:rsidR="00B20520" w:rsidRDefault="00B20520">
            <w:pPr>
              <w:spacing w:before="40" w:after="40"/>
              <w:cnfStyle w:val="000000000000" w:firstRow="0" w:lastRow="0" w:firstColumn="0" w:lastColumn="0" w:oddVBand="0" w:evenVBand="0" w:oddHBand="0" w:evenHBand="0" w:firstRowFirstColumn="0" w:firstRowLastColumn="0" w:lastRowFirstColumn="0" w:lastRowLastColumn="0"/>
            </w:pPr>
            <w:r w:rsidRPr="0042177F">
              <w:rPr>
                <w:szCs w:val="16"/>
              </w:rPr>
              <w:t>1.54</w:t>
            </w:r>
          </w:p>
        </w:tc>
      </w:tr>
      <w:tr w:rsidR="00B20520" w14:paraId="424B1C7D" w14:textId="77777777">
        <w:tc>
          <w:tcPr>
            <w:cnfStyle w:val="001000000000" w:firstRow="0" w:lastRow="0" w:firstColumn="1" w:lastColumn="0" w:oddVBand="0" w:evenVBand="0" w:oddHBand="0" w:evenHBand="0" w:firstRowFirstColumn="0" w:firstRowLastColumn="0" w:lastRowFirstColumn="0" w:lastRowLastColumn="0"/>
            <w:tcW w:w="4086" w:type="dxa"/>
          </w:tcPr>
          <w:p w14:paraId="1FB5B73C" w14:textId="6F993538" w:rsidR="00B20520" w:rsidRDefault="00B20520">
            <w:pPr>
              <w:spacing w:before="40" w:after="40"/>
              <w:jc w:val="center"/>
            </w:pPr>
            <w:r>
              <w:t>Lithuania</w:t>
            </w:r>
            <w:r w:rsidR="00930152" w:rsidRPr="00930152">
              <w:rPr>
                <w:vertAlign w:val="superscript"/>
              </w:rPr>
              <w:fldChar w:fldCharType="begin"/>
            </w:r>
            <w:r w:rsidR="00930152" w:rsidRPr="00930152">
              <w:rPr>
                <w:vertAlign w:val="superscript"/>
              </w:rPr>
              <w:instrText xml:space="preserve"> NOTEREF _Ref108625681 \h </w:instrText>
            </w:r>
            <w:r w:rsidR="00930152">
              <w:rPr>
                <w:vertAlign w:val="superscript"/>
              </w:rPr>
              <w:instrText xml:space="preserve"> \* MERGEFORMAT </w:instrText>
            </w:r>
            <w:r w:rsidR="00930152" w:rsidRPr="00930152">
              <w:rPr>
                <w:vertAlign w:val="superscript"/>
              </w:rPr>
            </w:r>
            <w:r w:rsidR="00930152" w:rsidRPr="00930152">
              <w:rPr>
                <w:vertAlign w:val="superscript"/>
              </w:rPr>
              <w:fldChar w:fldCharType="separate"/>
            </w:r>
            <w:r w:rsidR="00265258">
              <w:rPr>
                <w:vertAlign w:val="superscript"/>
              </w:rPr>
              <w:t>33</w:t>
            </w:r>
            <w:r w:rsidR="00930152" w:rsidRPr="00930152">
              <w:rPr>
                <w:vertAlign w:val="superscript"/>
              </w:rPr>
              <w:fldChar w:fldCharType="end"/>
            </w:r>
          </w:p>
        </w:tc>
        <w:tc>
          <w:tcPr>
            <w:tcW w:w="5124" w:type="dxa"/>
          </w:tcPr>
          <w:p w14:paraId="194334BE" w14:textId="77777777" w:rsidR="00B20520" w:rsidRPr="0042177F" w:rsidRDefault="00B20520">
            <w:pPr>
              <w:cnfStyle w:val="000000000000" w:firstRow="0" w:lastRow="0" w:firstColumn="0" w:lastColumn="0" w:oddVBand="0" w:evenVBand="0" w:oddHBand="0" w:evenHBand="0" w:firstRowFirstColumn="0" w:firstRowLastColumn="0" w:lastRowFirstColumn="0" w:lastRowLastColumn="0"/>
              <w:rPr>
                <w:b/>
                <w:bCs/>
                <w:szCs w:val="16"/>
              </w:rPr>
            </w:pPr>
            <w:r w:rsidRPr="0042177F">
              <w:rPr>
                <w:szCs w:val="16"/>
              </w:rPr>
              <w:t>1.95</w:t>
            </w:r>
          </w:p>
        </w:tc>
      </w:tr>
      <w:tr w:rsidR="00B20520" w14:paraId="6FBAAE8A" w14:textId="77777777">
        <w:trPr>
          <w:trHeight w:val="65"/>
        </w:trPr>
        <w:tc>
          <w:tcPr>
            <w:cnfStyle w:val="001000000000" w:firstRow="0" w:lastRow="0" w:firstColumn="1" w:lastColumn="0" w:oddVBand="0" w:evenVBand="0" w:oddHBand="0" w:evenHBand="0" w:firstRowFirstColumn="0" w:firstRowLastColumn="0" w:lastRowFirstColumn="0" w:lastRowLastColumn="0"/>
            <w:tcW w:w="4086" w:type="dxa"/>
          </w:tcPr>
          <w:p w14:paraId="5690BB7B" w14:textId="77777777" w:rsidR="00B20520" w:rsidRDefault="00B20520">
            <w:pPr>
              <w:spacing w:before="40" w:after="40"/>
              <w:jc w:val="center"/>
            </w:pPr>
            <w:r>
              <w:t>Finland</w:t>
            </w:r>
            <w:r>
              <w:rPr>
                <w:rStyle w:val="Voetnootmarkering"/>
              </w:rPr>
              <w:footnoteReference w:id="92"/>
            </w:r>
          </w:p>
        </w:tc>
        <w:tc>
          <w:tcPr>
            <w:tcW w:w="5124" w:type="dxa"/>
          </w:tcPr>
          <w:p w14:paraId="09752FE2" w14:textId="77777777" w:rsidR="00B20520" w:rsidRDefault="00B20520">
            <w:pPr>
              <w:spacing w:before="40" w:after="40"/>
              <w:cnfStyle w:val="000000000000" w:firstRow="0" w:lastRow="0" w:firstColumn="0" w:lastColumn="0" w:oddVBand="0" w:evenVBand="0" w:oddHBand="0" w:evenHBand="0" w:firstRowFirstColumn="0" w:firstRowLastColumn="0" w:lastRowFirstColumn="0" w:lastRowLastColumn="0"/>
            </w:pPr>
            <w:r>
              <w:t>1</w:t>
            </w:r>
          </w:p>
        </w:tc>
      </w:tr>
    </w:tbl>
    <w:p w14:paraId="67C6E23C" w14:textId="77777777" w:rsidR="00B20520" w:rsidRPr="00531D0B" w:rsidRDefault="00B20520" w:rsidP="00B20520">
      <w:pPr>
        <w:ind w:left="0" w:firstLine="567"/>
        <w:rPr>
          <w:sz w:val="16"/>
          <w:szCs w:val="16"/>
        </w:rPr>
      </w:pPr>
      <w:r w:rsidRPr="00531D0B">
        <w:rPr>
          <w:sz w:val="16"/>
          <w:szCs w:val="16"/>
        </w:rPr>
        <w:t>Currently Finland has</w:t>
      </w:r>
      <w:r>
        <w:rPr>
          <w:sz w:val="16"/>
          <w:szCs w:val="16"/>
        </w:rPr>
        <w:t xml:space="preserve"> set</w:t>
      </w:r>
      <w:r w:rsidRPr="00531D0B">
        <w:rPr>
          <w:sz w:val="16"/>
          <w:szCs w:val="16"/>
        </w:rPr>
        <w:t xml:space="preserve"> the maximum hydrogen percentage a</w:t>
      </w:r>
      <w:r>
        <w:rPr>
          <w:sz w:val="16"/>
          <w:szCs w:val="16"/>
        </w:rPr>
        <w:t>t</w:t>
      </w:r>
      <w:r w:rsidRPr="00531D0B">
        <w:rPr>
          <w:sz w:val="16"/>
          <w:szCs w:val="16"/>
        </w:rPr>
        <w:t xml:space="preserve"> 1% in both TSO and DSO levels.</w:t>
      </w:r>
    </w:p>
    <w:p w14:paraId="53E20C9C" w14:textId="77777777" w:rsidR="00B20520" w:rsidRPr="0010365C" w:rsidRDefault="00B20520" w:rsidP="00B20520">
      <w:pPr>
        <w:spacing w:before="240"/>
        <w:rPr>
          <w:rFonts w:eastAsiaTheme="majorEastAsia" w:cstheme="majorBidi"/>
          <w:b/>
          <w:color w:val="005962" w:themeColor="accent1"/>
        </w:rPr>
      </w:pPr>
      <w:r>
        <w:rPr>
          <w:rFonts w:eastAsiaTheme="majorEastAsia" w:cstheme="majorBidi"/>
          <w:b/>
          <w:color w:val="005962" w:themeColor="accent1"/>
        </w:rPr>
        <w:t>Information from TSOs regarding possible</w:t>
      </w:r>
      <w:r w:rsidRPr="0010365C">
        <w:rPr>
          <w:rFonts w:eastAsiaTheme="majorEastAsia" w:cstheme="majorBidi"/>
          <w:b/>
          <w:color w:val="005962" w:themeColor="accent1"/>
        </w:rPr>
        <w:t xml:space="preserve"> developments </w:t>
      </w:r>
      <w:r>
        <w:rPr>
          <w:rFonts w:eastAsiaTheme="majorEastAsia" w:cstheme="majorBidi"/>
          <w:b/>
          <w:color w:val="005962" w:themeColor="accent1"/>
        </w:rPr>
        <w:t>of</w:t>
      </w:r>
      <w:r w:rsidRPr="0010365C">
        <w:rPr>
          <w:rFonts w:eastAsiaTheme="majorEastAsia" w:cstheme="majorBidi"/>
          <w:b/>
          <w:color w:val="005962" w:themeColor="accent1"/>
        </w:rPr>
        <w:t xml:space="preserve"> hydrogen blending in </w:t>
      </w:r>
      <w:r>
        <w:rPr>
          <w:rFonts w:eastAsiaTheme="majorEastAsia" w:cstheme="majorBidi"/>
          <w:b/>
          <w:color w:val="005962" w:themeColor="accent1"/>
        </w:rPr>
        <w:t xml:space="preserve">the </w:t>
      </w:r>
      <w:r w:rsidRPr="0010365C">
        <w:rPr>
          <w:rFonts w:eastAsiaTheme="majorEastAsia" w:cstheme="majorBidi"/>
          <w:b/>
          <w:color w:val="005962" w:themeColor="accent1"/>
        </w:rPr>
        <w:t>Baltic states</w:t>
      </w:r>
    </w:p>
    <w:p w14:paraId="220A9D55" w14:textId="30E3605F" w:rsidR="00B20520" w:rsidRPr="00DC3794" w:rsidRDefault="00B20520" w:rsidP="00B20520">
      <w:pPr>
        <w:spacing w:after="240"/>
        <w:jc w:val="both"/>
        <w:rPr>
          <w:rFonts w:eastAsia="Calibri"/>
          <w:i/>
          <w:iCs/>
          <w:color w:val="002060"/>
          <w:lang w:val="en-US"/>
        </w:rPr>
      </w:pPr>
      <w:r w:rsidRPr="00DE2F26">
        <w:rPr>
          <w:rFonts w:cstheme="minorHAnsi"/>
        </w:rPr>
        <w:t xml:space="preserve">Currently, there are no determined </w:t>
      </w:r>
      <w:r w:rsidR="00A033AA">
        <w:rPr>
          <w:rFonts w:cstheme="minorHAnsi"/>
        </w:rPr>
        <w:t xml:space="preserve">hydrogen </w:t>
      </w:r>
      <w:r w:rsidRPr="00DE2F26">
        <w:rPr>
          <w:rFonts w:cstheme="minorHAnsi"/>
        </w:rPr>
        <w:t xml:space="preserve">blending targets for Estonia. The blending percentage </w:t>
      </w:r>
      <w:r w:rsidR="00866F1C">
        <w:rPr>
          <w:rFonts w:cstheme="minorHAnsi"/>
        </w:rPr>
        <w:t>will</w:t>
      </w:r>
      <w:r w:rsidRPr="00DE2F26">
        <w:rPr>
          <w:rFonts w:cstheme="minorHAnsi"/>
        </w:rPr>
        <w:t xml:space="preserve"> </w:t>
      </w:r>
      <w:r w:rsidR="00866F1C">
        <w:rPr>
          <w:rFonts w:cstheme="minorHAnsi"/>
        </w:rPr>
        <w:t xml:space="preserve">amongst others </w:t>
      </w:r>
      <w:r w:rsidRPr="00DE2F26">
        <w:rPr>
          <w:rFonts w:cstheme="minorHAnsi"/>
        </w:rPr>
        <w:t xml:space="preserve">depend on the EU regulation and policy. </w:t>
      </w:r>
      <w:r>
        <w:rPr>
          <w:rFonts w:cstheme="minorHAnsi"/>
        </w:rPr>
        <w:t>The Baltic-Fin</w:t>
      </w:r>
      <w:r w:rsidR="00866F1C">
        <w:rPr>
          <w:rFonts w:cstheme="minorHAnsi"/>
        </w:rPr>
        <w:t>nish</w:t>
      </w:r>
      <w:r>
        <w:rPr>
          <w:rFonts w:cstheme="minorHAnsi"/>
        </w:rPr>
        <w:t xml:space="preserve"> TSOs </w:t>
      </w:r>
      <w:r w:rsidR="00866F1C">
        <w:rPr>
          <w:rFonts w:cstheme="minorHAnsi"/>
        </w:rPr>
        <w:t xml:space="preserve">are </w:t>
      </w:r>
      <w:r>
        <w:rPr>
          <w:rFonts w:cstheme="minorHAnsi"/>
        </w:rPr>
        <w:t>jointly</w:t>
      </w:r>
      <w:r w:rsidRPr="00DE2F26">
        <w:rPr>
          <w:rFonts w:cstheme="minorHAnsi"/>
        </w:rPr>
        <w:t xml:space="preserve"> planning to conduct a technical study to evaluate the necessary modifications and costs to </w:t>
      </w:r>
      <w:r w:rsidR="00866F1C">
        <w:rPr>
          <w:rFonts w:cstheme="minorHAnsi"/>
        </w:rPr>
        <w:t>make</w:t>
      </w:r>
      <w:r w:rsidRPr="00DE2F26">
        <w:rPr>
          <w:rFonts w:cstheme="minorHAnsi"/>
        </w:rPr>
        <w:t xml:space="preserve"> the NG transmission system </w:t>
      </w:r>
      <w:r w:rsidR="00866F1C">
        <w:rPr>
          <w:rFonts w:cstheme="minorHAnsi"/>
        </w:rPr>
        <w:t xml:space="preserve">suitable </w:t>
      </w:r>
      <w:r w:rsidRPr="00DE2F26">
        <w:rPr>
          <w:rFonts w:cstheme="minorHAnsi"/>
        </w:rPr>
        <w:t xml:space="preserve">to transport 2%, 5% (EU Commission proposal for October 2025), 10%, and 20% of hydrogen </w:t>
      </w:r>
      <w:r w:rsidR="006751C4">
        <w:rPr>
          <w:rFonts w:cstheme="minorHAnsi"/>
        </w:rPr>
        <w:t xml:space="preserve">volume </w:t>
      </w:r>
      <w:r>
        <w:rPr>
          <w:rFonts w:cstheme="minorHAnsi"/>
        </w:rPr>
        <w:t>blending</w:t>
      </w:r>
      <w:r w:rsidRPr="00DE2F26">
        <w:rPr>
          <w:rFonts w:cstheme="minorHAnsi"/>
        </w:rPr>
        <w:t>. This study start</w:t>
      </w:r>
      <w:r w:rsidR="00021A9B">
        <w:rPr>
          <w:rFonts w:cstheme="minorHAnsi"/>
        </w:rPr>
        <w:t>ed</w:t>
      </w:r>
      <w:r w:rsidRPr="00DE2F26">
        <w:rPr>
          <w:rFonts w:cstheme="minorHAnsi"/>
        </w:rPr>
        <w:t xml:space="preserve"> </w:t>
      </w:r>
      <w:r>
        <w:rPr>
          <w:rFonts w:cstheme="minorHAnsi"/>
        </w:rPr>
        <w:t>in September</w:t>
      </w:r>
      <w:r w:rsidRPr="00DE2F26">
        <w:rPr>
          <w:rFonts w:cstheme="minorHAnsi"/>
        </w:rPr>
        <w:t xml:space="preserve"> 2022. Also, the TSOs are part of the European hydrogen backbone (EHB) initiative to assess the possibilities of </w:t>
      </w:r>
      <w:r w:rsidR="006751C4">
        <w:rPr>
          <w:rFonts w:cstheme="minorHAnsi"/>
        </w:rPr>
        <w:t>developing</w:t>
      </w:r>
      <w:r w:rsidRPr="00DE2F26">
        <w:rPr>
          <w:rFonts w:cstheme="minorHAnsi"/>
        </w:rPr>
        <w:t xml:space="preserve"> a pan EU dedicated hydrogen </w:t>
      </w:r>
      <w:r>
        <w:rPr>
          <w:rFonts w:cstheme="minorHAnsi"/>
        </w:rPr>
        <w:t xml:space="preserve">transmission </w:t>
      </w:r>
      <w:r w:rsidRPr="00DE2F26">
        <w:rPr>
          <w:rFonts w:cstheme="minorHAnsi"/>
        </w:rPr>
        <w:t xml:space="preserve">infrastructure. According to the Lithuanian TSO (Amber grid), regional market </w:t>
      </w:r>
      <w:r>
        <w:rPr>
          <w:rFonts w:cstheme="minorHAnsi"/>
        </w:rPr>
        <w:t xml:space="preserve">operators are currently </w:t>
      </w:r>
      <w:r w:rsidRPr="00DE2F26">
        <w:rPr>
          <w:rFonts w:cstheme="minorHAnsi"/>
        </w:rPr>
        <w:t xml:space="preserve">analysing </w:t>
      </w:r>
      <w:r w:rsidR="006751C4">
        <w:rPr>
          <w:rFonts w:cstheme="minorHAnsi"/>
        </w:rPr>
        <w:t xml:space="preserve">the </w:t>
      </w:r>
      <w:r>
        <w:rPr>
          <w:rFonts w:cstheme="minorHAnsi"/>
        </w:rPr>
        <w:t xml:space="preserve">acceptable </w:t>
      </w:r>
      <w:r w:rsidRPr="00DE2F26">
        <w:rPr>
          <w:rFonts w:cstheme="minorHAnsi"/>
        </w:rPr>
        <w:t>hydrogen blend</w:t>
      </w:r>
      <w:r>
        <w:rPr>
          <w:rFonts w:cstheme="minorHAnsi"/>
        </w:rPr>
        <w:t>ing levels</w:t>
      </w:r>
      <w:r w:rsidRPr="00DE2F26">
        <w:rPr>
          <w:rFonts w:cstheme="minorHAnsi"/>
        </w:rPr>
        <w:t xml:space="preserve"> into the </w:t>
      </w:r>
      <w:r>
        <w:rPr>
          <w:rFonts w:cstheme="minorHAnsi"/>
        </w:rPr>
        <w:t xml:space="preserve">natural gas </w:t>
      </w:r>
      <w:r w:rsidRPr="00DE2F26">
        <w:rPr>
          <w:rFonts w:cstheme="minorHAnsi"/>
        </w:rPr>
        <w:t>system</w:t>
      </w:r>
      <w:r w:rsidR="006751C4">
        <w:rPr>
          <w:rFonts w:cstheme="minorHAnsi"/>
        </w:rPr>
        <w:t>;</w:t>
      </w:r>
      <w:r w:rsidRPr="00DE2F26">
        <w:rPr>
          <w:rFonts w:cstheme="minorHAnsi"/>
        </w:rPr>
        <w:t xml:space="preserve"> the first blend</w:t>
      </w:r>
      <w:r>
        <w:rPr>
          <w:rFonts w:cstheme="minorHAnsi"/>
        </w:rPr>
        <w:t xml:space="preserve">ing % </w:t>
      </w:r>
      <w:r w:rsidRPr="00DE2F26">
        <w:rPr>
          <w:rFonts w:cstheme="minorHAnsi"/>
        </w:rPr>
        <w:t>will likely be available regionally after 2024 and domestically after 2025, starting at 2% hydrogen, up to a maximum of 10 %, or, more realistic</w:t>
      </w:r>
      <w:r>
        <w:rPr>
          <w:rFonts w:cstheme="minorHAnsi"/>
        </w:rPr>
        <w:t>ally</w:t>
      </w:r>
      <w:r w:rsidRPr="00DE2F26">
        <w:rPr>
          <w:rFonts w:cstheme="minorHAnsi"/>
        </w:rPr>
        <w:t xml:space="preserve">, at 5 %. An optimistic target for both biomethane and hydrogen would account for about 5 % by 2030. Up to 5 % </w:t>
      </w:r>
      <w:r>
        <w:rPr>
          <w:rFonts w:cstheme="minorHAnsi"/>
        </w:rPr>
        <w:t>h</w:t>
      </w:r>
      <w:r w:rsidRPr="00DE2F26">
        <w:rPr>
          <w:rFonts w:cstheme="minorHAnsi"/>
        </w:rPr>
        <w:t xml:space="preserve">ydrogen blending in the Lithuanian natural gas grid is possible with minor modifications in the infrastructure. Currently, a new study is carried out by Amber Grid, which analyses the modernization of the existing natural gas system and its individual </w:t>
      </w:r>
      <w:r>
        <w:rPr>
          <w:rFonts w:cstheme="minorHAnsi"/>
        </w:rPr>
        <w:t>components</w:t>
      </w:r>
      <w:r w:rsidRPr="00DE2F26">
        <w:rPr>
          <w:rFonts w:cstheme="minorHAnsi"/>
        </w:rPr>
        <w:t xml:space="preserve"> (valves, pipelines, distribution stations, etc.) that could be used for hydrogen with a particular interest in the technologies used for </w:t>
      </w:r>
      <w:r w:rsidR="006751C4">
        <w:rPr>
          <w:rFonts w:cstheme="minorHAnsi"/>
        </w:rPr>
        <w:t xml:space="preserve">their </w:t>
      </w:r>
      <w:r w:rsidRPr="00DE2F26">
        <w:rPr>
          <w:rFonts w:cstheme="minorHAnsi"/>
        </w:rPr>
        <w:t>modernization (</w:t>
      </w:r>
      <w:r w:rsidR="00021A9B">
        <w:rPr>
          <w:rFonts w:cstheme="minorHAnsi"/>
        </w:rPr>
        <w:t>e.g.,</w:t>
      </w:r>
      <w:r w:rsidR="006751C4">
        <w:rPr>
          <w:rFonts w:cstheme="minorHAnsi"/>
        </w:rPr>
        <w:t xml:space="preserve"> </w:t>
      </w:r>
      <w:r w:rsidRPr="00DE2F26">
        <w:rPr>
          <w:rFonts w:cstheme="minorHAnsi"/>
        </w:rPr>
        <w:t>internal coating</w:t>
      </w:r>
      <w:r w:rsidR="006751C4">
        <w:rPr>
          <w:rFonts w:cstheme="minorHAnsi"/>
        </w:rPr>
        <w:t xml:space="preserve"> of pipelines</w:t>
      </w:r>
      <w:r w:rsidRPr="00DE2F26">
        <w:rPr>
          <w:rFonts w:cstheme="minorHAnsi"/>
        </w:rPr>
        <w:t xml:space="preserve">, </w:t>
      </w:r>
      <w:r w:rsidRPr="00DE2F26">
        <w:rPr>
          <w:rFonts w:cstheme="minorHAnsi"/>
        </w:rPr>
        <w:lastRenderedPageBreak/>
        <w:t xml:space="preserve">etc.). The hydrogen roadmap for Lithuania is also in the last steps of finalization. According to </w:t>
      </w:r>
      <w:r>
        <w:rPr>
          <w:rFonts w:cstheme="minorHAnsi"/>
        </w:rPr>
        <w:t xml:space="preserve">the </w:t>
      </w:r>
      <w:r w:rsidRPr="00DE2F26">
        <w:rPr>
          <w:rFonts w:cstheme="minorHAnsi"/>
        </w:rPr>
        <w:t xml:space="preserve">Latvian NECP, Latvia plans to retrofit its gas infrastructure to improve its </w:t>
      </w:r>
      <w:r w:rsidR="00EF7D28">
        <w:rPr>
          <w:rFonts w:cstheme="minorHAnsi"/>
        </w:rPr>
        <w:t>pipelines standards,</w:t>
      </w:r>
      <w:r w:rsidR="00745407">
        <w:rPr>
          <w:rFonts w:cstheme="minorHAnsi"/>
        </w:rPr>
        <w:t xml:space="preserve"> and </w:t>
      </w:r>
      <w:r w:rsidRPr="00DE2F26">
        <w:rPr>
          <w:rFonts w:cstheme="minorHAnsi"/>
        </w:rPr>
        <w:t>th</w:t>
      </w:r>
      <w:r w:rsidR="00745407">
        <w:rPr>
          <w:rFonts w:cstheme="minorHAnsi"/>
        </w:rPr>
        <w:t>is creates a</w:t>
      </w:r>
      <w:r w:rsidRPr="00DE2F26">
        <w:rPr>
          <w:rFonts w:cstheme="minorHAnsi"/>
        </w:rPr>
        <w:t xml:space="preserve"> </w:t>
      </w:r>
      <w:r w:rsidRPr="00D32EF8">
        <w:rPr>
          <w:rFonts w:cstheme="minorHAnsi"/>
          <w:color w:val="000000" w:themeColor="text1"/>
        </w:rPr>
        <w:t>possibility</w:t>
      </w:r>
      <w:r w:rsidR="00EF7D28">
        <w:rPr>
          <w:rFonts w:cstheme="minorHAnsi"/>
          <w:color w:val="000000" w:themeColor="text1"/>
        </w:rPr>
        <w:t xml:space="preserve"> to assess and</w:t>
      </w:r>
      <w:r w:rsidRPr="00D32EF8">
        <w:rPr>
          <w:rFonts w:cstheme="minorHAnsi"/>
          <w:color w:val="000000" w:themeColor="text1"/>
        </w:rPr>
        <w:t xml:space="preserve"> to adapt the natural gas infrastructure enabling it</w:t>
      </w:r>
      <w:r w:rsidR="00EF7D28">
        <w:rPr>
          <w:rFonts w:cstheme="minorHAnsi"/>
          <w:color w:val="000000" w:themeColor="text1"/>
        </w:rPr>
        <w:t xml:space="preserve"> for</w:t>
      </w:r>
      <w:r w:rsidRPr="00D32EF8">
        <w:rPr>
          <w:rFonts w:cstheme="minorHAnsi"/>
          <w:color w:val="000000" w:themeColor="text1"/>
        </w:rPr>
        <w:t xml:space="preserve"> hydrogen</w:t>
      </w:r>
      <w:r w:rsidR="00EF7D28">
        <w:rPr>
          <w:rFonts w:cstheme="minorHAnsi"/>
          <w:color w:val="000000" w:themeColor="text1"/>
        </w:rPr>
        <w:t xml:space="preserve"> transportation</w:t>
      </w:r>
      <w:r w:rsidRPr="00D32EF8">
        <w:rPr>
          <w:rFonts w:cstheme="minorHAnsi"/>
          <w:color w:val="000000" w:themeColor="text1"/>
        </w:rPr>
        <w:t xml:space="preserve">. </w:t>
      </w:r>
      <w:r w:rsidR="00EF7D28">
        <w:rPr>
          <w:rFonts w:cstheme="minorHAnsi"/>
          <w:color w:val="000000" w:themeColor="text1"/>
        </w:rPr>
        <w:t xml:space="preserve">In Baltic-Finnish region, </w:t>
      </w:r>
      <w:r w:rsidR="00EF7D28">
        <w:rPr>
          <w:rFonts w:cstheme="minorHAnsi"/>
        </w:rPr>
        <w:t xml:space="preserve">there is </w:t>
      </w:r>
      <w:r w:rsidRPr="00DE2F26">
        <w:rPr>
          <w:rFonts w:cstheme="minorHAnsi"/>
        </w:rPr>
        <w:t xml:space="preserve">no </w:t>
      </w:r>
      <w:r>
        <w:rPr>
          <w:rFonts w:cstheme="minorHAnsi"/>
        </w:rPr>
        <w:t xml:space="preserve">specific </w:t>
      </w:r>
      <w:r w:rsidRPr="00DE2F26">
        <w:rPr>
          <w:rFonts w:cstheme="minorHAnsi"/>
        </w:rPr>
        <w:t>targets for hydrogen blending</w:t>
      </w:r>
      <w:r w:rsidR="00EF7D28">
        <w:rPr>
          <w:rFonts w:cstheme="minorHAnsi"/>
        </w:rPr>
        <w:t xml:space="preserve"> in the natural gas grid</w:t>
      </w:r>
      <w:r w:rsidRPr="00DE2F26">
        <w:rPr>
          <w:rFonts w:cstheme="minorHAnsi"/>
        </w:rPr>
        <w:t xml:space="preserve"> in </w:t>
      </w:r>
      <w:r>
        <w:rPr>
          <w:rFonts w:cstheme="minorHAnsi"/>
        </w:rPr>
        <w:t xml:space="preserve">the </w:t>
      </w:r>
      <w:r w:rsidRPr="00DE2F26">
        <w:rPr>
          <w:rFonts w:cstheme="minorHAnsi"/>
        </w:rPr>
        <w:t xml:space="preserve">near future </w:t>
      </w:r>
      <w:r w:rsidR="00EF7D28">
        <w:rPr>
          <w:rFonts w:cstheme="minorHAnsi"/>
        </w:rPr>
        <w:t xml:space="preserve">which </w:t>
      </w:r>
      <w:r w:rsidRPr="00DE2F26">
        <w:rPr>
          <w:rFonts w:cstheme="minorHAnsi"/>
        </w:rPr>
        <w:t>ha</w:t>
      </w:r>
      <w:r w:rsidR="00EF7D28">
        <w:rPr>
          <w:rFonts w:cstheme="minorHAnsi"/>
        </w:rPr>
        <w:t>s</w:t>
      </w:r>
      <w:r w:rsidRPr="00DE2F26">
        <w:rPr>
          <w:rFonts w:cstheme="minorHAnsi"/>
        </w:rPr>
        <w:t xml:space="preserve"> been </w:t>
      </w:r>
      <w:r>
        <w:rPr>
          <w:rFonts w:cstheme="minorHAnsi"/>
        </w:rPr>
        <w:t>published</w:t>
      </w:r>
      <w:r w:rsidRPr="00DE2F26">
        <w:rPr>
          <w:rFonts w:cstheme="minorHAnsi"/>
        </w:rPr>
        <w:t>.</w:t>
      </w:r>
    </w:p>
    <w:p w14:paraId="21CCCD27" w14:textId="3B2AF51A" w:rsidR="00B20520" w:rsidRDefault="00B20520" w:rsidP="00B20520">
      <w:pPr>
        <w:ind w:left="0"/>
        <w:jc w:val="both"/>
        <w:sectPr w:rsidR="00B20520" w:rsidSect="007C7949">
          <w:pgSz w:w="11906" w:h="16838"/>
          <w:pgMar w:top="1440" w:right="1440" w:bottom="1134" w:left="1440" w:header="709" w:footer="567" w:gutter="0"/>
          <w:cols w:space="708"/>
          <w:docGrid w:linePitch="360"/>
        </w:sectPr>
      </w:pPr>
    </w:p>
    <w:p w14:paraId="789045BC" w14:textId="2C57062D" w:rsidR="00D47ED1" w:rsidRPr="00885997" w:rsidRDefault="008A4905" w:rsidP="00885997">
      <w:pPr>
        <w:pStyle w:val="Kop1"/>
        <w:tabs>
          <w:tab w:val="clear" w:pos="851"/>
          <w:tab w:val="left" w:pos="993"/>
        </w:tabs>
        <w:jc w:val="both"/>
        <w:rPr>
          <w:sz w:val="36"/>
          <w:szCs w:val="16"/>
          <w:bdr w:val="none" w:sz="0" w:space="0" w:color="auto" w:frame="1"/>
          <w:shd w:val="clear" w:color="auto" w:fill="FFFFFF"/>
          <w:lang w:val="en-CA"/>
        </w:rPr>
      </w:pPr>
      <w:bookmarkStart w:id="131" w:name="_Toc104738355"/>
      <w:bookmarkStart w:id="132" w:name="_Toc114565062"/>
      <w:r w:rsidRPr="00885997">
        <w:rPr>
          <w:sz w:val="36"/>
          <w:szCs w:val="16"/>
          <w:bdr w:val="none" w:sz="0" w:space="0" w:color="auto" w:frame="1"/>
          <w:shd w:val="clear" w:color="auto" w:fill="FFFFFF"/>
          <w:lang w:val="en-CA"/>
        </w:rPr>
        <w:lastRenderedPageBreak/>
        <w:t>Relevant pi</w:t>
      </w:r>
      <w:r w:rsidR="003A4FC3" w:rsidRPr="00885997">
        <w:rPr>
          <w:sz w:val="36"/>
          <w:szCs w:val="16"/>
          <w:bdr w:val="none" w:sz="0" w:space="0" w:color="auto" w:frame="1"/>
          <w:shd w:val="clear" w:color="auto" w:fill="FFFFFF"/>
          <w:lang w:val="en-CA"/>
        </w:rPr>
        <w:t>lot</w:t>
      </w:r>
      <w:r w:rsidRPr="00885997">
        <w:rPr>
          <w:sz w:val="36"/>
          <w:szCs w:val="16"/>
          <w:bdr w:val="none" w:sz="0" w:space="0" w:color="auto" w:frame="1"/>
          <w:shd w:val="clear" w:color="auto" w:fill="FFFFFF"/>
          <w:lang w:val="en-CA"/>
        </w:rPr>
        <w:t xml:space="preserve"> projects</w:t>
      </w:r>
      <w:bookmarkEnd w:id="131"/>
      <w:bookmarkEnd w:id="132"/>
      <w:r w:rsidR="00A033AA">
        <w:rPr>
          <w:sz w:val="36"/>
          <w:szCs w:val="16"/>
          <w:bdr w:val="none" w:sz="0" w:space="0" w:color="auto" w:frame="1"/>
          <w:shd w:val="clear" w:color="auto" w:fill="FFFFFF"/>
          <w:lang w:val="en-CA"/>
        </w:rPr>
        <w:t xml:space="preserve"> </w:t>
      </w:r>
    </w:p>
    <w:p w14:paraId="72713220" w14:textId="19B9AE0B" w:rsidR="0048694A" w:rsidRDefault="005A53E1" w:rsidP="005A53E1">
      <w:pPr>
        <w:pStyle w:val="Bijschrift"/>
        <w:spacing w:before="240"/>
      </w:pPr>
      <w:r>
        <w:t xml:space="preserve">Table </w:t>
      </w:r>
      <w:r w:rsidR="006D12F8">
        <w:fldChar w:fldCharType="begin"/>
      </w:r>
      <w:r w:rsidR="006D12F8">
        <w:instrText xml:space="preserve"> STYLEREF 1 \s </w:instrText>
      </w:r>
      <w:r w:rsidR="006D12F8">
        <w:fldChar w:fldCharType="separate"/>
      </w:r>
      <w:r w:rsidR="00265258">
        <w:rPr>
          <w:noProof/>
        </w:rPr>
        <w:t>7</w:t>
      </w:r>
      <w:r w:rsidR="006D12F8">
        <w:rPr>
          <w:noProof/>
        </w:rPr>
        <w:fldChar w:fldCharType="end"/>
      </w:r>
      <w:r w:rsidR="004F3F0A">
        <w:noBreakHyphen/>
      </w:r>
      <w:r w:rsidR="006D12F8">
        <w:fldChar w:fldCharType="begin"/>
      </w:r>
      <w:r w:rsidR="006D12F8">
        <w:instrText xml:space="preserve"> SEQ Table \* ARABIC \s 1 </w:instrText>
      </w:r>
      <w:r w:rsidR="006D12F8">
        <w:fldChar w:fldCharType="separate"/>
      </w:r>
      <w:r w:rsidR="00265258">
        <w:rPr>
          <w:noProof/>
        </w:rPr>
        <w:t>1</w:t>
      </w:r>
      <w:r w:rsidR="006D12F8">
        <w:rPr>
          <w:noProof/>
        </w:rPr>
        <w:fldChar w:fldCharType="end"/>
      </w:r>
      <w:r>
        <w:t xml:space="preserve">. List of </w:t>
      </w:r>
      <w:r w:rsidR="00DE6620">
        <w:t>relevant</w:t>
      </w:r>
      <w:r w:rsidR="00BF66B2">
        <w:t xml:space="preserve"> </w:t>
      </w:r>
      <w:r w:rsidR="00245DD9">
        <w:t xml:space="preserve">pilot projects </w:t>
      </w:r>
      <w:r w:rsidR="00DE6620">
        <w:t xml:space="preserve">for the renewable gas value chain </w:t>
      </w:r>
      <w:r w:rsidR="00CB6325">
        <w:t>[E</w:t>
      </w:r>
      <w:r w:rsidR="00083BB8">
        <w:t>NTSOG</w:t>
      </w:r>
      <w:r w:rsidR="005A32E1">
        <w:t xml:space="preserve"> H2-Project Visu</w:t>
      </w:r>
      <w:r w:rsidR="00F050DB">
        <w:t>al</w:t>
      </w:r>
      <w:r w:rsidR="005A32E1">
        <w:t>ization</w:t>
      </w:r>
      <w:r w:rsidR="00C611FD">
        <w:t xml:space="preserve"> tool]</w:t>
      </w:r>
      <w:r w:rsidR="00C611FD">
        <w:rPr>
          <w:rStyle w:val="Voetnootmarkering"/>
        </w:rPr>
        <w:footnoteReference w:id="93"/>
      </w:r>
    </w:p>
    <w:tbl>
      <w:tblPr>
        <w:tblStyle w:val="Table1"/>
        <w:tblW w:w="14454" w:type="dxa"/>
        <w:jc w:val="center"/>
        <w:tblInd w:w="0" w:type="dxa"/>
        <w:tblLook w:val="04A0" w:firstRow="1" w:lastRow="0" w:firstColumn="1" w:lastColumn="0" w:noHBand="0" w:noVBand="1"/>
      </w:tblPr>
      <w:tblGrid>
        <w:gridCol w:w="450"/>
        <w:gridCol w:w="1813"/>
        <w:gridCol w:w="1640"/>
        <w:gridCol w:w="1054"/>
        <w:gridCol w:w="992"/>
        <w:gridCol w:w="1134"/>
        <w:gridCol w:w="4394"/>
        <w:gridCol w:w="2977"/>
      </w:tblGrid>
      <w:tr w:rsidR="00890E30" w:rsidRPr="005A53E1" w14:paraId="3496A42F" w14:textId="5B1FCBB3" w:rsidTr="00105E8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50" w:type="dxa"/>
            <w:noWrap/>
            <w:hideMark/>
          </w:tcPr>
          <w:p w14:paraId="280F28C3" w14:textId="77777777" w:rsidR="00890E30" w:rsidRPr="00890E30" w:rsidRDefault="00890E30" w:rsidP="006B530F">
            <w:pPr>
              <w:spacing w:line="0" w:lineRule="atLeast"/>
              <w:ind w:left="0"/>
              <w:jc w:val="center"/>
              <w:rPr>
                <w:rFonts w:eastAsia="Times New Roman" w:cs="Calibri"/>
                <w:sz w:val="14"/>
                <w:szCs w:val="14"/>
                <w:lang w:eastAsia="en-GB"/>
              </w:rPr>
            </w:pPr>
            <w:r w:rsidRPr="00890E30">
              <w:rPr>
                <w:rFonts w:eastAsia="Times New Roman" w:cs="Calibri"/>
                <w:sz w:val="14"/>
                <w:szCs w:val="14"/>
                <w:lang w:eastAsia="en-GB"/>
              </w:rPr>
              <w:t>Nr.</w:t>
            </w:r>
          </w:p>
        </w:tc>
        <w:tc>
          <w:tcPr>
            <w:tcW w:w="1813" w:type="dxa"/>
            <w:noWrap/>
            <w:hideMark/>
          </w:tcPr>
          <w:p w14:paraId="689B8206" w14:textId="77777777" w:rsidR="00890E30" w:rsidRPr="00890E30" w:rsidRDefault="00890E30" w:rsidP="006B530F">
            <w:pPr>
              <w:spacing w:line="0" w:lineRule="atLeast"/>
              <w:ind w:left="0"/>
              <w:cnfStyle w:val="100000000000" w:firstRow="1" w:lastRow="0" w:firstColumn="0" w:lastColumn="0" w:oddVBand="0" w:evenVBand="0" w:oddHBand="0" w:evenHBand="0" w:firstRowFirstColumn="0" w:firstRowLastColumn="0" w:lastRowFirstColumn="0" w:lastRowLastColumn="0"/>
              <w:rPr>
                <w:rFonts w:eastAsia="Times New Roman" w:cs="Calibri"/>
                <w:sz w:val="14"/>
                <w:szCs w:val="14"/>
                <w:lang w:eastAsia="en-GB"/>
              </w:rPr>
            </w:pPr>
            <w:r w:rsidRPr="00890E30">
              <w:rPr>
                <w:rFonts w:eastAsia="Times New Roman" w:cs="Calibri"/>
                <w:sz w:val="14"/>
                <w:szCs w:val="14"/>
                <w:lang w:eastAsia="en-GB"/>
              </w:rPr>
              <w:t>Type</w:t>
            </w:r>
          </w:p>
        </w:tc>
        <w:tc>
          <w:tcPr>
            <w:tcW w:w="1640" w:type="dxa"/>
            <w:noWrap/>
            <w:hideMark/>
          </w:tcPr>
          <w:p w14:paraId="30D8216F" w14:textId="77777777" w:rsidR="00890E30" w:rsidRPr="00890E30" w:rsidRDefault="00890E30" w:rsidP="006B530F">
            <w:pPr>
              <w:spacing w:line="0" w:lineRule="atLeast"/>
              <w:ind w:left="0"/>
              <w:cnfStyle w:val="100000000000" w:firstRow="1" w:lastRow="0" w:firstColumn="0" w:lastColumn="0" w:oddVBand="0" w:evenVBand="0" w:oddHBand="0" w:evenHBand="0" w:firstRowFirstColumn="0" w:firstRowLastColumn="0" w:lastRowFirstColumn="0" w:lastRowLastColumn="0"/>
              <w:rPr>
                <w:rFonts w:eastAsia="Times New Roman" w:cs="Calibri"/>
                <w:sz w:val="14"/>
                <w:szCs w:val="14"/>
                <w:lang w:eastAsia="en-GB"/>
              </w:rPr>
            </w:pPr>
            <w:r w:rsidRPr="00890E30">
              <w:rPr>
                <w:rFonts w:eastAsia="Times New Roman" w:cs="Calibri"/>
                <w:sz w:val="14"/>
                <w:szCs w:val="14"/>
                <w:lang w:eastAsia="en-GB"/>
              </w:rPr>
              <w:t>Project name</w:t>
            </w:r>
          </w:p>
        </w:tc>
        <w:tc>
          <w:tcPr>
            <w:tcW w:w="1054" w:type="dxa"/>
            <w:noWrap/>
            <w:hideMark/>
          </w:tcPr>
          <w:p w14:paraId="5A661E4A" w14:textId="77777777" w:rsidR="00890E30" w:rsidRPr="00890E30" w:rsidRDefault="00890E30" w:rsidP="006B530F">
            <w:pPr>
              <w:spacing w:line="0" w:lineRule="atLeast"/>
              <w:ind w:left="0"/>
              <w:cnfStyle w:val="100000000000" w:firstRow="1" w:lastRow="0" w:firstColumn="0" w:lastColumn="0" w:oddVBand="0" w:evenVBand="0" w:oddHBand="0" w:evenHBand="0" w:firstRowFirstColumn="0" w:firstRowLastColumn="0" w:lastRowFirstColumn="0" w:lastRowLastColumn="0"/>
              <w:rPr>
                <w:rFonts w:eastAsia="Times New Roman" w:cs="Calibri"/>
                <w:sz w:val="14"/>
                <w:szCs w:val="14"/>
                <w:lang w:eastAsia="en-GB"/>
              </w:rPr>
            </w:pPr>
            <w:r w:rsidRPr="00890E30">
              <w:rPr>
                <w:rFonts w:eastAsia="Times New Roman" w:cs="Calibri"/>
                <w:sz w:val="14"/>
                <w:szCs w:val="14"/>
                <w:lang w:eastAsia="en-GB"/>
              </w:rPr>
              <w:t>Country</w:t>
            </w:r>
          </w:p>
        </w:tc>
        <w:tc>
          <w:tcPr>
            <w:tcW w:w="992" w:type="dxa"/>
            <w:noWrap/>
            <w:hideMark/>
          </w:tcPr>
          <w:p w14:paraId="1AA4D06E" w14:textId="77777777" w:rsidR="00890E30" w:rsidRPr="00890E30" w:rsidRDefault="00890E30" w:rsidP="006B530F">
            <w:pPr>
              <w:spacing w:line="0" w:lineRule="atLeast"/>
              <w:ind w:left="0"/>
              <w:cnfStyle w:val="100000000000" w:firstRow="1" w:lastRow="0" w:firstColumn="0" w:lastColumn="0" w:oddVBand="0" w:evenVBand="0" w:oddHBand="0" w:evenHBand="0" w:firstRowFirstColumn="0" w:firstRowLastColumn="0" w:lastRowFirstColumn="0" w:lastRowLastColumn="0"/>
              <w:rPr>
                <w:rFonts w:eastAsia="Times New Roman" w:cs="Calibri"/>
                <w:sz w:val="14"/>
                <w:szCs w:val="14"/>
                <w:lang w:eastAsia="en-GB"/>
              </w:rPr>
            </w:pPr>
            <w:r w:rsidRPr="00890E30">
              <w:rPr>
                <w:rFonts w:eastAsia="Times New Roman" w:cs="Calibri"/>
                <w:sz w:val="14"/>
                <w:szCs w:val="14"/>
                <w:lang w:eastAsia="en-GB"/>
              </w:rPr>
              <w:t>Timeline</w:t>
            </w:r>
          </w:p>
        </w:tc>
        <w:tc>
          <w:tcPr>
            <w:tcW w:w="1134" w:type="dxa"/>
            <w:noWrap/>
            <w:hideMark/>
          </w:tcPr>
          <w:p w14:paraId="3FDCD3BE" w14:textId="77777777" w:rsidR="00890E30" w:rsidRPr="00890E30" w:rsidRDefault="00890E30" w:rsidP="006B530F">
            <w:pPr>
              <w:spacing w:line="0" w:lineRule="atLeast"/>
              <w:ind w:left="0"/>
              <w:cnfStyle w:val="100000000000" w:firstRow="1" w:lastRow="0" w:firstColumn="0" w:lastColumn="0" w:oddVBand="0" w:evenVBand="0" w:oddHBand="0" w:evenHBand="0" w:firstRowFirstColumn="0" w:firstRowLastColumn="0" w:lastRowFirstColumn="0" w:lastRowLastColumn="0"/>
              <w:rPr>
                <w:rFonts w:eastAsia="Times New Roman" w:cs="Calibri"/>
                <w:sz w:val="14"/>
                <w:szCs w:val="14"/>
                <w:lang w:eastAsia="en-GB"/>
              </w:rPr>
            </w:pPr>
            <w:r w:rsidRPr="00890E30">
              <w:rPr>
                <w:rFonts w:eastAsia="Times New Roman" w:cs="Calibri"/>
                <w:sz w:val="14"/>
                <w:szCs w:val="14"/>
                <w:lang w:eastAsia="en-GB"/>
              </w:rPr>
              <w:t xml:space="preserve">Project maturity </w:t>
            </w:r>
          </w:p>
        </w:tc>
        <w:tc>
          <w:tcPr>
            <w:tcW w:w="4394" w:type="dxa"/>
            <w:noWrap/>
            <w:hideMark/>
          </w:tcPr>
          <w:p w14:paraId="15B3FA51" w14:textId="77777777" w:rsidR="00890E30" w:rsidRPr="00890E30" w:rsidRDefault="00890E30" w:rsidP="006B530F">
            <w:pPr>
              <w:spacing w:line="0" w:lineRule="atLeast"/>
              <w:ind w:left="0"/>
              <w:cnfStyle w:val="100000000000" w:firstRow="1" w:lastRow="0" w:firstColumn="0" w:lastColumn="0" w:oddVBand="0" w:evenVBand="0" w:oddHBand="0" w:evenHBand="0" w:firstRowFirstColumn="0" w:firstRowLastColumn="0" w:lastRowFirstColumn="0" w:lastRowLastColumn="0"/>
              <w:rPr>
                <w:rFonts w:eastAsia="Times New Roman" w:cs="Calibri"/>
                <w:sz w:val="14"/>
                <w:szCs w:val="14"/>
                <w:lang w:eastAsia="en-GB"/>
              </w:rPr>
            </w:pPr>
            <w:r w:rsidRPr="00890E30">
              <w:rPr>
                <w:rFonts w:eastAsia="Times New Roman" w:cs="Calibri"/>
                <w:sz w:val="14"/>
                <w:szCs w:val="14"/>
                <w:lang w:eastAsia="en-GB"/>
              </w:rPr>
              <w:t xml:space="preserve">Scope and goal </w:t>
            </w:r>
          </w:p>
        </w:tc>
        <w:tc>
          <w:tcPr>
            <w:tcW w:w="2977" w:type="dxa"/>
          </w:tcPr>
          <w:p w14:paraId="6DD67228" w14:textId="242359D7" w:rsidR="00890E30" w:rsidRPr="00890E30" w:rsidRDefault="00890E30" w:rsidP="006B530F">
            <w:pPr>
              <w:spacing w:line="0" w:lineRule="atLeast"/>
              <w:ind w:left="0"/>
              <w:cnfStyle w:val="100000000000" w:firstRow="1" w:lastRow="0" w:firstColumn="0" w:lastColumn="0" w:oddVBand="0" w:evenVBand="0" w:oddHBand="0" w:evenHBand="0" w:firstRowFirstColumn="0" w:firstRowLastColumn="0" w:lastRowFirstColumn="0" w:lastRowLastColumn="0"/>
              <w:rPr>
                <w:rFonts w:eastAsia="Times New Roman" w:cs="Calibri"/>
                <w:sz w:val="14"/>
                <w:szCs w:val="14"/>
                <w:lang w:eastAsia="en-GB"/>
              </w:rPr>
            </w:pPr>
            <w:r>
              <w:rPr>
                <w:rFonts w:eastAsia="Times New Roman" w:cs="Calibri"/>
                <w:sz w:val="14"/>
                <w:szCs w:val="14"/>
                <w:lang w:eastAsia="en-GB"/>
              </w:rPr>
              <w:t>Su</w:t>
            </w:r>
            <w:r w:rsidR="0092682E">
              <w:rPr>
                <w:rFonts w:eastAsia="Times New Roman" w:cs="Calibri"/>
                <w:sz w:val="14"/>
                <w:szCs w:val="14"/>
                <w:lang w:eastAsia="en-GB"/>
              </w:rPr>
              <w:t>itability or applicability in 3B+F region</w:t>
            </w:r>
          </w:p>
        </w:tc>
      </w:tr>
      <w:tr w:rsidR="00890E30" w:rsidRPr="005A53E1" w14:paraId="5B0DA384" w14:textId="64ACD7B5" w:rsidTr="00105E8B">
        <w:trPr>
          <w:trHeight w:val="971"/>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12255FBE"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1</w:t>
            </w:r>
          </w:p>
        </w:tc>
        <w:tc>
          <w:tcPr>
            <w:tcW w:w="1813" w:type="dxa"/>
            <w:noWrap/>
            <w:hideMark/>
          </w:tcPr>
          <w:p w14:paraId="3ED6A622" w14:textId="6C1232AD"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w:t>
            </w:r>
            <w:r w:rsidR="0071281F">
              <w:rPr>
                <w:rFonts w:eastAsia="Times New Roman" w:cs="Calibri"/>
                <w:color w:val="000000"/>
                <w:sz w:val="14"/>
                <w:szCs w:val="14"/>
                <w:lang w:eastAsia="en-GB"/>
              </w:rPr>
              <w:t>production</w:t>
            </w:r>
          </w:p>
        </w:tc>
        <w:tc>
          <w:tcPr>
            <w:tcW w:w="1640" w:type="dxa"/>
            <w:noWrap/>
            <w:hideMark/>
          </w:tcPr>
          <w:p w14:paraId="4BB04356"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at Riga Wind farm</w:t>
            </w:r>
          </w:p>
        </w:tc>
        <w:tc>
          <w:tcPr>
            <w:tcW w:w="1054" w:type="dxa"/>
            <w:noWrap/>
            <w:hideMark/>
          </w:tcPr>
          <w:p w14:paraId="53B77FC1"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Estonia</w:t>
            </w:r>
          </w:p>
        </w:tc>
        <w:tc>
          <w:tcPr>
            <w:tcW w:w="992" w:type="dxa"/>
            <w:noWrap/>
            <w:hideMark/>
          </w:tcPr>
          <w:p w14:paraId="41ACED13"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2020-NA</w:t>
            </w:r>
          </w:p>
        </w:tc>
        <w:tc>
          <w:tcPr>
            <w:tcW w:w="1134" w:type="dxa"/>
            <w:hideMark/>
          </w:tcPr>
          <w:p w14:paraId="220FC33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(Pilot)</w:t>
            </w:r>
          </w:p>
        </w:tc>
        <w:tc>
          <w:tcPr>
            <w:tcW w:w="4394" w:type="dxa"/>
            <w:hideMark/>
          </w:tcPr>
          <w:p w14:paraId="51C05870" w14:textId="77777777" w:rsidR="00890E30" w:rsidRPr="006A19D1" w:rsidRDefault="00890E30"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The aim is to identify the most suitable solution for hydrogen production with the lowest environmental impact, even if hydrogen production could only be implemented at a later stage of the project, due to technological or investment barriers.</w:t>
            </w:r>
          </w:p>
        </w:tc>
        <w:tc>
          <w:tcPr>
            <w:tcW w:w="2977" w:type="dxa"/>
          </w:tcPr>
          <w:p w14:paraId="55DC2FB7" w14:textId="7F92E3E7" w:rsidR="00890E30" w:rsidRPr="006A19D1" w:rsidRDefault="002E7201"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Can be taken a</w:t>
            </w:r>
            <w:r w:rsidR="006C7275">
              <w:rPr>
                <w:rFonts w:eastAsia="Times New Roman" w:cs="Calibri"/>
                <w:color w:val="000000"/>
                <w:sz w:val="14"/>
                <w:szCs w:val="14"/>
                <w:lang w:eastAsia="en-GB"/>
              </w:rPr>
              <w:t xml:space="preserve">s a working </w:t>
            </w:r>
            <w:r w:rsidR="004A15D3">
              <w:rPr>
                <w:rFonts w:eastAsia="Times New Roman" w:cs="Calibri"/>
                <w:color w:val="000000"/>
                <w:sz w:val="14"/>
                <w:szCs w:val="14"/>
                <w:lang w:eastAsia="en-GB"/>
              </w:rPr>
              <w:t>example</w:t>
            </w:r>
            <w:r w:rsidR="00B81448">
              <w:rPr>
                <w:rFonts w:eastAsia="Times New Roman" w:cs="Calibri"/>
                <w:color w:val="000000"/>
                <w:sz w:val="14"/>
                <w:szCs w:val="14"/>
                <w:lang w:eastAsia="en-GB"/>
              </w:rPr>
              <w:t xml:space="preserve"> </w:t>
            </w:r>
            <w:r w:rsidR="00657605">
              <w:rPr>
                <w:rFonts w:eastAsia="Times New Roman" w:cs="Calibri"/>
                <w:color w:val="000000"/>
                <w:sz w:val="14"/>
                <w:szCs w:val="14"/>
                <w:lang w:eastAsia="en-GB"/>
              </w:rPr>
              <w:t>for est</w:t>
            </w:r>
            <w:r w:rsidR="005F2552">
              <w:rPr>
                <w:rFonts w:eastAsia="Times New Roman" w:cs="Calibri"/>
                <w:color w:val="000000"/>
                <w:sz w:val="14"/>
                <w:szCs w:val="14"/>
                <w:lang w:eastAsia="en-GB"/>
              </w:rPr>
              <w:t>ablishing hydrogen production hubs</w:t>
            </w:r>
          </w:p>
        </w:tc>
      </w:tr>
      <w:tr w:rsidR="00890E30" w:rsidRPr="005A53E1" w14:paraId="2538A104" w14:textId="36C1CC0C" w:rsidTr="00105E8B">
        <w:trPr>
          <w:trHeight w:val="701"/>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3546EF32"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2</w:t>
            </w:r>
          </w:p>
        </w:tc>
        <w:tc>
          <w:tcPr>
            <w:tcW w:w="1813" w:type="dxa"/>
            <w:hideMark/>
          </w:tcPr>
          <w:p w14:paraId="7D532EBF" w14:textId="1E350DC3"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Integrated 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project (production</w:t>
            </w:r>
            <w:r w:rsidR="00F02D30">
              <w:rPr>
                <w:rFonts w:eastAsia="Times New Roman" w:cs="Calibri"/>
                <w:color w:val="000000"/>
                <w:sz w:val="14"/>
                <w:szCs w:val="14"/>
                <w:lang w:eastAsia="en-GB"/>
              </w:rPr>
              <w:t xml:space="preserve"> and</w:t>
            </w:r>
            <w:r w:rsidRPr="006A19D1">
              <w:rPr>
                <w:rFonts w:eastAsia="Times New Roman" w:cs="Calibri"/>
                <w:color w:val="000000"/>
                <w:sz w:val="14"/>
                <w:szCs w:val="14"/>
                <w:lang w:eastAsia="en-GB"/>
              </w:rPr>
              <w:t xml:space="preserve"> use)</w:t>
            </w:r>
          </w:p>
        </w:tc>
        <w:tc>
          <w:tcPr>
            <w:tcW w:w="1640" w:type="dxa"/>
            <w:noWrap/>
            <w:hideMark/>
          </w:tcPr>
          <w:p w14:paraId="7B355091"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H2 NODES</w:t>
            </w:r>
          </w:p>
        </w:tc>
        <w:tc>
          <w:tcPr>
            <w:tcW w:w="1054" w:type="dxa"/>
            <w:noWrap/>
            <w:hideMark/>
          </w:tcPr>
          <w:p w14:paraId="652084D5"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Estonia</w:t>
            </w:r>
          </w:p>
        </w:tc>
        <w:tc>
          <w:tcPr>
            <w:tcW w:w="992" w:type="dxa"/>
            <w:noWrap/>
            <w:hideMark/>
          </w:tcPr>
          <w:p w14:paraId="2B94C1D6"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2016-NA</w:t>
            </w:r>
          </w:p>
        </w:tc>
        <w:tc>
          <w:tcPr>
            <w:tcW w:w="1134" w:type="dxa"/>
            <w:noWrap/>
            <w:hideMark/>
          </w:tcPr>
          <w:p w14:paraId="04DCFC26"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Project </w:t>
            </w:r>
          </w:p>
        </w:tc>
        <w:tc>
          <w:tcPr>
            <w:tcW w:w="4394" w:type="dxa"/>
            <w:hideMark/>
          </w:tcPr>
          <w:p w14:paraId="2CC1E345" w14:textId="2A583F6D" w:rsidR="00890E30" w:rsidRPr="006A19D1" w:rsidRDefault="00890E30"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H2Nodes </w:t>
            </w:r>
            <w:r w:rsidR="0092682E" w:rsidRPr="006A19D1">
              <w:rPr>
                <w:rFonts w:eastAsia="Times New Roman" w:cs="Calibri"/>
                <w:color w:val="000000"/>
                <w:sz w:val="14"/>
                <w:szCs w:val="14"/>
                <w:lang w:eastAsia="en-GB"/>
              </w:rPr>
              <w:t>investigates</w:t>
            </w:r>
            <w:r w:rsidRPr="006A19D1">
              <w:rPr>
                <w:rFonts w:eastAsia="Times New Roman" w:cs="Calibri"/>
                <w:color w:val="000000"/>
                <w:sz w:val="14"/>
                <w:szCs w:val="14"/>
                <w:lang w:eastAsia="en-GB"/>
              </w:rPr>
              <w:t xml:space="preserve"> planning and realising a chain of hydrogen refuelling stations (HRS) and boosting demand for fuel cell electric vehicles (FCEVs) along the North Sea - Baltic core network corridor.</w:t>
            </w:r>
          </w:p>
        </w:tc>
        <w:tc>
          <w:tcPr>
            <w:tcW w:w="2977" w:type="dxa"/>
          </w:tcPr>
          <w:p w14:paraId="43BDB250" w14:textId="78E4AF54" w:rsidR="00890E30" w:rsidRPr="006A19D1" w:rsidRDefault="00D04F24"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Can be</w:t>
            </w:r>
            <w:r w:rsidR="00D60DBA">
              <w:rPr>
                <w:rFonts w:eastAsia="Times New Roman" w:cs="Calibri"/>
                <w:color w:val="000000"/>
                <w:sz w:val="14"/>
                <w:szCs w:val="14"/>
                <w:lang w:eastAsia="en-GB"/>
              </w:rPr>
              <w:t xml:space="preserve"> taken as </w:t>
            </w:r>
            <w:proofErr w:type="spellStart"/>
            <w:r w:rsidR="0060558D">
              <w:rPr>
                <w:rFonts w:eastAsia="Times New Roman" w:cs="Calibri"/>
                <w:color w:val="000000"/>
                <w:sz w:val="14"/>
                <w:szCs w:val="14"/>
                <w:lang w:eastAsia="en-GB"/>
              </w:rPr>
              <w:t>a</w:t>
            </w:r>
            <w:proofErr w:type="spellEnd"/>
            <w:r w:rsidR="0060558D">
              <w:rPr>
                <w:rFonts w:eastAsia="Times New Roman" w:cs="Calibri"/>
                <w:color w:val="000000"/>
                <w:sz w:val="14"/>
                <w:szCs w:val="14"/>
                <w:lang w:eastAsia="en-GB"/>
              </w:rPr>
              <w:t xml:space="preserve"> example of dedicated hydrogen production for transport sector</w:t>
            </w:r>
          </w:p>
        </w:tc>
      </w:tr>
      <w:tr w:rsidR="00890E30" w:rsidRPr="005A53E1" w14:paraId="56BAFF1C" w14:textId="2170739D" w:rsidTr="00105E8B">
        <w:trPr>
          <w:trHeight w:val="1505"/>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0885CCDB"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3</w:t>
            </w:r>
          </w:p>
        </w:tc>
        <w:tc>
          <w:tcPr>
            <w:tcW w:w="1813" w:type="dxa"/>
            <w:noWrap/>
            <w:hideMark/>
          </w:tcPr>
          <w:p w14:paraId="10109C18"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production</w:t>
            </w:r>
          </w:p>
        </w:tc>
        <w:tc>
          <w:tcPr>
            <w:tcW w:w="1640" w:type="dxa"/>
            <w:hideMark/>
          </w:tcPr>
          <w:p w14:paraId="6840F07A"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Power to Gas Production with infrastructure building/enhancement</w:t>
            </w:r>
          </w:p>
        </w:tc>
        <w:tc>
          <w:tcPr>
            <w:tcW w:w="1054" w:type="dxa"/>
            <w:noWrap/>
            <w:hideMark/>
          </w:tcPr>
          <w:p w14:paraId="710DBB6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Latvia</w:t>
            </w:r>
          </w:p>
        </w:tc>
        <w:tc>
          <w:tcPr>
            <w:tcW w:w="992" w:type="dxa"/>
            <w:noWrap/>
            <w:hideMark/>
          </w:tcPr>
          <w:p w14:paraId="36DADFB1"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NA-NA</w:t>
            </w:r>
          </w:p>
        </w:tc>
        <w:tc>
          <w:tcPr>
            <w:tcW w:w="1134" w:type="dxa"/>
            <w:noWrap/>
            <w:hideMark/>
          </w:tcPr>
          <w:p w14:paraId="05C46697"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Project </w:t>
            </w:r>
          </w:p>
        </w:tc>
        <w:tc>
          <w:tcPr>
            <w:tcW w:w="4394" w:type="dxa"/>
            <w:hideMark/>
          </w:tcPr>
          <w:p w14:paraId="5AA067CD" w14:textId="77777777" w:rsidR="00890E30" w:rsidRPr="006A19D1" w:rsidRDefault="00890E30"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Power to Gas technology will be used and generated hydrogen as also potentially synthetic hydrocarbon will be injected into existing gas transmission grid with possible utilization of existing or creation of new aquifer gas storage. The first steps of the demonstration project will be feasibility study on the best location and technology as well the impact of hydrogen on aquifer storages. Option of production of the synthetic methane capturing CO2 from industrial site also will be considered.</w:t>
            </w:r>
          </w:p>
        </w:tc>
        <w:tc>
          <w:tcPr>
            <w:tcW w:w="2977" w:type="dxa"/>
          </w:tcPr>
          <w:p w14:paraId="7210051B" w14:textId="64B9561A" w:rsidR="00890E30" w:rsidRPr="006A19D1" w:rsidRDefault="00F6502B"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 xml:space="preserve">It is an example to initiate the </w:t>
            </w:r>
            <w:r w:rsidR="00D63942">
              <w:rPr>
                <w:rFonts w:eastAsia="Times New Roman" w:cs="Calibri"/>
                <w:color w:val="000000"/>
                <w:sz w:val="14"/>
                <w:szCs w:val="14"/>
                <w:lang w:eastAsia="en-GB"/>
              </w:rPr>
              <w:t>power-to-gas project</w:t>
            </w:r>
            <w:r w:rsidR="00A92544">
              <w:rPr>
                <w:rFonts w:eastAsia="Times New Roman" w:cs="Calibri"/>
                <w:color w:val="000000"/>
                <w:sz w:val="14"/>
                <w:szCs w:val="14"/>
                <w:lang w:eastAsia="en-GB"/>
              </w:rPr>
              <w:t>s</w:t>
            </w:r>
            <w:r w:rsidR="001C5DCB">
              <w:rPr>
                <w:rFonts w:eastAsia="Times New Roman" w:cs="Calibri"/>
                <w:color w:val="000000"/>
                <w:sz w:val="14"/>
                <w:szCs w:val="14"/>
                <w:lang w:eastAsia="en-GB"/>
              </w:rPr>
              <w:t xml:space="preserve"> </w:t>
            </w:r>
            <w:r w:rsidR="00A92544">
              <w:rPr>
                <w:rFonts w:eastAsia="Times New Roman" w:cs="Calibri"/>
                <w:color w:val="000000"/>
                <w:sz w:val="14"/>
                <w:szCs w:val="14"/>
                <w:lang w:eastAsia="en-GB"/>
              </w:rPr>
              <w:t>(renewable hydrogen and SNG)</w:t>
            </w:r>
            <w:r w:rsidR="0075706E">
              <w:rPr>
                <w:rFonts w:eastAsia="Times New Roman" w:cs="Calibri"/>
                <w:color w:val="000000"/>
                <w:sz w:val="14"/>
                <w:szCs w:val="14"/>
                <w:lang w:eastAsia="en-GB"/>
              </w:rPr>
              <w:t xml:space="preserve"> and to test their feasibility</w:t>
            </w:r>
            <w:r w:rsidR="005C625B">
              <w:rPr>
                <w:rFonts w:eastAsia="Times New Roman" w:cs="Calibri"/>
                <w:color w:val="000000"/>
                <w:sz w:val="14"/>
                <w:szCs w:val="14"/>
                <w:lang w:eastAsia="en-GB"/>
              </w:rPr>
              <w:t xml:space="preserve"> for gas blending</w:t>
            </w:r>
            <w:r w:rsidR="00F32711">
              <w:rPr>
                <w:rFonts w:eastAsia="Times New Roman" w:cs="Calibri"/>
                <w:color w:val="000000"/>
                <w:sz w:val="14"/>
                <w:szCs w:val="14"/>
                <w:lang w:eastAsia="en-GB"/>
              </w:rPr>
              <w:t xml:space="preserve"> (in the NG infrastructure)</w:t>
            </w:r>
            <w:r w:rsidR="005C625B">
              <w:rPr>
                <w:rFonts w:eastAsia="Times New Roman" w:cs="Calibri"/>
                <w:color w:val="000000"/>
                <w:sz w:val="14"/>
                <w:szCs w:val="14"/>
                <w:lang w:eastAsia="en-GB"/>
              </w:rPr>
              <w:t xml:space="preserve"> and </w:t>
            </w:r>
            <w:r w:rsidR="00F32711">
              <w:rPr>
                <w:rFonts w:eastAsia="Times New Roman" w:cs="Calibri"/>
                <w:color w:val="000000"/>
                <w:sz w:val="14"/>
                <w:szCs w:val="14"/>
                <w:lang w:eastAsia="en-GB"/>
              </w:rPr>
              <w:t>to test</w:t>
            </w:r>
            <w:r w:rsidR="00C13939">
              <w:rPr>
                <w:rFonts w:eastAsia="Times New Roman" w:cs="Calibri"/>
                <w:color w:val="000000"/>
                <w:sz w:val="14"/>
                <w:szCs w:val="14"/>
                <w:lang w:eastAsia="en-GB"/>
              </w:rPr>
              <w:t xml:space="preserve"> </w:t>
            </w:r>
            <w:r w:rsidR="00A4207E">
              <w:rPr>
                <w:rFonts w:eastAsia="Times New Roman" w:cs="Calibri"/>
                <w:color w:val="000000"/>
                <w:sz w:val="14"/>
                <w:szCs w:val="14"/>
                <w:lang w:eastAsia="en-GB"/>
              </w:rPr>
              <w:t xml:space="preserve">hydrogen injection in </w:t>
            </w:r>
            <w:r w:rsidR="005C625B">
              <w:rPr>
                <w:rFonts w:eastAsia="Times New Roman" w:cs="Calibri"/>
                <w:color w:val="000000"/>
                <w:sz w:val="14"/>
                <w:szCs w:val="14"/>
                <w:lang w:eastAsia="en-GB"/>
              </w:rPr>
              <w:t>underground storages</w:t>
            </w:r>
            <w:r w:rsidR="00A4207E">
              <w:rPr>
                <w:rFonts w:eastAsia="Times New Roman" w:cs="Calibri"/>
                <w:color w:val="000000"/>
                <w:sz w:val="14"/>
                <w:szCs w:val="14"/>
                <w:lang w:eastAsia="en-GB"/>
              </w:rPr>
              <w:t xml:space="preserve"> points in 3B+F region</w:t>
            </w:r>
            <w:r w:rsidR="00026CC3">
              <w:rPr>
                <w:rFonts w:eastAsia="Times New Roman" w:cs="Calibri"/>
                <w:color w:val="000000"/>
                <w:sz w:val="14"/>
                <w:szCs w:val="14"/>
                <w:lang w:eastAsia="en-GB"/>
              </w:rPr>
              <w:t xml:space="preserve"> </w:t>
            </w:r>
          </w:p>
        </w:tc>
      </w:tr>
      <w:tr w:rsidR="00890E30" w:rsidRPr="005A53E1" w14:paraId="1F826764" w14:textId="12F964B6" w:rsidTr="00105E8B">
        <w:trPr>
          <w:trHeight w:val="482"/>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5ED9B4A1"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4</w:t>
            </w:r>
          </w:p>
        </w:tc>
        <w:tc>
          <w:tcPr>
            <w:tcW w:w="1813" w:type="dxa"/>
            <w:hideMark/>
          </w:tcPr>
          <w:p w14:paraId="60F36E10"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Integrated 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project (production, transport, use)</w:t>
            </w:r>
          </w:p>
        </w:tc>
        <w:tc>
          <w:tcPr>
            <w:tcW w:w="1640" w:type="dxa"/>
            <w:hideMark/>
          </w:tcPr>
          <w:p w14:paraId="75D23307"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Hydrogen injection into the gas network in Lithuania (power-to-gas)</w:t>
            </w:r>
          </w:p>
        </w:tc>
        <w:tc>
          <w:tcPr>
            <w:tcW w:w="1054" w:type="dxa"/>
            <w:noWrap/>
            <w:hideMark/>
          </w:tcPr>
          <w:p w14:paraId="40757DE6"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Lithuania</w:t>
            </w:r>
          </w:p>
        </w:tc>
        <w:tc>
          <w:tcPr>
            <w:tcW w:w="992" w:type="dxa"/>
            <w:noWrap/>
            <w:hideMark/>
          </w:tcPr>
          <w:p w14:paraId="766BA8A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2022-2024</w:t>
            </w:r>
          </w:p>
        </w:tc>
        <w:tc>
          <w:tcPr>
            <w:tcW w:w="1134" w:type="dxa"/>
            <w:hideMark/>
          </w:tcPr>
          <w:p w14:paraId="1B31450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(Pilot)</w:t>
            </w:r>
          </w:p>
        </w:tc>
        <w:tc>
          <w:tcPr>
            <w:tcW w:w="4394" w:type="dxa"/>
            <w:hideMark/>
          </w:tcPr>
          <w:p w14:paraId="4C316F29" w14:textId="77777777" w:rsidR="00890E30" w:rsidRPr="006A19D1" w:rsidRDefault="00890E30"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Hydrogen mixing in gas networks, investigating mixture effects in transport infrastructure and consumers devices.</w:t>
            </w:r>
          </w:p>
        </w:tc>
        <w:tc>
          <w:tcPr>
            <w:tcW w:w="2977" w:type="dxa"/>
          </w:tcPr>
          <w:p w14:paraId="04995504" w14:textId="6C51843E" w:rsidR="00890E30" w:rsidRPr="006A19D1" w:rsidRDefault="0048174D"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 xml:space="preserve">This pilot project can be taken as an example to initiate </w:t>
            </w:r>
            <w:r w:rsidR="00990EBA">
              <w:rPr>
                <w:rFonts w:eastAsia="Times New Roman" w:cs="Calibri"/>
                <w:color w:val="000000"/>
                <w:sz w:val="14"/>
                <w:szCs w:val="14"/>
                <w:lang w:eastAsia="en-GB"/>
              </w:rPr>
              <w:t xml:space="preserve">the practical testing of </w:t>
            </w:r>
            <w:r w:rsidR="00DC57AD">
              <w:rPr>
                <w:rFonts w:eastAsia="Times New Roman" w:cs="Calibri"/>
                <w:color w:val="000000"/>
                <w:sz w:val="14"/>
                <w:szCs w:val="14"/>
                <w:lang w:eastAsia="en-GB"/>
              </w:rPr>
              <w:t>gas infrastructure with different hydrogen blends in the member states in the 3B+F region</w:t>
            </w:r>
          </w:p>
        </w:tc>
      </w:tr>
      <w:tr w:rsidR="00890E30" w:rsidRPr="005A53E1" w14:paraId="60E3F5C5" w14:textId="0C9583A5" w:rsidTr="00105E8B">
        <w:trPr>
          <w:trHeight w:val="1146"/>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68C52597"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5</w:t>
            </w:r>
          </w:p>
        </w:tc>
        <w:tc>
          <w:tcPr>
            <w:tcW w:w="1813" w:type="dxa"/>
            <w:noWrap/>
            <w:hideMark/>
          </w:tcPr>
          <w:p w14:paraId="6E400FE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production</w:t>
            </w:r>
          </w:p>
        </w:tc>
        <w:tc>
          <w:tcPr>
            <w:tcW w:w="1640" w:type="dxa"/>
            <w:noWrap/>
            <w:hideMark/>
          </w:tcPr>
          <w:p w14:paraId="2AAE3EE0"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OYSTER</w:t>
            </w:r>
          </w:p>
        </w:tc>
        <w:tc>
          <w:tcPr>
            <w:tcW w:w="1054" w:type="dxa"/>
            <w:noWrap/>
            <w:hideMark/>
          </w:tcPr>
          <w:p w14:paraId="424417E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Denmark</w:t>
            </w:r>
          </w:p>
        </w:tc>
        <w:tc>
          <w:tcPr>
            <w:tcW w:w="992" w:type="dxa"/>
            <w:noWrap/>
            <w:hideMark/>
          </w:tcPr>
          <w:p w14:paraId="49551A2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2021-2024</w:t>
            </w:r>
          </w:p>
        </w:tc>
        <w:tc>
          <w:tcPr>
            <w:tcW w:w="1134" w:type="dxa"/>
            <w:hideMark/>
          </w:tcPr>
          <w:p w14:paraId="60D86CCE"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(Pilot)</w:t>
            </w:r>
          </w:p>
        </w:tc>
        <w:tc>
          <w:tcPr>
            <w:tcW w:w="4394" w:type="dxa"/>
            <w:hideMark/>
          </w:tcPr>
          <w:p w14:paraId="69D30E99" w14:textId="77777777" w:rsidR="00890E30" w:rsidRPr="006A19D1" w:rsidRDefault="00890E30"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The OYSTER project will lead to the development and demonstration of a marinized electrolyser designed for integration with offshore wind turbines. Preparation for further offshore testing of wind-hydrogen systems will be undertaken, and results from the studies will be disseminated in a targeted way to help advance the sector and prepare the market for deployment at scale</w:t>
            </w:r>
          </w:p>
        </w:tc>
        <w:tc>
          <w:tcPr>
            <w:tcW w:w="2977" w:type="dxa"/>
          </w:tcPr>
          <w:p w14:paraId="5EE81952" w14:textId="0FB5F20F" w:rsidR="00890E30" w:rsidRPr="006A19D1" w:rsidRDefault="00826FFE"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Can be taken as a working example for establishing offshore hydrogen production hubs in 3B+F region</w:t>
            </w:r>
          </w:p>
        </w:tc>
      </w:tr>
      <w:tr w:rsidR="00890E30" w:rsidRPr="005A53E1" w14:paraId="3E8F4332" w14:textId="34855243" w:rsidTr="00105E8B">
        <w:trPr>
          <w:trHeight w:val="416"/>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24587FE1"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6</w:t>
            </w:r>
          </w:p>
        </w:tc>
        <w:tc>
          <w:tcPr>
            <w:tcW w:w="1813" w:type="dxa"/>
            <w:hideMark/>
          </w:tcPr>
          <w:p w14:paraId="722E912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production/SNG Production</w:t>
            </w:r>
          </w:p>
        </w:tc>
        <w:tc>
          <w:tcPr>
            <w:tcW w:w="1640" w:type="dxa"/>
            <w:noWrap/>
            <w:hideMark/>
          </w:tcPr>
          <w:p w14:paraId="7F82C09B"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P2G Augsburg project</w:t>
            </w:r>
          </w:p>
        </w:tc>
        <w:tc>
          <w:tcPr>
            <w:tcW w:w="1054" w:type="dxa"/>
            <w:noWrap/>
            <w:hideMark/>
          </w:tcPr>
          <w:p w14:paraId="3C291287"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Germany</w:t>
            </w:r>
          </w:p>
        </w:tc>
        <w:tc>
          <w:tcPr>
            <w:tcW w:w="992" w:type="dxa"/>
            <w:noWrap/>
            <w:hideMark/>
          </w:tcPr>
          <w:p w14:paraId="0EB8A3C1"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2018-NA</w:t>
            </w:r>
          </w:p>
        </w:tc>
        <w:tc>
          <w:tcPr>
            <w:tcW w:w="1134" w:type="dxa"/>
            <w:hideMark/>
          </w:tcPr>
          <w:p w14:paraId="5C6EED5E"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(Pilot)</w:t>
            </w:r>
          </w:p>
        </w:tc>
        <w:tc>
          <w:tcPr>
            <w:tcW w:w="4394" w:type="dxa"/>
            <w:hideMark/>
          </w:tcPr>
          <w:p w14:paraId="26950937" w14:textId="77777777" w:rsidR="00890E30" w:rsidRPr="006A19D1" w:rsidRDefault="00890E30" w:rsidP="0092682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Installation of a decentralized power-to-gas system in a residential complex in Augsburg. Renewable electricity not consumed directly, it is used to generate hydrogen in an electrolyser and converted into synthetic natural gas using carbon dioxide. Synthetic gas in this way can be used to generate heat in a CHP plant and condensing boiler.</w:t>
            </w:r>
          </w:p>
        </w:tc>
        <w:tc>
          <w:tcPr>
            <w:tcW w:w="2977" w:type="dxa"/>
          </w:tcPr>
          <w:p w14:paraId="79B1AF00" w14:textId="3B8B7D8F" w:rsidR="00890E30" w:rsidRPr="006A19D1" w:rsidRDefault="00EA21EB"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It is a working example of SNG production for power sector</w:t>
            </w:r>
            <w:r w:rsidR="00817033">
              <w:rPr>
                <w:rFonts w:eastAsia="Times New Roman" w:cs="Calibri"/>
                <w:color w:val="000000"/>
                <w:sz w:val="14"/>
                <w:szCs w:val="14"/>
                <w:lang w:eastAsia="en-GB"/>
              </w:rPr>
              <w:t>. This can be taken as a reference for SNG to be included in the gas sector mix in 3B+F region</w:t>
            </w:r>
          </w:p>
        </w:tc>
      </w:tr>
      <w:tr w:rsidR="00890E30" w:rsidRPr="005A53E1" w14:paraId="46BA1BCC" w14:textId="62EDE499" w:rsidTr="00105E8B">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1911A231"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7</w:t>
            </w:r>
          </w:p>
        </w:tc>
        <w:tc>
          <w:tcPr>
            <w:tcW w:w="1813" w:type="dxa"/>
            <w:hideMark/>
          </w:tcPr>
          <w:p w14:paraId="54880126"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production/consumption</w:t>
            </w:r>
          </w:p>
        </w:tc>
        <w:tc>
          <w:tcPr>
            <w:tcW w:w="1640" w:type="dxa"/>
            <w:hideMark/>
          </w:tcPr>
          <w:p w14:paraId="00A0F65C"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12857">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production projects</w:t>
            </w:r>
          </w:p>
        </w:tc>
        <w:tc>
          <w:tcPr>
            <w:tcW w:w="1054" w:type="dxa"/>
            <w:noWrap/>
            <w:hideMark/>
          </w:tcPr>
          <w:p w14:paraId="405DB96B"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Italy </w:t>
            </w:r>
          </w:p>
        </w:tc>
        <w:tc>
          <w:tcPr>
            <w:tcW w:w="992" w:type="dxa"/>
            <w:noWrap/>
            <w:hideMark/>
          </w:tcPr>
          <w:p w14:paraId="669F0F6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2022-2023</w:t>
            </w:r>
          </w:p>
        </w:tc>
        <w:tc>
          <w:tcPr>
            <w:tcW w:w="1134" w:type="dxa"/>
            <w:hideMark/>
          </w:tcPr>
          <w:p w14:paraId="7F1E612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(Pilot)</w:t>
            </w:r>
          </w:p>
        </w:tc>
        <w:tc>
          <w:tcPr>
            <w:tcW w:w="4394" w:type="dxa"/>
            <w:hideMark/>
          </w:tcPr>
          <w:p w14:paraId="4B819EE9" w14:textId="2FCAD052" w:rsidR="00890E30" w:rsidRPr="006A19D1" w:rsidRDefault="00890E30" w:rsidP="0092682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The companies are studying two pilot projects aiming at supplying green hydrogen to qualified Eni refineries. The two pilot projects will involve </w:t>
            </w:r>
            <w:r w:rsidR="0092682E" w:rsidRPr="006A19D1">
              <w:rPr>
                <w:rFonts w:eastAsia="Times New Roman" w:cs="Calibri"/>
                <w:color w:val="000000"/>
                <w:sz w:val="14"/>
                <w:szCs w:val="14"/>
                <w:lang w:eastAsia="en-GB"/>
              </w:rPr>
              <w:t>electrolysers</w:t>
            </w:r>
            <w:r w:rsidRPr="006A19D1">
              <w:rPr>
                <w:rFonts w:eastAsia="Times New Roman" w:cs="Calibri"/>
                <w:color w:val="000000"/>
                <w:sz w:val="14"/>
                <w:szCs w:val="14"/>
                <w:lang w:eastAsia="en-GB"/>
              </w:rPr>
              <w:t xml:space="preserve"> of around 10 MW each and are expected to start generating green hydrogen by 2022-2023</w:t>
            </w:r>
            <w:r w:rsidR="0092682E">
              <w:rPr>
                <w:rFonts w:eastAsia="Times New Roman" w:cs="Calibri"/>
                <w:color w:val="000000"/>
                <w:sz w:val="14"/>
                <w:szCs w:val="14"/>
                <w:lang w:eastAsia="en-GB"/>
              </w:rPr>
              <w:t>.</w:t>
            </w:r>
          </w:p>
        </w:tc>
        <w:tc>
          <w:tcPr>
            <w:tcW w:w="2977" w:type="dxa"/>
          </w:tcPr>
          <w:p w14:paraId="5B67AF33" w14:textId="420EB6B2" w:rsidR="00890E30" w:rsidRPr="006A19D1" w:rsidRDefault="002D69EA"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 xml:space="preserve">This pilot project is an example of renewable hydrogen inclusion in </w:t>
            </w:r>
            <w:r w:rsidR="00D463A1">
              <w:rPr>
                <w:rFonts w:eastAsia="Times New Roman" w:cs="Calibri"/>
                <w:color w:val="000000"/>
                <w:sz w:val="14"/>
                <w:szCs w:val="14"/>
                <w:lang w:eastAsia="en-GB"/>
              </w:rPr>
              <w:t>refineries</w:t>
            </w:r>
            <w:r>
              <w:rPr>
                <w:rFonts w:eastAsia="Times New Roman" w:cs="Calibri"/>
                <w:color w:val="000000"/>
                <w:sz w:val="14"/>
                <w:szCs w:val="14"/>
                <w:lang w:eastAsia="en-GB"/>
              </w:rPr>
              <w:t xml:space="preserve"> to decarbonize and reduce the </w:t>
            </w:r>
            <w:r w:rsidR="00D463A1">
              <w:rPr>
                <w:rFonts w:eastAsia="Times New Roman" w:cs="Calibri"/>
                <w:color w:val="000000"/>
                <w:sz w:val="14"/>
                <w:szCs w:val="14"/>
                <w:lang w:eastAsia="en-GB"/>
              </w:rPr>
              <w:t>fossil hydrogen use. This pilot project can be taken as an example to</w:t>
            </w:r>
            <w:r w:rsidR="00E16E13">
              <w:rPr>
                <w:rFonts w:eastAsia="Times New Roman" w:cs="Calibri"/>
                <w:color w:val="000000"/>
                <w:sz w:val="14"/>
                <w:szCs w:val="14"/>
                <w:lang w:eastAsia="en-GB"/>
              </w:rPr>
              <w:t xml:space="preserve"> initiate the </w:t>
            </w:r>
            <w:r w:rsidR="00E16E13">
              <w:rPr>
                <w:rFonts w:eastAsia="Times New Roman" w:cs="Calibri"/>
                <w:color w:val="000000"/>
                <w:sz w:val="14"/>
                <w:szCs w:val="14"/>
                <w:lang w:eastAsia="en-GB"/>
              </w:rPr>
              <w:lastRenderedPageBreak/>
              <w:t xml:space="preserve">renewable hydrogen deployment for refineries in Lithuania and Finland. </w:t>
            </w:r>
          </w:p>
        </w:tc>
      </w:tr>
      <w:tr w:rsidR="00890E30" w:rsidRPr="005A53E1" w14:paraId="6268E057" w14:textId="21565A3E" w:rsidTr="00105E8B">
        <w:trPr>
          <w:trHeight w:val="322"/>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6CC94210"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lastRenderedPageBreak/>
              <w:t>8</w:t>
            </w:r>
          </w:p>
        </w:tc>
        <w:tc>
          <w:tcPr>
            <w:tcW w:w="1813" w:type="dxa"/>
            <w:hideMark/>
          </w:tcPr>
          <w:p w14:paraId="7FF861A9"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production/consumption</w:t>
            </w:r>
          </w:p>
        </w:tc>
        <w:tc>
          <w:tcPr>
            <w:tcW w:w="1640" w:type="dxa"/>
            <w:noWrap/>
            <w:hideMark/>
          </w:tcPr>
          <w:p w14:paraId="76C7885A"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REFHYNE</w:t>
            </w:r>
          </w:p>
        </w:tc>
        <w:tc>
          <w:tcPr>
            <w:tcW w:w="1054" w:type="dxa"/>
            <w:noWrap/>
            <w:hideMark/>
          </w:tcPr>
          <w:p w14:paraId="6B2E69F9"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Germany</w:t>
            </w:r>
          </w:p>
        </w:tc>
        <w:tc>
          <w:tcPr>
            <w:tcW w:w="992" w:type="dxa"/>
            <w:noWrap/>
            <w:hideMark/>
          </w:tcPr>
          <w:p w14:paraId="6EA46A0B"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2018-2022</w:t>
            </w:r>
          </w:p>
        </w:tc>
        <w:tc>
          <w:tcPr>
            <w:tcW w:w="1134" w:type="dxa"/>
            <w:noWrap/>
            <w:hideMark/>
          </w:tcPr>
          <w:p w14:paraId="34851A1D"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w:t>
            </w:r>
          </w:p>
        </w:tc>
        <w:tc>
          <w:tcPr>
            <w:tcW w:w="4394" w:type="dxa"/>
            <w:hideMark/>
          </w:tcPr>
          <w:p w14:paraId="71479696" w14:textId="77777777" w:rsidR="00890E30" w:rsidRPr="006A19D1" w:rsidRDefault="00890E30" w:rsidP="0092682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The REFHYNE project will install and operate a 10MW electrolyser from ITM Power at a large refinery in Rhineland, Germany, which is operated by Shell Deutschland Oils. The electrolyser will provide bulk quantities of hydrogen to the refinery’s hydrogen pipeline system (currently supplied by two steam methane reformers). The electrolyser will be operated in a highly responsive mode, helping to balance the refinery’s internal electricity grid and also selling Primary Control Reserve service to the German Transmission System Operators.</w:t>
            </w:r>
          </w:p>
        </w:tc>
        <w:tc>
          <w:tcPr>
            <w:tcW w:w="2977" w:type="dxa"/>
          </w:tcPr>
          <w:p w14:paraId="08D0BF4A" w14:textId="675EB262" w:rsidR="00890E30" w:rsidRPr="006A19D1" w:rsidRDefault="00E16E13"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This pilot project is an example of renewable hydrogen inclusion in refineries to decarbonize and reduce the fossil hydrogen use. This pilot project can be taken as an example to initiate the renewable hydrogen deployment for refineries in Lithuania and Finland.</w:t>
            </w:r>
          </w:p>
        </w:tc>
      </w:tr>
      <w:tr w:rsidR="00890E30" w:rsidRPr="005A53E1" w14:paraId="37A35294" w14:textId="49DC69B8" w:rsidTr="00105E8B">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65BA0D03"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10</w:t>
            </w:r>
          </w:p>
        </w:tc>
        <w:tc>
          <w:tcPr>
            <w:tcW w:w="1813" w:type="dxa"/>
            <w:hideMark/>
          </w:tcPr>
          <w:p w14:paraId="2D921F7B"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blending</w:t>
            </w:r>
          </w:p>
        </w:tc>
        <w:tc>
          <w:tcPr>
            <w:tcW w:w="1640" w:type="dxa"/>
            <w:hideMark/>
          </w:tcPr>
          <w:p w14:paraId="59CE8108"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Energy Storage – Hydrogen injected into the Gas Grid via electrolysis field test</w:t>
            </w:r>
          </w:p>
        </w:tc>
        <w:tc>
          <w:tcPr>
            <w:tcW w:w="1054" w:type="dxa"/>
            <w:noWrap/>
            <w:hideMark/>
          </w:tcPr>
          <w:p w14:paraId="3E7A1E6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Denmark</w:t>
            </w:r>
          </w:p>
        </w:tc>
        <w:tc>
          <w:tcPr>
            <w:tcW w:w="992" w:type="dxa"/>
            <w:noWrap/>
            <w:hideMark/>
          </w:tcPr>
          <w:p w14:paraId="6DECC8D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2017-2019</w:t>
            </w:r>
          </w:p>
        </w:tc>
        <w:tc>
          <w:tcPr>
            <w:tcW w:w="1134" w:type="dxa"/>
            <w:noWrap/>
            <w:hideMark/>
          </w:tcPr>
          <w:p w14:paraId="2FE15970"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(R&amp;D)</w:t>
            </w:r>
          </w:p>
        </w:tc>
        <w:tc>
          <w:tcPr>
            <w:tcW w:w="4394" w:type="dxa"/>
            <w:hideMark/>
          </w:tcPr>
          <w:p w14:paraId="7330F13B" w14:textId="77777777" w:rsidR="00890E30" w:rsidRPr="006A19D1" w:rsidRDefault="00890E30" w:rsidP="0092682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How implement H2NG blend in already existing MR stations for transmission and distribution.  The project has demonstrated transportation of up to 15% hydrogen in natural gas in a closed-loop high-pressure system, consisting of components and infrastructure from both the transmission and distribution grids. The test has shown that there is no increased leakage of hydrogen from the system compared to natural gas and that the tested components from the gas system are capable of handling hydrogen in the tested concentrations without major modifications.</w:t>
            </w:r>
          </w:p>
        </w:tc>
        <w:tc>
          <w:tcPr>
            <w:tcW w:w="2977" w:type="dxa"/>
          </w:tcPr>
          <w:p w14:paraId="27D0932F" w14:textId="3BDCCD3F" w:rsidR="00890E30" w:rsidRPr="006A19D1" w:rsidRDefault="0051428A"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 xml:space="preserve">This R&amp;D project example can be </w:t>
            </w:r>
            <w:r w:rsidR="00C3335D">
              <w:rPr>
                <w:rFonts w:eastAsia="Times New Roman" w:cs="Calibri"/>
                <w:color w:val="000000"/>
                <w:sz w:val="14"/>
                <w:szCs w:val="14"/>
                <w:lang w:eastAsia="en-GB"/>
              </w:rPr>
              <w:t>taken as a guide to start testing the hydrogen blends in NG infrastructure in 3B+F zone</w:t>
            </w:r>
            <w:r w:rsidR="00E96CF2">
              <w:rPr>
                <w:rFonts w:eastAsia="Times New Roman" w:cs="Calibri"/>
                <w:color w:val="000000"/>
                <w:sz w:val="14"/>
                <w:szCs w:val="14"/>
                <w:lang w:eastAsia="en-GB"/>
              </w:rPr>
              <w:t xml:space="preserve"> </w:t>
            </w:r>
          </w:p>
        </w:tc>
      </w:tr>
      <w:tr w:rsidR="00890E30" w:rsidRPr="005A53E1" w14:paraId="63B68D49" w14:textId="18441014" w:rsidTr="00105E8B">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0FA3D235"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11</w:t>
            </w:r>
          </w:p>
        </w:tc>
        <w:tc>
          <w:tcPr>
            <w:tcW w:w="1813" w:type="dxa"/>
            <w:hideMark/>
          </w:tcPr>
          <w:p w14:paraId="1AC3F7F3"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blending</w:t>
            </w:r>
          </w:p>
        </w:tc>
        <w:tc>
          <w:tcPr>
            <w:tcW w:w="1640" w:type="dxa"/>
            <w:hideMark/>
          </w:tcPr>
          <w:p w14:paraId="6B0BDDB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Hydrogen injection into the gas network in Lithuania (power-to-gas)</w:t>
            </w:r>
          </w:p>
        </w:tc>
        <w:tc>
          <w:tcPr>
            <w:tcW w:w="1054" w:type="dxa"/>
            <w:noWrap/>
            <w:hideMark/>
          </w:tcPr>
          <w:p w14:paraId="0C4E863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Lithuania</w:t>
            </w:r>
          </w:p>
        </w:tc>
        <w:tc>
          <w:tcPr>
            <w:tcW w:w="992" w:type="dxa"/>
            <w:noWrap/>
            <w:hideMark/>
          </w:tcPr>
          <w:p w14:paraId="3B7EECC1"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2022-2024</w:t>
            </w:r>
          </w:p>
        </w:tc>
        <w:tc>
          <w:tcPr>
            <w:tcW w:w="1134" w:type="dxa"/>
            <w:hideMark/>
          </w:tcPr>
          <w:p w14:paraId="0F4D719F"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(Pilot)</w:t>
            </w:r>
          </w:p>
        </w:tc>
        <w:tc>
          <w:tcPr>
            <w:tcW w:w="4394" w:type="dxa"/>
            <w:hideMark/>
          </w:tcPr>
          <w:p w14:paraId="290C9B82" w14:textId="77777777" w:rsidR="00890E30" w:rsidRPr="006A19D1" w:rsidRDefault="00890E30" w:rsidP="0092682E">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Hydrogen mixing in gas networks, investigating mixture effects in transport infrastructure and consumers devices.</w:t>
            </w:r>
          </w:p>
        </w:tc>
        <w:tc>
          <w:tcPr>
            <w:tcW w:w="2977" w:type="dxa"/>
          </w:tcPr>
          <w:p w14:paraId="06297AF4" w14:textId="723FF275" w:rsidR="00890E30" w:rsidRPr="006A19D1" w:rsidRDefault="00FC6BC2"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 xml:space="preserve">This R&amp;D project example can be taken as a guide to start testing the hydrogen blends in NG infrastructure </w:t>
            </w:r>
            <w:r w:rsidR="00AF1C7B">
              <w:rPr>
                <w:rFonts w:eastAsia="Times New Roman" w:cs="Calibri"/>
                <w:color w:val="000000"/>
                <w:sz w:val="14"/>
                <w:szCs w:val="14"/>
                <w:lang w:eastAsia="en-GB"/>
              </w:rPr>
              <w:t xml:space="preserve">and </w:t>
            </w:r>
            <w:r w:rsidR="007F6031">
              <w:rPr>
                <w:rFonts w:eastAsia="Times New Roman" w:cs="Calibri"/>
                <w:color w:val="000000"/>
                <w:sz w:val="14"/>
                <w:szCs w:val="14"/>
                <w:lang w:eastAsia="en-GB"/>
              </w:rPr>
              <w:t>to find out the</w:t>
            </w:r>
            <w:r w:rsidR="00AF1C7B">
              <w:rPr>
                <w:rFonts w:eastAsia="Times New Roman" w:cs="Calibri"/>
                <w:color w:val="000000"/>
                <w:sz w:val="14"/>
                <w:szCs w:val="14"/>
                <w:lang w:eastAsia="en-GB"/>
              </w:rPr>
              <w:t xml:space="preserve"> tolerable H</w:t>
            </w:r>
            <w:r w:rsidR="00AF1C7B" w:rsidRPr="00F12857">
              <w:rPr>
                <w:rFonts w:eastAsia="Times New Roman" w:cs="Calibri"/>
                <w:color w:val="000000"/>
                <w:sz w:val="14"/>
                <w:szCs w:val="14"/>
                <w:vertAlign w:val="subscript"/>
                <w:lang w:eastAsia="en-GB"/>
              </w:rPr>
              <w:t>2</w:t>
            </w:r>
            <w:r w:rsidR="00AF1C7B">
              <w:rPr>
                <w:rFonts w:eastAsia="Times New Roman" w:cs="Calibri"/>
                <w:color w:val="000000"/>
                <w:sz w:val="14"/>
                <w:szCs w:val="14"/>
                <w:lang w:eastAsia="en-GB"/>
              </w:rPr>
              <w:t xml:space="preserve"> mix in the end use </w:t>
            </w:r>
            <w:proofErr w:type="spellStart"/>
            <w:r w:rsidR="00316BB3">
              <w:rPr>
                <w:rFonts w:eastAsia="Times New Roman" w:cs="Calibri"/>
                <w:color w:val="000000"/>
                <w:sz w:val="14"/>
                <w:szCs w:val="14"/>
                <w:lang w:eastAsia="en-GB"/>
              </w:rPr>
              <w:t>equipments</w:t>
            </w:r>
            <w:proofErr w:type="spellEnd"/>
            <w:r w:rsidR="00AF1C7B">
              <w:rPr>
                <w:rFonts w:eastAsia="Times New Roman" w:cs="Calibri"/>
                <w:color w:val="000000"/>
                <w:sz w:val="14"/>
                <w:szCs w:val="14"/>
                <w:lang w:eastAsia="en-GB"/>
              </w:rPr>
              <w:t xml:space="preserve"> in each </w:t>
            </w:r>
            <w:r w:rsidR="00316BB3">
              <w:rPr>
                <w:rFonts w:eastAsia="Times New Roman" w:cs="Calibri"/>
                <w:color w:val="000000"/>
                <w:sz w:val="14"/>
                <w:szCs w:val="14"/>
                <w:lang w:eastAsia="en-GB"/>
              </w:rPr>
              <w:t xml:space="preserve">country in Baltic-Finnish zone. </w:t>
            </w:r>
          </w:p>
        </w:tc>
      </w:tr>
      <w:tr w:rsidR="00890E30" w:rsidRPr="005A53E1" w14:paraId="1846587B" w14:textId="36BAA43A" w:rsidTr="00105E8B">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6D571929"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12</w:t>
            </w:r>
          </w:p>
        </w:tc>
        <w:tc>
          <w:tcPr>
            <w:tcW w:w="1813" w:type="dxa"/>
            <w:hideMark/>
          </w:tcPr>
          <w:p w14:paraId="416D2C76"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A48C4">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blending/deblending</w:t>
            </w:r>
          </w:p>
        </w:tc>
        <w:tc>
          <w:tcPr>
            <w:tcW w:w="1640" w:type="dxa"/>
            <w:hideMark/>
          </w:tcPr>
          <w:p w14:paraId="144F7A5E"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FenHYx2</w:t>
            </w:r>
          </w:p>
        </w:tc>
        <w:tc>
          <w:tcPr>
            <w:tcW w:w="1054" w:type="dxa"/>
            <w:noWrap/>
            <w:hideMark/>
          </w:tcPr>
          <w:p w14:paraId="17534B14"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France</w:t>
            </w:r>
          </w:p>
        </w:tc>
        <w:tc>
          <w:tcPr>
            <w:tcW w:w="992" w:type="dxa"/>
            <w:noWrap/>
            <w:hideMark/>
          </w:tcPr>
          <w:p w14:paraId="7173FF27"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2021-2025</w:t>
            </w:r>
          </w:p>
        </w:tc>
        <w:tc>
          <w:tcPr>
            <w:tcW w:w="1134" w:type="dxa"/>
            <w:noWrap/>
            <w:hideMark/>
          </w:tcPr>
          <w:p w14:paraId="0A10608D"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(R&amp;D)</w:t>
            </w:r>
          </w:p>
        </w:tc>
        <w:tc>
          <w:tcPr>
            <w:tcW w:w="4394" w:type="dxa"/>
            <w:hideMark/>
          </w:tcPr>
          <w:p w14:paraId="3154AB8F" w14:textId="7BCCF36F" w:rsidR="00890E30" w:rsidRPr="006A19D1" w:rsidRDefault="00890E30" w:rsidP="0092682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Optimise separation systems on the network for different use-cases. Bench test and demonstrator to </w:t>
            </w:r>
            <w:r w:rsidR="00241B4D">
              <w:rPr>
                <w:rFonts w:eastAsia="Times New Roman" w:cs="Calibri"/>
                <w:color w:val="000000"/>
                <w:sz w:val="14"/>
                <w:szCs w:val="14"/>
                <w:lang w:eastAsia="en-GB"/>
              </w:rPr>
              <w:t>de-</w:t>
            </w:r>
            <w:r w:rsidRPr="006A19D1">
              <w:rPr>
                <w:rFonts w:eastAsia="Times New Roman" w:cs="Calibri"/>
                <w:color w:val="000000"/>
                <w:sz w:val="14"/>
                <w:szCs w:val="14"/>
                <w:lang w:eastAsia="en-GB"/>
              </w:rPr>
              <w:t>blend H2GN to protect sensitive clients and/or to purify H</w:t>
            </w:r>
            <w:r w:rsidRPr="00F12857">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(also potentially in case of repurposed pipes)</w:t>
            </w:r>
          </w:p>
        </w:tc>
        <w:tc>
          <w:tcPr>
            <w:tcW w:w="2977" w:type="dxa"/>
          </w:tcPr>
          <w:p w14:paraId="313B0DD4" w14:textId="75F6093D" w:rsidR="00890E30" w:rsidRPr="006A19D1" w:rsidRDefault="00241B4D"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 xml:space="preserve">This </w:t>
            </w:r>
            <w:r w:rsidR="00097035">
              <w:rPr>
                <w:rFonts w:eastAsia="Times New Roman" w:cs="Calibri"/>
                <w:color w:val="000000"/>
                <w:sz w:val="14"/>
                <w:szCs w:val="14"/>
                <w:lang w:eastAsia="en-GB"/>
              </w:rPr>
              <w:t>is research project example to show the deblending of the</w:t>
            </w:r>
            <w:r w:rsidR="001C5F16">
              <w:rPr>
                <w:rFonts w:eastAsia="Times New Roman" w:cs="Calibri"/>
                <w:color w:val="000000"/>
                <w:sz w:val="14"/>
                <w:szCs w:val="14"/>
                <w:lang w:eastAsia="en-GB"/>
              </w:rPr>
              <w:t xml:space="preserve"> H</w:t>
            </w:r>
            <w:r w:rsidR="001C5F16" w:rsidRPr="00F12857">
              <w:rPr>
                <w:rFonts w:eastAsia="Times New Roman" w:cs="Calibri"/>
                <w:color w:val="000000"/>
                <w:sz w:val="14"/>
                <w:szCs w:val="14"/>
                <w:vertAlign w:val="subscript"/>
                <w:lang w:eastAsia="en-GB"/>
              </w:rPr>
              <w:t>2</w:t>
            </w:r>
            <w:r w:rsidR="00A41E2A">
              <w:rPr>
                <w:rFonts w:eastAsia="Times New Roman" w:cs="Calibri"/>
                <w:color w:val="000000"/>
                <w:sz w:val="14"/>
                <w:szCs w:val="14"/>
                <w:lang w:eastAsia="en-GB"/>
              </w:rPr>
              <w:t xml:space="preserve"> based blended flows for the sensitive c</w:t>
            </w:r>
            <w:r w:rsidR="007D7601">
              <w:rPr>
                <w:rFonts w:eastAsia="Times New Roman" w:cs="Calibri"/>
                <w:color w:val="000000"/>
                <w:sz w:val="14"/>
                <w:szCs w:val="14"/>
                <w:lang w:eastAsia="en-GB"/>
              </w:rPr>
              <w:t>onsumers</w:t>
            </w:r>
          </w:p>
        </w:tc>
      </w:tr>
      <w:tr w:rsidR="00890E30" w:rsidRPr="005A53E1" w14:paraId="2FF0D4A9" w14:textId="728E6FEB" w:rsidTr="00105E8B">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5DBD1DC1"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13</w:t>
            </w:r>
          </w:p>
        </w:tc>
        <w:tc>
          <w:tcPr>
            <w:tcW w:w="1813" w:type="dxa"/>
            <w:hideMark/>
          </w:tcPr>
          <w:p w14:paraId="3B2B625C"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Adaptation of end consumer application</w:t>
            </w:r>
          </w:p>
        </w:tc>
        <w:tc>
          <w:tcPr>
            <w:tcW w:w="1640" w:type="dxa"/>
            <w:hideMark/>
          </w:tcPr>
          <w:p w14:paraId="0A6936D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H</w:t>
            </w:r>
            <w:r w:rsidRPr="00F12857">
              <w:rPr>
                <w:rFonts w:eastAsia="Times New Roman" w:cs="Calibri"/>
                <w:color w:val="000000"/>
                <w:sz w:val="14"/>
                <w:szCs w:val="14"/>
                <w:vertAlign w:val="subscript"/>
                <w:lang w:eastAsia="en-GB"/>
              </w:rPr>
              <w:t>2</w:t>
            </w:r>
            <w:r w:rsidRPr="006A19D1">
              <w:rPr>
                <w:rFonts w:eastAsia="Times New Roman" w:cs="Calibri"/>
                <w:color w:val="000000"/>
                <w:sz w:val="14"/>
                <w:szCs w:val="14"/>
                <w:lang w:eastAsia="en-GB"/>
              </w:rPr>
              <w:t xml:space="preserve"> Ready Central Heating Burner</w:t>
            </w:r>
          </w:p>
        </w:tc>
        <w:tc>
          <w:tcPr>
            <w:tcW w:w="1054" w:type="dxa"/>
            <w:noWrap/>
            <w:hideMark/>
          </w:tcPr>
          <w:p w14:paraId="2D058AE2"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Netherlands</w:t>
            </w:r>
          </w:p>
        </w:tc>
        <w:tc>
          <w:tcPr>
            <w:tcW w:w="992" w:type="dxa"/>
            <w:noWrap/>
            <w:hideMark/>
          </w:tcPr>
          <w:p w14:paraId="48ADD479"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2018-2020</w:t>
            </w:r>
          </w:p>
        </w:tc>
        <w:tc>
          <w:tcPr>
            <w:tcW w:w="1134" w:type="dxa"/>
            <w:noWrap/>
            <w:hideMark/>
          </w:tcPr>
          <w:p w14:paraId="4FBCF92A"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(R&amp;D)</w:t>
            </w:r>
          </w:p>
        </w:tc>
        <w:tc>
          <w:tcPr>
            <w:tcW w:w="4394" w:type="dxa"/>
            <w:hideMark/>
          </w:tcPr>
          <w:p w14:paraId="1FAFA244" w14:textId="77777777" w:rsidR="00890E30" w:rsidRPr="006A19D1" w:rsidRDefault="00890E30" w:rsidP="0092682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Developing a H₂ Burner System as a Retrofit. The goal is to develop a burner system that can replace the current natural gas burner. This means that future boilers for hydrogen can be produced. However, already installed boilers can also be converted with a retrofit.</w:t>
            </w:r>
          </w:p>
        </w:tc>
        <w:tc>
          <w:tcPr>
            <w:tcW w:w="2977" w:type="dxa"/>
          </w:tcPr>
          <w:p w14:paraId="5D6879CA" w14:textId="0A9950DB" w:rsidR="00890E30" w:rsidRPr="006A19D1" w:rsidRDefault="00090B27"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Pr>
                <w:rFonts w:eastAsia="Times New Roman" w:cs="Calibri"/>
                <w:color w:val="000000"/>
                <w:sz w:val="14"/>
                <w:szCs w:val="14"/>
                <w:lang w:eastAsia="en-GB"/>
              </w:rPr>
              <w:t xml:space="preserve">This project can be taken as a R&amp;D </w:t>
            </w:r>
            <w:r w:rsidR="004736AD">
              <w:rPr>
                <w:rFonts w:eastAsia="Times New Roman" w:cs="Calibri"/>
                <w:color w:val="000000"/>
                <w:sz w:val="14"/>
                <w:szCs w:val="14"/>
                <w:lang w:eastAsia="en-GB"/>
              </w:rPr>
              <w:t xml:space="preserve">initiative in 3B+F region to </w:t>
            </w:r>
            <w:r w:rsidR="00AB13E9">
              <w:rPr>
                <w:rFonts w:eastAsia="Times New Roman" w:cs="Calibri"/>
                <w:color w:val="000000"/>
                <w:sz w:val="14"/>
                <w:szCs w:val="14"/>
                <w:lang w:eastAsia="en-GB"/>
              </w:rPr>
              <w:t xml:space="preserve">put force in </w:t>
            </w:r>
            <w:r w:rsidR="00AE18A7">
              <w:rPr>
                <w:rFonts w:eastAsia="Times New Roman" w:cs="Calibri"/>
                <w:color w:val="000000"/>
                <w:sz w:val="14"/>
                <w:szCs w:val="14"/>
                <w:lang w:eastAsia="en-GB"/>
              </w:rPr>
              <w:t>developing</w:t>
            </w:r>
            <w:r w:rsidR="00AB13E9">
              <w:rPr>
                <w:rFonts w:eastAsia="Times New Roman" w:cs="Calibri"/>
                <w:color w:val="000000"/>
                <w:sz w:val="14"/>
                <w:szCs w:val="14"/>
                <w:lang w:eastAsia="en-GB"/>
              </w:rPr>
              <w:t xml:space="preserve"> local </w:t>
            </w:r>
            <w:r w:rsidR="00AE18A7">
              <w:rPr>
                <w:rFonts w:eastAsia="Times New Roman" w:cs="Calibri"/>
                <w:color w:val="000000"/>
                <w:sz w:val="14"/>
                <w:szCs w:val="14"/>
                <w:lang w:eastAsia="en-GB"/>
              </w:rPr>
              <w:t xml:space="preserve">end use equipment </w:t>
            </w:r>
            <w:r w:rsidR="00AB13E9">
              <w:rPr>
                <w:rFonts w:eastAsia="Times New Roman" w:cs="Calibri"/>
                <w:color w:val="000000"/>
                <w:sz w:val="14"/>
                <w:szCs w:val="14"/>
                <w:lang w:eastAsia="en-GB"/>
              </w:rPr>
              <w:t xml:space="preserve">retrofitting </w:t>
            </w:r>
            <w:r w:rsidR="00AE18A7">
              <w:rPr>
                <w:rFonts w:eastAsia="Times New Roman" w:cs="Calibri"/>
                <w:color w:val="000000"/>
                <w:sz w:val="14"/>
                <w:szCs w:val="14"/>
                <w:lang w:eastAsia="en-GB"/>
              </w:rPr>
              <w:t xml:space="preserve">technology and skills </w:t>
            </w:r>
          </w:p>
        </w:tc>
      </w:tr>
      <w:tr w:rsidR="00890E30" w:rsidRPr="005A53E1" w14:paraId="69CFD90C" w14:textId="0E0D15BE" w:rsidTr="00105E8B">
        <w:trPr>
          <w:trHeight w:val="60"/>
          <w:jc w:val="center"/>
        </w:trPr>
        <w:tc>
          <w:tcPr>
            <w:cnfStyle w:val="001000000000" w:firstRow="0" w:lastRow="0" w:firstColumn="1" w:lastColumn="0" w:oddVBand="0" w:evenVBand="0" w:oddHBand="0" w:evenHBand="0" w:firstRowFirstColumn="0" w:firstRowLastColumn="0" w:lastRowFirstColumn="0" w:lastRowLastColumn="0"/>
            <w:tcW w:w="450" w:type="dxa"/>
            <w:noWrap/>
            <w:hideMark/>
          </w:tcPr>
          <w:p w14:paraId="15C05512" w14:textId="77777777" w:rsidR="00890E30" w:rsidRPr="006A19D1" w:rsidRDefault="00890E30" w:rsidP="006B530F">
            <w:pPr>
              <w:spacing w:line="0" w:lineRule="atLeast"/>
              <w:ind w:left="0"/>
              <w:jc w:val="center"/>
              <w:rPr>
                <w:rFonts w:eastAsia="Times New Roman" w:cs="Calibri"/>
                <w:b/>
                <w:color w:val="000000"/>
                <w:sz w:val="14"/>
                <w:szCs w:val="14"/>
                <w:lang w:eastAsia="en-GB"/>
              </w:rPr>
            </w:pPr>
            <w:r w:rsidRPr="006A19D1">
              <w:rPr>
                <w:rFonts w:eastAsia="Times New Roman" w:cs="Calibri"/>
                <w:b/>
                <w:color w:val="000000"/>
                <w:sz w:val="14"/>
                <w:szCs w:val="14"/>
                <w:lang w:eastAsia="en-GB"/>
              </w:rPr>
              <w:t>16</w:t>
            </w:r>
          </w:p>
        </w:tc>
        <w:tc>
          <w:tcPr>
            <w:tcW w:w="1813" w:type="dxa"/>
            <w:hideMark/>
          </w:tcPr>
          <w:p w14:paraId="0E8C600B"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SNG production </w:t>
            </w:r>
          </w:p>
        </w:tc>
        <w:tc>
          <w:tcPr>
            <w:tcW w:w="1640" w:type="dxa"/>
            <w:noWrap/>
            <w:hideMark/>
          </w:tcPr>
          <w:p w14:paraId="3A4D4AEE"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w:t>
            </w:r>
          </w:p>
        </w:tc>
        <w:tc>
          <w:tcPr>
            <w:tcW w:w="1054" w:type="dxa"/>
            <w:noWrap/>
            <w:hideMark/>
          </w:tcPr>
          <w:p w14:paraId="3C426267"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Poland</w:t>
            </w:r>
          </w:p>
        </w:tc>
        <w:tc>
          <w:tcPr>
            <w:tcW w:w="992" w:type="dxa"/>
            <w:noWrap/>
            <w:hideMark/>
          </w:tcPr>
          <w:p w14:paraId="59C5E235"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NA - 2020</w:t>
            </w:r>
          </w:p>
        </w:tc>
        <w:tc>
          <w:tcPr>
            <w:tcW w:w="1134" w:type="dxa"/>
            <w:hideMark/>
          </w:tcPr>
          <w:p w14:paraId="1783EE76" w14:textId="77777777" w:rsidR="00890E30" w:rsidRPr="006A19D1" w:rsidRDefault="00890E30" w:rsidP="006B530F">
            <w:pPr>
              <w:spacing w:line="0" w:lineRule="atLeast"/>
              <w:ind w:lef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Project (Pilot)</w:t>
            </w:r>
          </w:p>
        </w:tc>
        <w:tc>
          <w:tcPr>
            <w:tcW w:w="4394" w:type="dxa"/>
            <w:hideMark/>
          </w:tcPr>
          <w:p w14:paraId="3B5FEB3A" w14:textId="77777777" w:rsidR="00890E30" w:rsidRPr="006A19D1" w:rsidRDefault="00890E30" w:rsidP="0092682E">
            <w:pPr>
              <w:spacing w:after="60"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A19D1">
              <w:rPr>
                <w:rFonts w:eastAsia="Times New Roman" w:cs="Calibri"/>
                <w:color w:val="000000"/>
                <w:sz w:val="14"/>
                <w:szCs w:val="14"/>
                <w:lang w:eastAsia="en-GB"/>
              </w:rPr>
              <w:t xml:space="preserve">The installation was built by TAURON </w:t>
            </w:r>
            <w:proofErr w:type="spellStart"/>
            <w:r w:rsidRPr="006A19D1">
              <w:rPr>
                <w:rFonts w:eastAsia="Times New Roman" w:cs="Calibri"/>
                <w:color w:val="000000"/>
                <w:sz w:val="14"/>
                <w:szCs w:val="14"/>
                <w:lang w:eastAsia="en-GB"/>
              </w:rPr>
              <w:t>Wytwarzanie</w:t>
            </w:r>
            <w:proofErr w:type="spellEnd"/>
            <w:r w:rsidRPr="006A19D1">
              <w:rPr>
                <w:rFonts w:eastAsia="Times New Roman" w:cs="Calibri"/>
                <w:color w:val="000000"/>
                <w:sz w:val="14"/>
                <w:szCs w:val="14"/>
                <w:lang w:eastAsia="en-GB"/>
              </w:rPr>
              <w:t xml:space="preserve"> S.A. at the </w:t>
            </w:r>
            <w:proofErr w:type="spellStart"/>
            <w:r w:rsidRPr="006A19D1">
              <w:rPr>
                <w:rFonts w:eastAsia="Times New Roman" w:cs="Calibri"/>
                <w:color w:val="000000"/>
                <w:sz w:val="14"/>
                <w:szCs w:val="14"/>
                <w:lang w:eastAsia="en-GB"/>
              </w:rPr>
              <w:t>Łaziska</w:t>
            </w:r>
            <w:proofErr w:type="spellEnd"/>
            <w:r w:rsidRPr="006A19D1">
              <w:rPr>
                <w:rFonts w:eastAsia="Times New Roman" w:cs="Calibri"/>
                <w:color w:val="000000"/>
                <w:sz w:val="14"/>
                <w:szCs w:val="14"/>
                <w:lang w:eastAsia="en-GB"/>
              </w:rPr>
              <w:t xml:space="preserve"> Power Plant in Poland. After the commissioning, the Institute for Chemical Processing of Coal (</w:t>
            </w:r>
            <w:proofErr w:type="spellStart"/>
            <w:r w:rsidRPr="006A19D1">
              <w:rPr>
                <w:rFonts w:eastAsia="Times New Roman" w:cs="Calibri"/>
                <w:color w:val="000000"/>
                <w:sz w:val="14"/>
                <w:szCs w:val="14"/>
                <w:lang w:eastAsia="en-GB"/>
              </w:rPr>
              <w:t>IChPW</w:t>
            </w:r>
            <w:proofErr w:type="spellEnd"/>
            <w:r w:rsidRPr="006A19D1">
              <w:rPr>
                <w:rFonts w:eastAsia="Times New Roman" w:cs="Calibri"/>
                <w:color w:val="000000"/>
                <w:sz w:val="14"/>
                <w:szCs w:val="14"/>
                <w:lang w:eastAsia="en-GB"/>
              </w:rPr>
              <w:t>) was responsible for conducting research.</w:t>
            </w:r>
          </w:p>
        </w:tc>
        <w:tc>
          <w:tcPr>
            <w:tcW w:w="2977" w:type="dxa"/>
          </w:tcPr>
          <w:p w14:paraId="2707C675" w14:textId="776794FA" w:rsidR="00890E30" w:rsidRPr="006A19D1" w:rsidRDefault="006D6759" w:rsidP="005A53E1">
            <w:pPr>
              <w:spacing w:line="0" w:lineRule="atLeast"/>
              <w:ind w:left="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n-GB"/>
              </w:rPr>
            </w:pPr>
            <w:r w:rsidRPr="006D6759">
              <w:rPr>
                <w:rFonts w:eastAsia="Times New Roman" w:cs="Calibri"/>
                <w:color w:val="000000"/>
                <w:sz w:val="14"/>
                <w:szCs w:val="14"/>
                <w:lang w:eastAsia="en-GB"/>
              </w:rPr>
              <w:t xml:space="preserve">It is an example to initiate the power-to-gas projects </w:t>
            </w:r>
            <w:r w:rsidR="00BB5073">
              <w:rPr>
                <w:rFonts w:eastAsia="Times New Roman" w:cs="Calibri"/>
                <w:color w:val="000000"/>
                <w:sz w:val="14"/>
                <w:szCs w:val="14"/>
                <w:lang w:eastAsia="en-GB"/>
              </w:rPr>
              <w:t>(</w:t>
            </w:r>
            <w:r w:rsidRPr="006D6759">
              <w:rPr>
                <w:rFonts w:eastAsia="Times New Roman" w:cs="Calibri"/>
                <w:color w:val="000000"/>
                <w:sz w:val="14"/>
                <w:szCs w:val="14"/>
                <w:lang w:eastAsia="en-GB"/>
              </w:rPr>
              <w:t>SNG</w:t>
            </w:r>
            <w:r w:rsidR="00BB5073">
              <w:rPr>
                <w:rFonts w:eastAsia="Times New Roman" w:cs="Calibri"/>
                <w:color w:val="000000"/>
                <w:sz w:val="14"/>
                <w:szCs w:val="14"/>
                <w:lang w:eastAsia="en-GB"/>
              </w:rPr>
              <w:t xml:space="preserve"> production) in 3B+F region</w:t>
            </w:r>
          </w:p>
        </w:tc>
      </w:tr>
    </w:tbl>
    <w:p w14:paraId="444EBBE9" w14:textId="0A1C157E" w:rsidR="0048694A" w:rsidRDefault="0048694A" w:rsidP="00E706D5">
      <w:pPr>
        <w:ind w:left="0"/>
        <w:jc w:val="both"/>
        <w:sectPr w:rsidR="0048694A" w:rsidSect="00105E8B">
          <w:pgSz w:w="16838" w:h="11906" w:orient="landscape"/>
          <w:pgMar w:top="1440" w:right="1134" w:bottom="851" w:left="1134" w:header="709" w:footer="567" w:gutter="0"/>
          <w:cols w:space="708"/>
          <w:docGrid w:linePitch="360"/>
        </w:sectPr>
      </w:pPr>
    </w:p>
    <w:p w14:paraId="49FDB951" w14:textId="77777777" w:rsidR="0095444C" w:rsidRDefault="0095444C" w:rsidP="00B20520">
      <w:pPr>
        <w:ind w:left="0"/>
        <w:rPr>
          <w:color w:val="FF0000"/>
        </w:rPr>
      </w:pPr>
    </w:p>
    <w:bookmarkEnd w:id="39"/>
    <w:p w14:paraId="00DDD66D" w14:textId="77777777" w:rsidR="00FB1967" w:rsidRPr="007F31E3" w:rsidRDefault="00FB1967" w:rsidP="007D6F74">
      <w:pPr>
        <w:ind w:left="0"/>
      </w:pPr>
    </w:p>
    <w:p w14:paraId="48DFBD12" w14:textId="77777777" w:rsidR="001D4E68" w:rsidRPr="007F31E3" w:rsidRDefault="001D4E68" w:rsidP="0095444C">
      <w:pPr>
        <w:jc w:val="both"/>
      </w:pPr>
      <w:r w:rsidRPr="007F31E3">
        <w:t xml:space="preserve">The project is funded by the European Union via the Technical Support Instrument and is carried out in cooperation with the Directorate General for Structural Reform Support of the European Commission. The project is implemented by Trinomics B.V., in association with </w:t>
      </w:r>
      <w:r>
        <w:t xml:space="preserve">SEI and E3Modelling </w:t>
      </w:r>
      <w:r w:rsidRPr="007F31E3">
        <w:t>over a</w:t>
      </w:r>
      <w:r>
        <w:t xml:space="preserve"> period of 17 </w:t>
      </w:r>
      <w:r w:rsidRPr="007F31E3">
        <w:t>months.</w:t>
      </w:r>
    </w:p>
    <w:p w14:paraId="4A6526B1" w14:textId="77777777" w:rsidR="001D4E68" w:rsidRPr="007F31E3" w:rsidRDefault="001D4E68" w:rsidP="001D4E68"/>
    <w:p w14:paraId="258A3543" w14:textId="77777777" w:rsidR="001D4E68" w:rsidRPr="007F31E3" w:rsidRDefault="654D85C4" w:rsidP="001D4E68">
      <w:r>
        <w:rPr>
          <w:noProof/>
        </w:rPr>
        <w:drawing>
          <wp:inline distT="0" distB="0" distL="0" distR="0" wp14:anchorId="5694523D" wp14:editId="77763E60">
            <wp:extent cx="1500374" cy="844550"/>
            <wp:effectExtent l="0" t="0" r="0" b="0"/>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500374" cy="844550"/>
                    </a:xfrm>
                    <a:prstGeom prst="rect">
                      <a:avLst/>
                    </a:prstGeom>
                  </pic:spPr>
                </pic:pic>
              </a:graphicData>
            </a:graphic>
          </wp:inline>
        </w:drawing>
      </w:r>
    </w:p>
    <w:p w14:paraId="422A0077" w14:textId="77777777" w:rsidR="001D4E68" w:rsidRPr="007F31E3" w:rsidRDefault="001D4E68" w:rsidP="001D4E68">
      <w:r w:rsidRPr="007F31E3">
        <w:rPr>
          <w:noProof/>
        </w:rPr>
        <w:drawing>
          <wp:anchor distT="0" distB="0" distL="114300" distR="114300" simplePos="0" relativeHeight="251658249" behindDoc="0" locked="0" layoutInCell="1" allowOverlap="1" wp14:anchorId="5FF8AB72" wp14:editId="61D614D8">
            <wp:simplePos x="0" y="0"/>
            <wp:positionH relativeFrom="column">
              <wp:posOffset>2397401</wp:posOffset>
            </wp:positionH>
            <wp:positionV relativeFrom="paragraph">
              <wp:posOffset>124460</wp:posOffset>
            </wp:positionV>
            <wp:extent cx="1293962" cy="672188"/>
            <wp:effectExtent l="0" t="0" r="1905" b="0"/>
            <wp:wrapNone/>
            <wp:docPr id="14" name="Picture 30" descr="Logo, company name&#10;&#10;Description automatically generated">
              <a:extLst xmlns:a="http://schemas.openxmlformats.org/drawingml/2006/main">
                <a:ext uri="{FF2B5EF4-FFF2-40B4-BE49-F238E27FC236}">
                  <a16:creationId xmlns:a16="http://schemas.microsoft.com/office/drawing/2014/main" id="{61507434-2A2C-45B7-9223-31BE9AAE1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0" descr="Logo, company name&#10;&#10;Description automatically generated">
                      <a:extLst>
                        <a:ext uri="{FF2B5EF4-FFF2-40B4-BE49-F238E27FC236}">
                          <a16:creationId xmlns:a16="http://schemas.microsoft.com/office/drawing/2014/main" id="{61507434-2A2C-45B7-9223-31BE9AAE16D0}"/>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3962" cy="672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0A6C0" w14:textId="77777777" w:rsidR="001D4E68" w:rsidRPr="007F31E3" w:rsidRDefault="001D4E68" w:rsidP="001D4E68">
      <w:r w:rsidRPr="007F31E3">
        <w:rPr>
          <w:noProof/>
        </w:rPr>
        <w:drawing>
          <wp:anchor distT="0" distB="0" distL="114300" distR="114300" simplePos="0" relativeHeight="251658250" behindDoc="0" locked="0" layoutInCell="1" allowOverlap="1" wp14:anchorId="6CEA99E7" wp14:editId="7F1F2149">
            <wp:simplePos x="0" y="0"/>
            <wp:positionH relativeFrom="column">
              <wp:posOffset>4053205</wp:posOffset>
            </wp:positionH>
            <wp:positionV relativeFrom="paragraph">
              <wp:posOffset>22225</wp:posOffset>
            </wp:positionV>
            <wp:extent cx="1554480" cy="446263"/>
            <wp:effectExtent l="0" t="0" r="7620" b="0"/>
            <wp:wrapNone/>
            <wp:docPr id="15" name="Picture 31" descr="Image result for e3m modelling">
              <a:extLst xmlns:a="http://schemas.openxmlformats.org/drawingml/2006/main">
                <a:ext uri="{FF2B5EF4-FFF2-40B4-BE49-F238E27FC236}">
                  <a16:creationId xmlns:a16="http://schemas.microsoft.com/office/drawing/2014/main" id="{B56D6D31-0710-4E34-A30B-EB5068F93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mage result for e3m modelling">
                      <a:extLst>
                        <a:ext uri="{FF2B5EF4-FFF2-40B4-BE49-F238E27FC236}">
                          <a16:creationId xmlns:a16="http://schemas.microsoft.com/office/drawing/2014/main" id="{B56D6D31-0710-4E34-A30B-EB5068F93C36}"/>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4480" cy="446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1E3">
        <w:rPr>
          <w:rFonts w:cs="Times New Roman"/>
          <w:noProof/>
          <w:lang w:eastAsia="fr-BE"/>
        </w:rPr>
        <w:drawing>
          <wp:inline distT="0" distB="0" distL="0" distR="0" wp14:anchorId="684CDCC9" wp14:editId="67BF012E">
            <wp:extent cx="1554480" cy="56011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4480" cy="560114"/>
                    </a:xfrm>
                    <a:prstGeom prst="rect">
                      <a:avLst/>
                    </a:prstGeom>
                    <a:noFill/>
                    <a:ln>
                      <a:noFill/>
                    </a:ln>
                  </pic:spPr>
                </pic:pic>
              </a:graphicData>
            </a:graphic>
          </wp:inline>
        </w:drawing>
      </w:r>
    </w:p>
    <w:p w14:paraId="76EA0590" w14:textId="77777777" w:rsidR="001D4E68" w:rsidRPr="007F31E3" w:rsidRDefault="001D4E68" w:rsidP="001D4E68">
      <w:pPr>
        <w:ind w:left="0"/>
        <w:sectPr w:rsidR="001D4E68" w:rsidRPr="007F31E3" w:rsidSect="0048694A">
          <w:pgSz w:w="11906" w:h="16838"/>
          <w:pgMar w:top="1440" w:right="1440" w:bottom="1440" w:left="1440" w:header="708" w:footer="569" w:gutter="0"/>
          <w:cols w:space="708"/>
          <w:docGrid w:linePitch="360"/>
        </w:sectPr>
      </w:pPr>
    </w:p>
    <w:p w14:paraId="0AE46226" w14:textId="77777777" w:rsidR="001D4E68" w:rsidRPr="007F31E3" w:rsidRDefault="001D4E68" w:rsidP="001D4E68"/>
    <w:p w14:paraId="7695F097" w14:textId="77777777" w:rsidR="001D4E68" w:rsidRPr="007F31E3" w:rsidRDefault="001D4E68" w:rsidP="001D4E68"/>
    <w:p w14:paraId="713BD82C" w14:textId="77777777" w:rsidR="001D4E68" w:rsidRPr="007F31E3" w:rsidRDefault="001D4E68" w:rsidP="001D4E68"/>
    <w:p w14:paraId="1FE111FD" w14:textId="77777777" w:rsidR="001D4E68" w:rsidRPr="007F31E3" w:rsidRDefault="001D4E68" w:rsidP="001D4E68"/>
    <w:p w14:paraId="187BD015" w14:textId="77777777" w:rsidR="001D4E68" w:rsidRPr="007F31E3" w:rsidRDefault="001D4E68" w:rsidP="001D4E68"/>
    <w:p w14:paraId="60EA7FCE" w14:textId="77777777" w:rsidR="001D4E68" w:rsidRPr="007F31E3" w:rsidRDefault="001D4E68" w:rsidP="001D4E68"/>
    <w:p w14:paraId="1F35FB4C" w14:textId="77777777" w:rsidR="001D4E68" w:rsidRPr="007F31E3" w:rsidRDefault="001D4E68" w:rsidP="001D4E68"/>
    <w:p w14:paraId="74F656F1" w14:textId="77777777" w:rsidR="001D4E68" w:rsidRPr="007F31E3" w:rsidRDefault="001D4E68" w:rsidP="001D4E68"/>
    <w:p w14:paraId="29724E91" w14:textId="77777777" w:rsidR="001D4E68" w:rsidRPr="007F31E3" w:rsidRDefault="001D4E68" w:rsidP="001D4E68"/>
    <w:p w14:paraId="213CE3A0" w14:textId="77777777" w:rsidR="001D4E68" w:rsidRPr="007F31E3" w:rsidRDefault="001D4E68" w:rsidP="001D4E68"/>
    <w:p w14:paraId="37F52786" w14:textId="77777777" w:rsidR="001D4E68" w:rsidRPr="007F31E3" w:rsidRDefault="001D4E68" w:rsidP="001D4E68"/>
    <w:p w14:paraId="52FA1493" w14:textId="77777777" w:rsidR="001D4E68" w:rsidRPr="007F31E3" w:rsidRDefault="001D4E68" w:rsidP="001D4E68"/>
    <w:p w14:paraId="5EF41D86" w14:textId="77777777" w:rsidR="001D4E68" w:rsidRPr="007F31E3" w:rsidRDefault="001D4E68" w:rsidP="001D4E68"/>
    <w:p w14:paraId="561D7A84" w14:textId="77777777" w:rsidR="001D4E68" w:rsidRPr="007F31E3" w:rsidRDefault="001D4E68" w:rsidP="001D4E68"/>
    <w:p w14:paraId="43F1F5D1" w14:textId="77777777" w:rsidR="001D4E68" w:rsidRPr="007F31E3" w:rsidRDefault="001D4E68" w:rsidP="001D4E68"/>
    <w:p w14:paraId="347020ED" w14:textId="77777777" w:rsidR="001D4E68" w:rsidRPr="007F31E3" w:rsidRDefault="001D4E68" w:rsidP="001D4E68"/>
    <w:p w14:paraId="4CAC014F" w14:textId="77777777" w:rsidR="001D4E68" w:rsidRPr="007F31E3" w:rsidRDefault="001D4E68" w:rsidP="001D4E68"/>
    <w:p w14:paraId="7DBB0C09" w14:textId="77777777" w:rsidR="001D4E68" w:rsidRPr="007F31E3" w:rsidRDefault="001D4E68" w:rsidP="001D4E68"/>
    <w:p w14:paraId="0BC9BB65" w14:textId="77777777" w:rsidR="001D4E68" w:rsidRPr="007F31E3" w:rsidRDefault="001D4E68" w:rsidP="001D4E68"/>
    <w:p w14:paraId="5526CA90" w14:textId="77777777" w:rsidR="001D4E68" w:rsidRPr="007F31E3" w:rsidRDefault="001D4E68" w:rsidP="001D4E68"/>
    <w:p w14:paraId="4C35CAFB" w14:textId="77777777" w:rsidR="001D4E68" w:rsidRPr="007F31E3" w:rsidRDefault="001D4E68" w:rsidP="001D4E68"/>
    <w:p w14:paraId="46B8E2C3" w14:textId="77777777" w:rsidR="001D4E68" w:rsidRPr="007F31E3" w:rsidRDefault="001D4E68" w:rsidP="001D4E68"/>
    <w:p w14:paraId="3DE03C0A" w14:textId="77777777" w:rsidR="001D4E68" w:rsidRPr="007F31E3" w:rsidRDefault="001D4E68" w:rsidP="001D4E68">
      <w:r w:rsidRPr="007F31E3">
        <w:rPr>
          <w:noProof/>
          <w:lang w:eastAsia="fr-BE"/>
        </w:rPr>
        <mc:AlternateContent>
          <mc:Choice Requires="wps">
            <w:drawing>
              <wp:anchor distT="0" distB="0" distL="114300" distR="114300" simplePos="0" relativeHeight="251658245" behindDoc="0" locked="0" layoutInCell="1" allowOverlap="1" wp14:anchorId="259D2CB6" wp14:editId="19C90448">
                <wp:simplePos x="0" y="0"/>
                <wp:positionH relativeFrom="column">
                  <wp:posOffset>-183515</wp:posOffset>
                </wp:positionH>
                <wp:positionV relativeFrom="paragraph">
                  <wp:posOffset>228600</wp:posOffset>
                </wp:positionV>
                <wp:extent cx="3883231" cy="2066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231" cy="2066400"/>
                        </a:xfrm>
                        <a:prstGeom prst="rect">
                          <a:avLst/>
                        </a:prstGeom>
                        <a:noFill/>
                        <a:ln w="9525">
                          <a:noFill/>
                          <a:miter lim="800000"/>
                          <a:headEnd/>
                          <a:tailEnd/>
                        </a:ln>
                      </wps:spPr>
                      <wps:txbx>
                        <w:txbxContent>
                          <w:p w14:paraId="1F071821" w14:textId="77777777" w:rsidR="001D4E68" w:rsidRPr="00317A82" w:rsidRDefault="001D4E68" w:rsidP="001D4E68">
                            <w:pPr>
                              <w:ind w:left="0"/>
                              <w:rPr>
                                <w:lang w:val="nl-NL"/>
                              </w:rPr>
                            </w:pPr>
                            <w:r w:rsidRPr="00317A82">
                              <w:rPr>
                                <w:lang w:val="nl-NL"/>
                              </w:rPr>
                              <w:t>Trinomics B.V.</w:t>
                            </w:r>
                          </w:p>
                          <w:p w14:paraId="6E3562DB" w14:textId="77777777" w:rsidR="001D4E68" w:rsidRPr="00317A82" w:rsidRDefault="001D4E68" w:rsidP="001D4E68">
                            <w:pPr>
                              <w:ind w:left="0"/>
                              <w:rPr>
                                <w:lang w:val="nl-NL"/>
                              </w:rPr>
                            </w:pPr>
                            <w:r w:rsidRPr="00317A82">
                              <w:rPr>
                                <w:lang w:val="nl-NL"/>
                              </w:rPr>
                              <w:t>Westersingel 34</w:t>
                            </w:r>
                          </w:p>
                          <w:p w14:paraId="111E6698" w14:textId="77777777" w:rsidR="001D4E68" w:rsidRPr="00317A82" w:rsidRDefault="001D4E68" w:rsidP="001D4E68">
                            <w:pPr>
                              <w:ind w:left="0"/>
                              <w:rPr>
                                <w:lang w:val="nl-NL"/>
                              </w:rPr>
                            </w:pPr>
                            <w:r w:rsidRPr="00317A82">
                              <w:rPr>
                                <w:lang w:val="nl-NL"/>
                              </w:rPr>
                              <w:t>3014 GS Rotterdam</w:t>
                            </w:r>
                          </w:p>
                          <w:p w14:paraId="56529296" w14:textId="77777777" w:rsidR="001D4E68" w:rsidRPr="00910976" w:rsidRDefault="001D4E68" w:rsidP="001D4E68">
                            <w:pPr>
                              <w:ind w:left="0"/>
                              <w:rPr>
                                <w:lang w:val="de-DE"/>
                              </w:rPr>
                            </w:pPr>
                            <w:r w:rsidRPr="00910976">
                              <w:rPr>
                                <w:lang w:val="de-DE"/>
                              </w:rPr>
                              <w:t>The Netherlands</w:t>
                            </w:r>
                          </w:p>
                          <w:p w14:paraId="38CE5544" w14:textId="77777777" w:rsidR="001D4E68" w:rsidRPr="00910976" w:rsidRDefault="001D4E68" w:rsidP="001D4E68">
                            <w:pPr>
                              <w:ind w:left="0"/>
                              <w:rPr>
                                <w:lang w:val="de-DE"/>
                              </w:rPr>
                            </w:pPr>
                          </w:p>
                          <w:p w14:paraId="5EA9E433" w14:textId="77777777" w:rsidR="001D4E68" w:rsidRPr="00910976" w:rsidRDefault="001D4E68" w:rsidP="001D4E68">
                            <w:pPr>
                              <w:ind w:left="0"/>
                              <w:rPr>
                                <w:lang w:val="de-DE"/>
                              </w:rPr>
                            </w:pPr>
                            <w:r w:rsidRPr="00910976">
                              <w:rPr>
                                <w:lang w:val="de-DE"/>
                              </w:rPr>
                              <w:t>T +31 (0) 10 3414 592</w:t>
                            </w:r>
                          </w:p>
                          <w:p w14:paraId="36A451D8" w14:textId="77777777" w:rsidR="001D4E68" w:rsidRPr="00910976" w:rsidRDefault="006D12F8" w:rsidP="001D4E68">
                            <w:pPr>
                              <w:ind w:left="0"/>
                              <w:rPr>
                                <w:lang w:val="de-DE"/>
                              </w:rPr>
                            </w:pPr>
                            <w:hyperlink r:id="rId57" w:history="1">
                              <w:r w:rsidR="001D4E68" w:rsidRPr="00910976">
                                <w:rPr>
                                  <w:rStyle w:val="Hyperlink"/>
                                  <w:lang w:val="de-DE"/>
                                </w:rPr>
                                <w:t>www.trinomics.eu</w:t>
                              </w:r>
                            </w:hyperlink>
                          </w:p>
                          <w:p w14:paraId="58E492B9" w14:textId="77777777" w:rsidR="001D4E68" w:rsidRPr="00910976" w:rsidRDefault="001D4E68" w:rsidP="001D4E68">
                            <w:pPr>
                              <w:ind w:left="0"/>
                              <w:rPr>
                                <w:lang w:val="de-DE"/>
                              </w:rPr>
                            </w:pPr>
                          </w:p>
                          <w:p w14:paraId="53DDB971" w14:textId="77777777" w:rsidR="001D4E68" w:rsidRPr="00750021" w:rsidRDefault="001D4E68" w:rsidP="001D4E68">
                            <w:pPr>
                              <w:ind w:left="0"/>
                              <w:rPr>
                                <w:lang w:val="pt-PT"/>
                              </w:rPr>
                            </w:pPr>
                            <w:r w:rsidRPr="00750021">
                              <w:rPr>
                                <w:lang w:val="pt-PT"/>
                              </w:rPr>
                              <w:t>KvK n°: 56028016</w:t>
                            </w:r>
                          </w:p>
                          <w:p w14:paraId="7C201603" w14:textId="77777777" w:rsidR="001D4E68" w:rsidRPr="00F501C0" w:rsidRDefault="001D4E68" w:rsidP="001D4E68">
                            <w:pPr>
                              <w:ind w:left="0"/>
                              <w:rPr>
                                <w:lang w:val="pt-BR"/>
                              </w:rPr>
                            </w:pPr>
                            <w:r w:rsidRPr="00F501C0">
                              <w:rPr>
                                <w:lang w:val="pt-BR"/>
                              </w:rPr>
                              <w:t>VAT n°: NL8519.48.662.B01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D2CB6" id="_x0000_t202" coordsize="21600,21600" o:spt="202" path="m,l,21600r21600,l21600,xe">
                <v:stroke joinstyle="miter"/>
                <v:path gradientshapeok="t" o:connecttype="rect"/>
              </v:shapetype>
              <v:shape id="Text Box 2" o:spid="_x0000_s1027" type="#_x0000_t202" style="position:absolute;left:0;text-align:left;margin-left:-14.45pt;margin-top:18pt;width:305.75pt;height:16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" filled="f" stroked="f">
                <v:textbox>
                  <w:txbxContent>
                    <w:p w14:paraId="1F071821" w14:textId="77777777" w:rsidR="001D4E68" w:rsidRPr="00317A82" w:rsidRDefault="001D4E68" w:rsidP="001D4E68">
                      <w:pPr>
                        <w:ind w:left="0"/>
                        <w:rPr>
                          <w:lang w:val="nl-NL"/>
                        </w:rPr>
                      </w:pPr>
                      <w:r w:rsidRPr="00317A82">
                        <w:rPr>
                          <w:lang w:val="nl-NL"/>
                        </w:rPr>
                        <w:t>Trinomics B.V.</w:t>
                      </w:r>
                    </w:p>
                    <w:p w14:paraId="6E3562DB" w14:textId="77777777" w:rsidR="001D4E68" w:rsidRPr="00317A82" w:rsidRDefault="001D4E68" w:rsidP="001D4E68">
                      <w:pPr>
                        <w:ind w:left="0"/>
                        <w:rPr>
                          <w:lang w:val="nl-NL"/>
                        </w:rPr>
                      </w:pPr>
                      <w:r w:rsidRPr="00317A82">
                        <w:rPr>
                          <w:lang w:val="nl-NL"/>
                        </w:rPr>
                        <w:t>Westersingel 34</w:t>
                      </w:r>
                    </w:p>
                    <w:p w14:paraId="111E6698" w14:textId="77777777" w:rsidR="001D4E68" w:rsidRPr="00317A82" w:rsidRDefault="001D4E68" w:rsidP="001D4E68">
                      <w:pPr>
                        <w:ind w:left="0"/>
                        <w:rPr>
                          <w:lang w:val="nl-NL"/>
                        </w:rPr>
                      </w:pPr>
                      <w:r w:rsidRPr="00317A82">
                        <w:rPr>
                          <w:lang w:val="nl-NL"/>
                        </w:rPr>
                        <w:t>3014 GS Rotterdam</w:t>
                      </w:r>
                    </w:p>
                    <w:p w14:paraId="56529296" w14:textId="77777777" w:rsidR="001D4E68" w:rsidRPr="00910976" w:rsidRDefault="001D4E68" w:rsidP="001D4E68">
                      <w:pPr>
                        <w:ind w:left="0"/>
                        <w:rPr>
                          <w:lang w:val="de-DE"/>
                        </w:rPr>
                      </w:pPr>
                      <w:r w:rsidRPr="00910976">
                        <w:rPr>
                          <w:lang w:val="de-DE"/>
                        </w:rPr>
                        <w:t>The Netherlands</w:t>
                      </w:r>
                    </w:p>
                    <w:p w14:paraId="38CE5544" w14:textId="77777777" w:rsidR="001D4E68" w:rsidRPr="00910976" w:rsidRDefault="001D4E68" w:rsidP="001D4E68">
                      <w:pPr>
                        <w:ind w:left="0"/>
                        <w:rPr>
                          <w:lang w:val="de-DE"/>
                        </w:rPr>
                      </w:pPr>
                    </w:p>
                    <w:p w14:paraId="5EA9E433" w14:textId="77777777" w:rsidR="001D4E68" w:rsidRPr="00910976" w:rsidRDefault="001D4E68" w:rsidP="001D4E68">
                      <w:pPr>
                        <w:ind w:left="0"/>
                        <w:rPr>
                          <w:lang w:val="de-DE"/>
                        </w:rPr>
                      </w:pPr>
                      <w:r w:rsidRPr="00910976">
                        <w:rPr>
                          <w:lang w:val="de-DE"/>
                        </w:rPr>
                        <w:t>T +31 (0) 10 3414 592</w:t>
                      </w:r>
                    </w:p>
                    <w:p w14:paraId="36A451D8" w14:textId="77777777" w:rsidR="001D4E68" w:rsidRPr="00910976" w:rsidRDefault="006D12F8" w:rsidP="001D4E68">
                      <w:pPr>
                        <w:ind w:left="0"/>
                        <w:rPr>
                          <w:lang w:val="de-DE"/>
                        </w:rPr>
                      </w:pPr>
                      <w:hyperlink r:id="rId58" w:history="1">
                        <w:r w:rsidR="001D4E68" w:rsidRPr="00910976">
                          <w:rPr>
                            <w:rStyle w:val="Hyperlink"/>
                            <w:lang w:val="de-DE"/>
                          </w:rPr>
                          <w:t>www.trinomics.eu</w:t>
                        </w:r>
                      </w:hyperlink>
                    </w:p>
                    <w:p w14:paraId="58E492B9" w14:textId="77777777" w:rsidR="001D4E68" w:rsidRPr="00910976" w:rsidRDefault="001D4E68" w:rsidP="001D4E68">
                      <w:pPr>
                        <w:ind w:left="0"/>
                        <w:rPr>
                          <w:lang w:val="de-DE"/>
                        </w:rPr>
                      </w:pPr>
                    </w:p>
                    <w:p w14:paraId="53DDB971" w14:textId="77777777" w:rsidR="001D4E68" w:rsidRPr="00750021" w:rsidRDefault="001D4E68" w:rsidP="001D4E68">
                      <w:pPr>
                        <w:ind w:left="0"/>
                        <w:rPr>
                          <w:lang w:val="pt-PT"/>
                        </w:rPr>
                      </w:pPr>
                      <w:r w:rsidRPr="00750021">
                        <w:rPr>
                          <w:lang w:val="pt-PT"/>
                        </w:rPr>
                        <w:t>KvK n°: 56028016</w:t>
                      </w:r>
                    </w:p>
                    <w:p w14:paraId="7C201603" w14:textId="77777777" w:rsidR="001D4E68" w:rsidRPr="00F501C0" w:rsidRDefault="001D4E68" w:rsidP="001D4E68">
                      <w:pPr>
                        <w:ind w:left="0"/>
                        <w:rPr>
                          <w:lang w:val="pt-BR"/>
                        </w:rPr>
                      </w:pPr>
                      <w:r w:rsidRPr="00F501C0">
                        <w:rPr>
                          <w:lang w:val="pt-BR"/>
                        </w:rPr>
                        <w:t>VAT n°: NL8519.48.662.B01</w:t>
                      </w:r>
                    </w:p>
                  </w:txbxContent>
                </v:textbox>
              </v:shape>
            </w:pict>
          </mc:Fallback>
        </mc:AlternateContent>
      </w:r>
    </w:p>
    <w:p w14:paraId="5E6C265F" w14:textId="77777777" w:rsidR="001D4E68" w:rsidRPr="007F31E3" w:rsidRDefault="001D4E68" w:rsidP="001D4E68">
      <w:bookmarkStart w:id="133" w:name="_WNSectionTitle_5"/>
      <w:bookmarkStart w:id="134" w:name="_WNTabType_4"/>
      <w:r w:rsidRPr="007F31E3">
        <w:rPr>
          <w:noProof/>
          <w:lang w:eastAsia="fr-BE"/>
        </w:rPr>
        <mc:AlternateContent>
          <mc:Choice Requires="wps">
            <w:drawing>
              <wp:anchor distT="0" distB="0" distL="114300" distR="114300" simplePos="0" relativeHeight="251658244" behindDoc="1" locked="0" layoutInCell="1" allowOverlap="1" wp14:anchorId="4FB6008B" wp14:editId="143FABCA">
                <wp:simplePos x="0" y="0"/>
                <wp:positionH relativeFrom="margin">
                  <wp:align>center</wp:align>
                </wp:positionH>
                <wp:positionV relativeFrom="page">
                  <wp:posOffset>381000</wp:posOffset>
                </wp:positionV>
                <wp:extent cx="7077075" cy="7543800"/>
                <wp:effectExtent l="0" t="0" r="9525" b="0"/>
                <wp:wrapNone/>
                <wp:docPr id="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7543800"/>
                        </a:xfrm>
                        <a:prstGeom prst="rect">
                          <a:avLst/>
                        </a:prstGeom>
                        <a:solidFill>
                          <a:srgbClr val="ECEBE1"/>
                        </a:solidFill>
                        <a:ln w="9525">
                          <a:no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7774BB" id="Rectangle 1" o:spid="_x0000_s1026" style="position:absolute;margin-left:0;margin-top:30pt;width:557.25pt;height:594pt;z-index:-2516582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" fillcolor="#ecebe1" stroked="f">
                <w10:wrap anchorx="margin" anchory="page"/>
              </v:rect>
            </w:pict>
          </mc:Fallback>
        </mc:AlternateContent>
      </w:r>
      <w:bookmarkEnd w:id="133"/>
      <w:bookmarkEnd w:id="134"/>
    </w:p>
    <w:p w14:paraId="7608E313" w14:textId="77777777" w:rsidR="001D4E68" w:rsidRPr="007F31E3" w:rsidRDefault="001D4E68" w:rsidP="001D4E68"/>
    <w:p w14:paraId="4DFC4491" w14:textId="77777777" w:rsidR="001D4E68" w:rsidRPr="007F31E3" w:rsidRDefault="001D4E68" w:rsidP="001D4E68"/>
    <w:p w14:paraId="61DF4178" w14:textId="77777777" w:rsidR="001D4E68" w:rsidRPr="007F31E3" w:rsidRDefault="001D4E68" w:rsidP="001D4E68"/>
    <w:p w14:paraId="4CDF8DC8" w14:textId="77777777" w:rsidR="001D4E68" w:rsidRPr="007F31E3" w:rsidRDefault="001D4E68" w:rsidP="001D4E68"/>
    <w:p w14:paraId="374F0ECB" w14:textId="77777777" w:rsidR="001D4E68" w:rsidRPr="007F31E3" w:rsidRDefault="001D4E68" w:rsidP="001D4E68"/>
    <w:p w14:paraId="6EF7531E" w14:textId="77777777" w:rsidR="001D4E68" w:rsidRPr="007F31E3" w:rsidRDefault="001D4E68" w:rsidP="001D4E68"/>
    <w:p w14:paraId="213C89C8" w14:textId="77777777" w:rsidR="001D4E68" w:rsidRPr="007F31E3" w:rsidRDefault="001D4E68" w:rsidP="001D4E68"/>
    <w:p w14:paraId="2A7E7614" w14:textId="77777777" w:rsidR="001D4E68" w:rsidRPr="007F31E3" w:rsidRDefault="001D4E68" w:rsidP="001D4E68"/>
    <w:p w14:paraId="5084AE7D" w14:textId="77777777" w:rsidR="001D4E68" w:rsidRPr="007F31E3" w:rsidRDefault="001D4E68" w:rsidP="001D4E68"/>
    <w:p w14:paraId="0D26C75B" w14:textId="77777777" w:rsidR="001D4E68" w:rsidRPr="007F31E3" w:rsidRDefault="001D4E68" w:rsidP="001D4E68"/>
    <w:p w14:paraId="23BAAEA6" w14:textId="77777777" w:rsidR="001D4E68" w:rsidRPr="007F31E3" w:rsidRDefault="001D4E68" w:rsidP="001D4E68"/>
    <w:p w14:paraId="4BCADFCF" w14:textId="77777777" w:rsidR="001D4E68" w:rsidRPr="007F31E3" w:rsidRDefault="001D4E68" w:rsidP="001D4E68"/>
    <w:p w14:paraId="40F8E94E" w14:textId="77777777" w:rsidR="001D4E68" w:rsidRPr="007F31E3" w:rsidRDefault="001D4E68" w:rsidP="001D4E68"/>
    <w:p w14:paraId="281B3EC3" w14:textId="77777777" w:rsidR="001D4E68" w:rsidRPr="007F31E3" w:rsidRDefault="001D4E68" w:rsidP="001D4E68">
      <w:r w:rsidRPr="007F31E3">
        <w:rPr>
          <w:noProof/>
          <w:lang w:eastAsia="fr-BE"/>
        </w:rPr>
        <w:drawing>
          <wp:anchor distT="0" distB="0" distL="114300" distR="114300" simplePos="0" relativeHeight="251658246" behindDoc="1" locked="0" layoutInCell="1" allowOverlap="1" wp14:anchorId="69AE2F4F" wp14:editId="5A59DC1D">
            <wp:simplePos x="0" y="0"/>
            <wp:positionH relativeFrom="margin">
              <wp:posOffset>1242060</wp:posOffset>
            </wp:positionH>
            <wp:positionV relativeFrom="paragraph">
              <wp:posOffset>11278</wp:posOffset>
            </wp:positionV>
            <wp:extent cx="3247390" cy="118110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47390" cy="1181100"/>
                    </a:xfrm>
                    <a:prstGeom prst="rect">
                      <a:avLst/>
                    </a:prstGeom>
                  </pic:spPr>
                </pic:pic>
              </a:graphicData>
            </a:graphic>
            <wp14:sizeRelH relativeFrom="page">
              <wp14:pctWidth>0</wp14:pctWidth>
            </wp14:sizeRelH>
            <wp14:sizeRelV relativeFrom="page">
              <wp14:pctHeight>0</wp14:pctHeight>
            </wp14:sizeRelV>
          </wp:anchor>
        </w:drawing>
      </w:r>
    </w:p>
    <w:p w14:paraId="3843881F" w14:textId="77777777" w:rsidR="001D4E68" w:rsidRPr="007F31E3" w:rsidRDefault="001D4E68" w:rsidP="001D4E68"/>
    <w:p w14:paraId="11C9D978" w14:textId="77777777" w:rsidR="001D4E68" w:rsidRPr="007F31E3" w:rsidRDefault="001D4E68" w:rsidP="001D4E68"/>
    <w:p w14:paraId="07A879A9" w14:textId="77777777" w:rsidR="001D4E68" w:rsidRPr="007F31E3" w:rsidRDefault="001D4E68" w:rsidP="001D4E68"/>
    <w:p w14:paraId="654FEA2F" w14:textId="77777777" w:rsidR="001D4E68" w:rsidRPr="007F31E3" w:rsidRDefault="001D4E68" w:rsidP="001D4E68">
      <w:pPr>
        <w:ind w:left="0"/>
      </w:pPr>
      <w:r w:rsidRPr="007F31E3">
        <w:tab/>
      </w:r>
    </w:p>
    <w:p w14:paraId="45D80A34" w14:textId="77777777" w:rsidR="001D4E68" w:rsidRPr="009D40C1" w:rsidRDefault="001D4E68" w:rsidP="001D4E68"/>
    <w:p w14:paraId="2C39045C" w14:textId="77777777" w:rsidR="00E9012D" w:rsidRDefault="00E9012D" w:rsidP="006E70C1"/>
    <w:p w14:paraId="2C27830D" w14:textId="77777777" w:rsidR="001D1E48" w:rsidRDefault="001D1E48" w:rsidP="006E70C1"/>
    <w:p w14:paraId="2284B18C" w14:textId="77777777" w:rsidR="001D1E48" w:rsidRDefault="001D1E48" w:rsidP="006E70C1"/>
    <w:sectPr w:rsidR="001D1E48" w:rsidSect="009976CE">
      <w:footerReference w:type="default" r:id="rId60"/>
      <w:type w:val="even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7EBA1" w14:textId="77777777" w:rsidR="007C7AD9" w:rsidRDefault="007C7AD9" w:rsidP="008059BC">
      <w:r>
        <w:separator/>
      </w:r>
    </w:p>
  </w:endnote>
  <w:endnote w:type="continuationSeparator" w:id="0">
    <w:p w14:paraId="361061F9" w14:textId="77777777" w:rsidR="007C7AD9" w:rsidRDefault="007C7AD9" w:rsidP="008059BC">
      <w:r>
        <w:continuationSeparator/>
      </w:r>
    </w:p>
  </w:endnote>
  <w:endnote w:type="continuationNotice" w:id="1">
    <w:p w14:paraId="57D2E29C" w14:textId="77777777" w:rsidR="007C7AD9" w:rsidRDefault="007C7A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Gothic UI Light">
    <w:panose1 w:val="020B0300000000000000"/>
    <w:charset w:val="80"/>
    <w:family w:val="swiss"/>
    <w:pitch w:val="variable"/>
    <w:sig w:usb0="E00002FF" w:usb1="2AC7FDFF" w:usb2="00000016" w:usb3="00000000" w:csb0="0002009F" w:csb1="00000000"/>
  </w:font>
  <w:font w:name="EC Square Sans Pro">
    <w:altName w:val="Calibri"/>
    <w:charset w:val="00"/>
    <w:family w:val="swiss"/>
    <w:pitch w:val="variable"/>
    <w:sig w:usb0="A00002BF" w:usb1="5000E0FB" w:usb2="00000000" w:usb3="00000000" w:csb0="0000019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en Sans Light">
    <w:altName w:val="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AD99" w14:textId="77777777" w:rsidR="001D4E68" w:rsidRDefault="001D4E68" w:rsidP="008059BC">
    <w:pPr>
      <w:pStyle w:val="Voettekst"/>
    </w:pPr>
    <w:r w:rsidRPr="006F5959">
      <w:rPr>
        <w:noProof/>
        <w:lang w:eastAsia="en-GB"/>
      </w:rPr>
      <w:drawing>
        <wp:anchor distT="0" distB="0" distL="114300" distR="114300" simplePos="0" relativeHeight="251658242" behindDoc="0" locked="0" layoutInCell="1" allowOverlap="1" wp14:anchorId="7EB5AEA6" wp14:editId="1AFA0606">
          <wp:simplePos x="0" y="0"/>
          <wp:positionH relativeFrom="column">
            <wp:posOffset>4344753</wp:posOffset>
          </wp:positionH>
          <wp:positionV relativeFrom="paragraph">
            <wp:posOffset>-914400</wp:posOffset>
          </wp:positionV>
          <wp:extent cx="1911096" cy="548640"/>
          <wp:effectExtent l="0" t="0" r="0" b="0"/>
          <wp:wrapNone/>
          <wp:docPr id="43" name="Picture 31" descr="Image result for e3m modelling">
            <a:extLst xmlns:a="http://schemas.openxmlformats.org/drawingml/2006/main">
              <a:ext uri="{FF2B5EF4-FFF2-40B4-BE49-F238E27FC236}">
                <a16:creationId xmlns:a16="http://schemas.microsoft.com/office/drawing/2014/main" id="{B56D6D31-0710-4E34-A30B-EB5068F93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mage result for e3m modelling">
                    <a:extLst>
                      <a:ext uri="{FF2B5EF4-FFF2-40B4-BE49-F238E27FC236}">
                        <a16:creationId xmlns:a16="http://schemas.microsoft.com/office/drawing/2014/main" id="{B56D6D31-0710-4E34-A30B-EB5068F93C36}"/>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11096"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959">
      <w:rPr>
        <w:noProof/>
        <w:lang w:eastAsia="en-GB"/>
      </w:rPr>
      <w:drawing>
        <wp:anchor distT="0" distB="0" distL="114300" distR="114300" simplePos="0" relativeHeight="251658241" behindDoc="0" locked="0" layoutInCell="1" allowOverlap="1" wp14:anchorId="04C5E76E" wp14:editId="374C12DF">
          <wp:simplePos x="0" y="0"/>
          <wp:positionH relativeFrom="column">
            <wp:posOffset>2209813</wp:posOffset>
          </wp:positionH>
          <wp:positionV relativeFrom="paragraph">
            <wp:posOffset>-1062935</wp:posOffset>
          </wp:positionV>
          <wp:extent cx="1603182" cy="832822"/>
          <wp:effectExtent l="0" t="0" r="0" b="5715"/>
          <wp:wrapNone/>
          <wp:docPr id="44" name="Picture 30" descr="Logo, company name&#10;&#10;Description automatically generated">
            <a:extLst xmlns:a="http://schemas.openxmlformats.org/drawingml/2006/main">
              <a:ext uri="{FF2B5EF4-FFF2-40B4-BE49-F238E27FC236}">
                <a16:creationId xmlns:a16="http://schemas.microsoft.com/office/drawing/2014/main" id="{61507434-2A2C-45B7-9223-31BE9AAE1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0" descr="Logo, company name&#10;&#10;Description automatically generated">
                    <a:extLst>
                      <a:ext uri="{FF2B5EF4-FFF2-40B4-BE49-F238E27FC236}">
                        <a16:creationId xmlns:a16="http://schemas.microsoft.com/office/drawing/2014/main" id="{61507434-2A2C-45B7-9223-31BE9AAE16D0}"/>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3182" cy="832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959">
      <w:rPr>
        <w:noProof/>
        <w:lang w:eastAsia="en-GB"/>
      </w:rPr>
      <w:drawing>
        <wp:anchor distT="0" distB="0" distL="114300" distR="114300" simplePos="0" relativeHeight="251658244" behindDoc="0" locked="0" layoutInCell="1" allowOverlap="1" wp14:anchorId="7C7CB96B" wp14:editId="57E237DA">
          <wp:simplePos x="0" y="0"/>
          <wp:positionH relativeFrom="column">
            <wp:posOffset>-580141</wp:posOffset>
          </wp:positionH>
          <wp:positionV relativeFrom="paragraph">
            <wp:posOffset>-1062272</wp:posOffset>
          </wp:positionV>
          <wp:extent cx="2170706" cy="789850"/>
          <wp:effectExtent l="0" t="0" r="0" b="0"/>
          <wp:wrapNone/>
          <wp:docPr id="46" name="Imagen 3" descr="Logo&#10;&#10;Description automatically generated">
            <a:extLst xmlns:a="http://schemas.openxmlformats.org/drawingml/2006/main">
              <a:ext uri="{FF2B5EF4-FFF2-40B4-BE49-F238E27FC236}">
                <a16:creationId xmlns:a16="http://schemas.microsoft.com/office/drawing/2014/main" id="{4E751A59-9977-49BB-871A-63A7C9E46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 descr="Logo&#10;&#10;Description automatically generated">
                    <a:extLst>
                      <a:ext uri="{FF2B5EF4-FFF2-40B4-BE49-F238E27FC236}">
                        <a16:creationId xmlns:a16="http://schemas.microsoft.com/office/drawing/2014/main" id="{4E751A59-9977-49BB-871A-63A7C9E46A5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70706" cy="789850"/>
                  </a:xfrm>
                  <a:prstGeom prst="rect">
                    <a:avLst/>
                  </a:prstGeom>
                </pic:spPr>
              </pic:pic>
            </a:graphicData>
          </a:graphic>
          <wp14:sizeRelH relativeFrom="margin">
            <wp14:pctWidth>0</wp14:pctWidth>
          </wp14:sizeRelH>
          <wp14:sizeRelV relativeFrom="margin">
            <wp14:pctHeight>0</wp14:pctHeight>
          </wp14:sizeRelV>
        </wp:anchor>
      </w:drawing>
    </w:r>
    <w:r w:rsidRPr="00840681">
      <w:rPr>
        <w:noProof/>
        <w:lang w:val="fr-BE" w:eastAsia="fr-BE"/>
      </w:rPr>
      <mc:AlternateContent>
        <mc:Choice Requires="wps">
          <w:drawing>
            <wp:anchor distT="0" distB="0" distL="114300" distR="114300" simplePos="0" relativeHeight="251658240" behindDoc="0" locked="0" layoutInCell="1" allowOverlap="1" wp14:anchorId="1C859B50" wp14:editId="4CA3FBDE">
              <wp:simplePos x="0" y="0"/>
              <wp:positionH relativeFrom="column">
                <wp:posOffset>731520</wp:posOffset>
              </wp:positionH>
              <wp:positionV relativeFrom="paragraph">
                <wp:posOffset>182143</wp:posOffset>
              </wp:positionV>
              <wp:extent cx="3081600" cy="853200"/>
              <wp:effectExtent l="0" t="0" r="0" b="0"/>
              <wp:wrapNone/>
              <wp:docPr id="9" name="TextBox 8">
                <a:extLst xmlns:a="http://schemas.openxmlformats.org/drawingml/2006/main">
                  <a:ext uri="{FF2B5EF4-FFF2-40B4-BE49-F238E27FC236}">
                    <a16:creationId xmlns:a16="http://schemas.microsoft.com/office/drawing/2014/main" id="{A65AFFB1-7DB3-43C2-BE75-69BC33CC4641}"/>
                  </a:ext>
                </a:extLst>
              </wp:docPr>
              <wp:cNvGraphicFramePr/>
              <a:graphic xmlns:a="http://schemas.openxmlformats.org/drawingml/2006/main">
                <a:graphicData uri="http://schemas.microsoft.com/office/word/2010/wordprocessingShape">
                  <wps:wsp>
                    <wps:cNvSpPr txBox="1"/>
                    <wps:spPr>
                      <a:xfrm>
                        <a:off x="0" y="0"/>
                        <a:ext cx="3081600" cy="853200"/>
                      </a:xfrm>
                      <a:prstGeom prst="rect">
                        <a:avLst/>
                      </a:prstGeom>
                      <a:noFill/>
                    </wps:spPr>
                    <wps:txbx>
                      <w:txbxContent>
                        <w:p w14:paraId="5C677E14" w14:textId="04DBF2A6" w:rsidR="001D4E68" w:rsidRPr="009C639F" w:rsidRDefault="001D4E68" w:rsidP="00137D79">
                          <w:pPr>
                            <w:ind w:left="0"/>
                          </w:pPr>
                          <w:r w:rsidRPr="009C639F">
                            <w:rPr>
                              <w:rFonts w:asciiTheme="minorHAnsi" w:hAnsi="Calibri"/>
                              <w:kern w:val="24"/>
                              <w:sz w:val="20"/>
                              <w:szCs w:val="20"/>
                            </w:rPr>
                            <w:t>This project is carried out with funding by the European Union via the Structural Reform Support Programme and in cooperation with the Directorate General for Structural Reform Support of the European Commission</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type w14:anchorId="1C859B50" id="_x0000_t202" coordsize="21600,21600" o:spt="202" path="m,l,21600r21600,l21600,xe">
              <v:stroke joinstyle="miter"/>
              <v:path gradientshapeok="t" o:connecttype="rect"/>
            </v:shapetype>
            <v:shape id="TextBox 8" o:spid="_x0000_s1028" type="#_x0000_t202" style="position:absolute;left:0;text-align:left;margin-left:57.6pt;margin-top:14.35pt;width:242.65pt;height: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" filled="f" stroked="f">
              <v:textbox style="mso-fit-shape-to-text:t">
                <w:txbxContent>
                  <w:p w14:paraId="5C677E14" w14:textId="04DBF2A6" w:rsidR="001D4E68" w:rsidRPr="009C639F" w:rsidRDefault="001D4E68" w:rsidP="00137D79">
                    <w:pPr>
                      <w:ind w:left="0"/>
                    </w:pPr>
                    <w:r w:rsidRPr="009C639F">
                      <w:rPr>
                        <w:rFonts w:asciiTheme="minorHAnsi" w:hAnsi="Calibri"/>
                        <w:kern w:val="24"/>
                        <w:sz w:val="20"/>
                        <w:szCs w:val="20"/>
                      </w:rPr>
                      <w:t>This project is carried out with funding by the European Union via the Structural Reform Support Programme and in cooperation with the Directorate General for Structural Reform Support of the European Commission</w:t>
                    </w:r>
                  </w:p>
                </w:txbxContent>
              </v:textbox>
            </v:shape>
          </w:pict>
        </mc:Fallback>
      </mc:AlternateContent>
    </w:r>
    <w:r w:rsidRPr="002D66CB">
      <w:rPr>
        <w:noProof/>
        <w:lang w:val="fr-BE" w:eastAsia="en-GB"/>
      </w:rPr>
      <w:t xml:space="preserve"> </w:t>
    </w:r>
    <w:r w:rsidRPr="00840681">
      <w:rPr>
        <w:noProof/>
        <w:lang w:val="fr-BE" w:eastAsia="fr-BE"/>
      </w:rPr>
      <w:drawing>
        <wp:anchor distT="0" distB="0" distL="114300" distR="114300" simplePos="0" relativeHeight="251658243" behindDoc="0" locked="0" layoutInCell="1" allowOverlap="1" wp14:anchorId="4A024924" wp14:editId="54BCCD95">
          <wp:simplePos x="0" y="0"/>
          <wp:positionH relativeFrom="column">
            <wp:posOffset>-542290</wp:posOffset>
          </wp:positionH>
          <wp:positionV relativeFrom="paragraph">
            <wp:posOffset>222885</wp:posOffset>
          </wp:positionV>
          <wp:extent cx="1204595" cy="795020"/>
          <wp:effectExtent l="0" t="0" r="0" b="5080"/>
          <wp:wrapNone/>
          <wp:docPr id="58" name="Picture 2" descr="European Union Logo Vector (.AI) Free Download">
            <a:extLst xmlns:a="http://schemas.openxmlformats.org/drawingml/2006/main">
              <a:ext uri="{FF2B5EF4-FFF2-40B4-BE49-F238E27FC236}">
                <a16:creationId xmlns:a16="http://schemas.microsoft.com/office/drawing/2014/main" id="{2B8D3029-F3A7-4077-8CF9-F92A39090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uropean Union Logo Vector (.AI) Free Download">
                    <a:extLst>
                      <a:ext uri="{FF2B5EF4-FFF2-40B4-BE49-F238E27FC236}">
                        <a16:creationId xmlns:a16="http://schemas.microsoft.com/office/drawing/2014/main" id="{2B8D3029-F3A7-4077-8CF9-F92A39090482}"/>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4595" cy="7950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GB"/>
      </w:rP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4541" w14:textId="77777777" w:rsidR="001D4E68" w:rsidRDefault="001D4E68" w:rsidP="008059B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4235" w14:textId="77777777" w:rsidR="001D4E68" w:rsidRPr="00F76947" w:rsidRDefault="001D4E68" w:rsidP="00137D7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494546"/>
      <w:docPartObj>
        <w:docPartGallery w:val="Page Numbers (Bottom of Page)"/>
        <w:docPartUnique/>
      </w:docPartObj>
    </w:sdtPr>
    <w:sdtEndPr>
      <w:rPr>
        <w:noProof/>
        <w:sz w:val="16"/>
        <w:szCs w:val="16"/>
      </w:rPr>
    </w:sdtEndPr>
    <w:sdtContent>
      <w:p w14:paraId="4B7B8009" w14:textId="77777777" w:rsidR="001D4E68" w:rsidRPr="00E443F7" w:rsidRDefault="001D4E68" w:rsidP="005B0DF1">
        <w:pPr>
          <w:pStyle w:val="Voettekst"/>
          <w:jc w:val="center"/>
          <w:rPr>
            <w:sz w:val="16"/>
            <w:szCs w:val="16"/>
          </w:rPr>
        </w:pPr>
        <w:r w:rsidRPr="00E443F7">
          <w:rPr>
            <w:sz w:val="16"/>
            <w:szCs w:val="16"/>
          </w:rPr>
          <w:fldChar w:fldCharType="begin"/>
        </w:r>
        <w:r w:rsidRPr="00E443F7">
          <w:rPr>
            <w:sz w:val="16"/>
            <w:szCs w:val="16"/>
          </w:rPr>
          <w:instrText xml:space="preserve"> PAGE   \* MERGEFORMAT </w:instrText>
        </w:r>
        <w:r w:rsidRPr="00E443F7">
          <w:rPr>
            <w:sz w:val="16"/>
            <w:szCs w:val="16"/>
          </w:rPr>
          <w:fldChar w:fldCharType="separate"/>
        </w:r>
        <w:r>
          <w:rPr>
            <w:noProof/>
            <w:sz w:val="16"/>
            <w:szCs w:val="16"/>
          </w:rPr>
          <w:t>36</w:t>
        </w:r>
        <w:r w:rsidRPr="00E443F7">
          <w:rPr>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E4D3" w14:textId="77777777" w:rsidR="00B35B29" w:rsidRPr="00CB7234" w:rsidRDefault="00B35B29" w:rsidP="008059BC">
    <w:pPr>
      <w:pStyle w:val="Voettekst"/>
    </w:pPr>
  </w:p>
  <w:p w14:paraId="620E45E5" w14:textId="77777777" w:rsidR="00B35B29" w:rsidRDefault="00B35B29" w:rsidP="008059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E5495" w14:textId="77777777" w:rsidR="007C7AD9" w:rsidRDefault="007C7AD9" w:rsidP="008059BC">
      <w:r>
        <w:separator/>
      </w:r>
    </w:p>
  </w:footnote>
  <w:footnote w:type="continuationSeparator" w:id="0">
    <w:p w14:paraId="683D4D05" w14:textId="77777777" w:rsidR="007C7AD9" w:rsidRDefault="007C7AD9" w:rsidP="008059BC">
      <w:r>
        <w:continuationSeparator/>
      </w:r>
    </w:p>
  </w:footnote>
  <w:footnote w:type="continuationNotice" w:id="1">
    <w:p w14:paraId="063EE9BA" w14:textId="77777777" w:rsidR="007C7AD9" w:rsidRPr="00447114" w:rsidRDefault="007C7AD9" w:rsidP="00447114">
      <w:pPr>
        <w:pStyle w:val="Voettekst"/>
      </w:pPr>
    </w:p>
  </w:footnote>
  <w:footnote w:id="2">
    <w:p w14:paraId="7F6884FA" w14:textId="0FB70335" w:rsidR="00E4382E" w:rsidRPr="004323F7" w:rsidRDefault="00E4382E">
      <w:pPr>
        <w:pStyle w:val="Voetnoottekst"/>
        <w:rPr>
          <w:sz w:val="16"/>
          <w:szCs w:val="16"/>
        </w:rPr>
      </w:pPr>
      <w:r w:rsidRPr="004323F7">
        <w:rPr>
          <w:rStyle w:val="Voetnootmarkering"/>
          <w:sz w:val="16"/>
          <w:szCs w:val="16"/>
        </w:rPr>
        <w:footnoteRef/>
      </w:r>
      <w:r w:rsidRPr="004323F7">
        <w:rPr>
          <w:sz w:val="16"/>
          <w:szCs w:val="16"/>
        </w:rPr>
        <w:t xml:space="preserve"> </w:t>
      </w:r>
      <w:r w:rsidR="00C40F97" w:rsidRPr="004323F7">
        <w:rPr>
          <w:sz w:val="16"/>
          <w:szCs w:val="16"/>
        </w:rPr>
        <w:t xml:space="preserve">National Hydrogen Roadmap for Finland </w:t>
      </w:r>
    </w:p>
    <w:p w14:paraId="7B02B249" w14:textId="72A5A98F" w:rsidR="00C40F97" w:rsidRPr="004323F7" w:rsidRDefault="006D12F8">
      <w:pPr>
        <w:pStyle w:val="Voetnoottekst"/>
        <w:rPr>
          <w:sz w:val="16"/>
          <w:szCs w:val="16"/>
        </w:rPr>
      </w:pPr>
      <w:hyperlink r:id="rId1" w:history="1">
        <w:r w:rsidR="00C40F97" w:rsidRPr="004323F7">
          <w:rPr>
            <w:rStyle w:val="Hyperlink"/>
            <w:sz w:val="16"/>
            <w:szCs w:val="16"/>
          </w:rPr>
          <w:t>https://www.businessfinland.fi/4abb35/globalassets/finnish-customers/02-build-your-network/bioeconomy--cleantech/alykas-energia/bf_national_hydrogen_roadmap_2020.pdf</w:t>
        </w:r>
      </w:hyperlink>
      <w:r w:rsidR="00C40F97" w:rsidRPr="004323F7">
        <w:rPr>
          <w:sz w:val="16"/>
          <w:szCs w:val="16"/>
        </w:rPr>
        <w:t xml:space="preserve"> </w:t>
      </w:r>
    </w:p>
  </w:footnote>
  <w:footnote w:id="3">
    <w:p w14:paraId="7CFA70D8" w14:textId="6FC1E1ED" w:rsidR="00D7422F" w:rsidRPr="004323F7" w:rsidRDefault="00D7422F">
      <w:pPr>
        <w:pStyle w:val="Voetnoottekst"/>
        <w:rPr>
          <w:sz w:val="22"/>
          <w:szCs w:val="22"/>
        </w:rPr>
      </w:pPr>
      <w:r w:rsidRPr="004323F7">
        <w:rPr>
          <w:rStyle w:val="Voetnootmarkering"/>
          <w:sz w:val="16"/>
          <w:szCs w:val="16"/>
        </w:rPr>
        <w:footnoteRef/>
      </w:r>
      <w:r w:rsidRPr="004323F7">
        <w:rPr>
          <w:sz w:val="16"/>
          <w:szCs w:val="16"/>
        </w:rPr>
        <w:t xml:space="preserve"> </w:t>
      </w:r>
      <w:r w:rsidR="003D3354" w:rsidRPr="004323F7">
        <w:rPr>
          <w:sz w:val="16"/>
          <w:szCs w:val="16"/>
        </w:rPr>
        <w:t>Data taken from Elering, Energy ministry Latvia, Amber Grid,</w:t>
      </w:r>
      <w:r w:rsidR="00DB7907" w:rsidRPr="004323F7">
        <w:rPr>
          <w:sz w:val="16"/>
          <w:szCs w:val="16"/>
        </w:rPr>
        <w:t xml:space="preserve"> and Energy ministry </w:t>
      </w:r>
      <w:r w:rsidR="0038622B" w:rsidRPr="004323F7">
        <w:rPr>
          <w:sz w:val="16"/>
          <w:szCs w:val="16"/>
        </w:rPr>
        <w:t>Finland</w:t>
      </w:r>
    </w:p>
  </w:footnote>
  <w:footnote w:id="4">
    <w:p w14:paraId="015BBD47" w14:textId="5F0A0165" w:rsidR="004323F7" w:rsidRDefault="004323F7">
      <w:pPr>
        <w:pStyle w:val="Voetnoottekst"/>
      </w:pPr>
      <w:r w:rsidRPr="004323F7">
        <w:rPr>
          <w:rStyle w:val="Voetnootmarkering"/>
          <w:sz w:val="16"/>
          <w:szCs w:val="16"/>
        </w:rPr>
        <w:footnoteRef/>
      </w:r>
      <w:r w:rsidRPr="004323F7">
        <w:rPr>
          <w:sz w:val="16"/>
          <w:szCs w:val="16"/>
        </w:rPr>
        <w:t xml:space="preserve"> Statistics Estonia</w:t>
      </w:r>
    </w:p>
  </w:footnote>
  <w:footnote w:id="5">
    <w:p w14:paraId="7AD6C76D" w14:textId="11CAC101" w:rsidR="00340D8F" w:rsidRPr="00DD1CD2" w:rsidRDefault="00340D8F">
      <w:pPr>
        <w:pStyle w:val="Voetnoottekst"/>
        <w:rPr>
          <w:sz w:val="16"/>
          <w:szCs w:val="16"/>
          <w:lang w:val="en-US"/>
        </w:rPr>
      </w:pPr>
      <w:r w:rsidRPr="00DD1CD2">
        <w:rPr>
          <w:rStyle w:val="Voetnootmarkering"/>
          <w:color w:val="000000" w:themeColor="text1"/>
          <w:sz w:val="16"/>
          <w:szCs w:val="16"/>
        </w:rPr>
        <w:footnoteRef/>
      </w:r>
      <w:r w:rsidRPr="00DD1CD2">
        <w:rPr>
          <w:color w:val="000000" w:themeColor="text1"/>
          <w:sz w:val="16"/>
          <w:szCs w:val="16"/>
        </w:rPr>
        <w:t xml:space="preserve"> </w:t>
      </w:r>
      <w:hyperlink r:id="rId2">
        <w:r w:rsidR="00AA7A6A" w:rsidRPr="00DD1CD2">
          <w:rPr>
            <w:rStyle w:val="Hyperlink"/>
            <w:color w:val="000000" w:themeColor="text1"/>
            <w:sz w:val="16"/>
            <w:szCs w:val="16"/>
            <w:u w:val="none"/>
          </w:rPr>
          <w:t>EBA Statistical Report, 2020</w:t>
        </w:r>
      </w:hyperlink>
    </w:p>
  </w:footnote>
  <w:footnote w:id="6">
    <w:p w14:paraId="0A9589D2" w14:textId="2E96ECAD" w:rsidR="00DD1CD2" w:rsidRDefault="00DD1CD2">
      <w:pPr>
        <w:pStyle w:val="Voetnoottekst"/>
      </w:pPr>
      <w:r w:rsidRPr="00DD1CD2">
        <w:rPr>
          <w:rStyle w:val="Voetnootmarkering"/>
          <w:sz w:val="16"/>
          <w:szCs w:val="16"/>
        </w:rPr>
        <w:footnoteRef/>
      </w:r>
      <w:r w:rsidRPr="00DD1CD2">
        <w:rPr>
          <w:sz w:val="16"/>
          <w:szCs w:val="16"/>
        </w:rPr>
        <w:t xml:space="preserve"> IEA country profiles</w:t>
      </w:r>
    </w:p>
  </w:footnote>
  <w:footnote w:id="7">
    <w:p w14:paraId="1F1F0B0A" w14:textId="77777777" w:rsidR="00C92B27" w:rsidRDefault="000C7C52" w:rsidP="000C7C52">
      <w:pPr>
        <w:pStyle w:val="Voetnoottekst"/>
        <w:rPr>
          <w:sz w:val="16"/>
          <w:szCs w:val="16"/>
        </w:rPr>
      </w:pPr>
      <w:r w:rsidRPr="000C7C52">
        <w:rPr>
          <w:rStyle w:val="Voetnootmarkering"/>
          <w:sz w:val="16"/>
          <w:szCs w:val="16"/>
        </w:rPr>
        <w:footnoteRef/>
      </w:r>
      <w:r w:rsidRPr="000C7C52">
        <w:rPr>
          <w:sz w:val="16"/>
          <w:szCs w:val="16"/>
        </w:rPr>
        <w:t xml:space="preserve"> Mapping the state of play of renewable gases in Europe</w:t>
      </w:r>
    </w:p>
    <w:p w14:paraId="7A3D4577" w14:textId="0D6A89E1" w:rsidR="000C7C52" w:rsidRPr="000C7C52" w:rsidRDefault="006D12F8" w:rsidP="000C7C52">
      <w:pPr>
        <w:pStyle w:val="Voetnoottekst"/>
        <w:rPr>
          <w:sz w:val="16"/>
          <w:szCs w:val="16"/>
        </w:rPr>
      </w:pPr>
      <w:hyperlink r:id="rId3" w:history="1">
        <w:r w:rsidR="00C92B27" w:rsidRPr="007E58A1">
          <w:rPr>
            <w:rStyle w:val="Hyperlink"/>
            <w:sz w:val="16"/>
            <w:szCs w:val="16"/>
          </w:rPr>
          <w:t>https://www.regatrace.eu/wp content/uploads/2020/02/REGATRACE-D6.1.pdf</w:t>
        </w:r>
      </w:hyperlink>
      <w:r w:rsidR="00C92B27">
        <w:rPr>
          <w:sz w:val="16"/>
          <w:szCs w:val="16"/>
        </w:rPr>
        <w:t xml:space="preserve">  </w:t>
      </w:r>
    </w:p>
  </w:footnote>
  <w:footnote w:id="8">
    <w:p w14:paraId="7739FD00" w14:textId="5A5B10FE" w:rsidR="00A56BB7" w:rsidRPr="00A56BB7" w:rsidRDefault="00A56BB7">
      <w:pPr>
        <w:pStyle w:val="Voetnoottekst"/>
        <w:rPr>
          <w:lang w:val="en-US"/>
        </w:rPr>
      </w:pPr>
      <w:r>
        <w:rPr>
          <w:rStyle w:val="Voetnootmarkering"/>
        </w:rPr>
        <w:footnoteRef/>
      </w:r>
      <w:r>
        <w:t xml:space="preserve"> </w:t>
      </w:r>
      <w:hyperlink r:id="rId4" w:history="1">
        <w:r w:rsidR="002C7784" w:rsidRPr="002C7784">
          <w:rPr>
            <w:rStyle w:val="Hyperlink"/>
            <w:color w:val="000000" w:themeColor="text1"/>
            <w:sz w:val="16"/>
            <w:szCs w:val="16"/>
          </w:rPr>
          <w:t>https://portalcris.vdu.lt/server/api/core/bitstreams/9d40055a-c969-4aae-a75e-33c9f8ac38a1/content</w:t>
        </w:r>
      </w:hyperlink>
    </w:p>
  </w:footnote>
  <w:footnote w:id="9">
    <w:p w14:paraId="3CB530EE" w14:textId="6ECABDC7" w:rsidR="003E0AAC" w:rsidRPr="00EE0A7F" w:rsidRDefault="003E0AAC">
      <w:pPr>
        <w:pStyle w:val="Voetnoottekst"/>
        <w:rPr>
          <w:sz w:val="16"/>
          <w:szCs w:val="16"/>
          <w:lang w:val="en-US"/>
        </w:rPr>
      </w:pPr>
      <w:r w:rsidRPr="00EE0A7F">
        <w:rPr>
          <w:rStyle w:val="Voetnootmarkering"/>
          <w:sz w:val="16"/>
          <w:szCs w:val="16"/>
        </w:rPr>
        <w:footnoteRef/>
      </w:r>
      <w:r w:rsidRPr="00EE0A7F">
        <w:rPr>
          <w:sz w:val="16"/>
          <w:szCs w:val="16"/>
        </w:rPr>
        <w:t xml:space="preserve"> </w:t>
      </w:r>
      <w:r w:rsidR="00660F4F" w:rsidRPr="00EE0A7F">
        <w:rPr>
          <w:sz w:val="16"/>
          <w:szCs w:val="16"/>
        </w:rPr>
        <w:t>National Hydrogen Roadmap Finland</w:t>
      </w:r>
    </w:p>
  </w:footnote>
  <w:footnote w:id="10">
    <w:p w14:paraId="67F4D486" w14:textId="1DC8907E" w:rsidR="00A54A93" w:rsidRPr="00EE0A7F" w:rsidRDefault="00A54A93" w:rsidP="00A54A93">
      <w:pPr>
        <w:pStyle w:val="Voetnoottekst"/>
        <w:rPr>
          <w:sz w:val="16"/>
          <w:szCs w:val="16"/>
          <w:lang w:val="en-US"/>
        </w:rPr>
      </w:pPr>
      <w:r w:rsidRPr="00EE0A7F">
        <w:rPr>
          <w:rStyle w:val="Voetnootmarkering"/>
          <w:sz w:val="16"/>
          <w:szCs w:val="16"/>
        </w:rPr>
        <w:footnoteRef/>
      </w:r>
      <w:r w:rsidRPr="00EE0A7F">
        <w:rPr>
          <w:sz w:val="16"/>
          <w:szCs w:val="16"/>
        </w:rPr>
        <w:t xml:space="preserve"> </w:t>
      </w:r>
      <w:r w:rsidRPr="00EE0A7F">
        <w:rPr>
          <w:sz w:val="16"/>
          <w:szCs w:val="16"/>
          <w:lang w:val="en-US"/>
        </w:rPr>
        <w:t>Ministry of Finland</w:t>
      </w:r>
    </w:p>
  </w:footnote>
  <w:footnote w:id="11">
    <w:p w14:paraId="7DB66DB1" w14:textId="6AB537EB" w:rsidR="00EE0A7F" w:rsidRDefault="00EE0A7F">
      <w:pPr>
        <w:pStyle w:val="Voetnoottekst"/>
      </w:pPr>
      <w:r w:rsidRPr="00EE0A7F">
        <w:rPr>
          <w:rStyle w:val="Voetnootmarkering"/>
          <w:sz w:val="16"/>
          <w:szCs w:val="16"/>
        </w:rPr>
        <w:footnoteRef/>
      </w:r>
      <w:r w:rsidRPr="00EE0A7F">
        <w:rPr>
          <w:sz w:val="16"/>
          <w:szCs w:val="16"/>
        </w:rPr>
        <w:t xml:space="preserve"> Numbers are taken from EBA report 2020 and supplemented with the additional sources </w:t>
      </w:r>
      <w:r w:rsidR="007646A9">
        <w:rPr>
          <w:sz w:val="16"/>
          <w:szCs w:val="16"/>
        </w:rPr>
        <w:t>and assumptions</w:t>
      </w:r>
      <w:r w:rsidR="006B2734">
        <w:rPr>
          <w:sz w:val="16"/>
          <w:szCs w:val="16"/>
        </w:rPr>
        <w:t>.</w:t>
      </w:r>
    </w:p>
  </w:footnote>
  <w:footnote w:id="12">
    <w:p w14:paraId="1D3C81B4" w14:textId="5940B018" w:rsidR="00352967" w:rsidRPr="005F70EC" w:rsidRDefault="00352967">
      <w:pPr>
        <w:pStyle w:val="Voetnoottekst"/>
        <w:rPr>
          <w:sz w:val="16"/>
          <w:szCs w:val="16"/>
          <w:lang w:val="en-US"/>
        </w:rPr>
      </w:pPr>
      <w:r w:rsidRPr="005F70EC">
        <w:rPr>
          <w:rStyle w:val="Voetnootmarkering"/>
          <w:sz w:val="16"/>
          <w:szCs w:val="16"/>
        </w:rPr>
        <w:footnoteRef/>
      </w:r>
      <w:r w:rsidRPr="005F70EC">
        <w:rPr>
          <w:sz w:val="16"/>
          <w:szCs w:val="16"/>
        </w:rPr>
        <w:t xml:space="preserve"> </w:t>
      </w:r>
      <w:r w:rsidR="005F70EC" w:rsidRPr="005F70EC">
        <w:rPr>
          <w:sz w:val="16"/>
          <w:szCs w:val="16"/>
        </w:rPr>
        <w:t>https://elering.ee/biometaani-paritolutunnistused</w:t>
      </w:r>
    </w:p>
  </w:footnote>
  <w:footnote w:id="13">
    <w:p w14:paraId="16461C47" w14:textId="705DAA51" w:rsidR="006718B1" w:rsidRPr="000D2D98" w:rsidRDefault="006718B1">
      <w:pPr>
        <w:pStyle w:val="Voetnoottekst"/>
        <w:rPr>
          <w:sz w:val="16"/>
          <w:szCs w:val="16"/>
          <w:lang w:val="en-US"/>
        </w:rPr>
      </w:pPr>
      <w:r w:rsidRPr="000D2D98">
        <w:rPr>
          <w:rStyle w:val="Voetnootmarkering"/>
          <w:color w:val="000000" w:themeColor="text1"/>
          <w:sz w:val="16"/>
          <w:szCs w:val="16"/>
        </w:rPr>
        <w:footnoteRef/>
      </w:r>
      <w:hyperlink r:id="rId5" w:history="1">
        <w:r w:rsidR="00D7378C" w:rsidRPr="000D2D98">
          <w:rPr>
            <w:rStyle w:val="Hyperlink"/>
            <w:sz w:val="16"/>
            <w:szCs w:val="16"/>
          </w:rPr>
          <w:t>https://elering.ee/sites/default/files/attachments/Estonian_gas_transmission_network_development_plan_2018_2027.pdf</w:t>
        </w:r>
      </w:hyperlink>
      <w:r w:rsidR="00D7378C" w:rsidRPr="000D2D98">
        <w:rPr>
          <w:color w:val="000000" w:themeColor="text1"/>
          <w:sz w:val="16"/>
          <w:szCs w:val="16"/>
        </w:rPr>
        <w:t xml:space="preserve"> </w:t>
      </w:r>
      <w:hyperlink r:id="rId6" w:history="1">
        <w:r w:rsidR="007F3187" w:rsidRPr="000D2D98">
          <w:rPr>
            <w:rStyle w:val="Hyperlink"/>
            <w:sz w:val="16"/>
            <w:szCs w:val="16"/>
          </w:rPr>
          <w:t>https://elering.ee/sites/default/files/attachments/Estonian_gas_transmission_network_development_plan_2018_2027.pdf</w:t>
        </w:r>
      </w:hyperlink>
    </w:p>
  </w:footnote>
  <w:footnote w:id="14">
    <w:p w14:paraId="6AAE7D2A" w14:textId="72C18FFD" w:rsidR="0035156A" w:rsidRPr="001D0F54" w:rsidRDefault="0035156A">
      <w:pPr>
        <w:pStyle w:val="Voetnoottekst"/>
        <w:rPr>
          <w:lang w:val="nl-BE"/>
        </w:rPr>
      </w:pPr>
      <w:r w:rsidRPr="000D2D98">
        <w:rPr>
          <w:rStyle w:val="Voetnootmarkering"/>
          <w:sz w:val="16"/>
          <w:szCs w:val="16"/>
        </w:rPr>
        <w:footnoteRef/>
      </w:r>
      <w:r w:rsidRPr="000D2D98">
        <w:rPr>
          <w:sz w:val="16"/>
          <w:szCs w:val="16"/>
          <w:lang w:val="nl-BE"/>
        </w:rPr>
        <w:t xml:space="preserve"> Elering TSO</w:t>
      </w:r>
    </w:p>
  </w:footnote>
  <w:footnote w:id="15">
    <w:p w14:paraId="105B8103" w14:textId="47BA10A4" w:rsidR="00E7260F" w:rsidRPr="001D0F54" w:rsidRDefault="00E7260F">
      <w:pPr>
        <w:pStyle w:val="Voetnoottekst"/>
        <w:rPr>
          <w:color w:val="000000" w:themeColor="text1"/>
          <w:sz w:val="16"/>
          <w:szCs w:val="16"/>
          <w:lang w:val="nl-BE"/>
        </w:rPr>
      </w:pPr>
      <w:r w:rsidRPr="003D256F">
        <w:rPr>
          <w:rStyle w:val="Voetnootmarkering"/>
          <w:color w:val="000000" w:themeColor="text1"/>
          <w:sz w:val="16"/>
          <w:szCs w:val="16"/>
        </w:rPr>
        <w:footnoteRef/>
      </w:r>
      <w:r w:rsidRPr="001D0F54">
        <w:rPr>
          <w:color w:val="000000" w:themeColor="text1"/>
          <w:sz w:val="16"/>
          <w:szCs w:val="16"/>
          <w:lang w:val="nl-BE"/>
        </w:rPr>
        <w:t xml:space="preserve"> https://www.conexus.lv/</w:t>
      </w:r>
    </w:p>
  </w:footnote>
  <w:footnote w:id="16">
    <w:p w14:paraId="4CC99D27" w14:textId="1CCEF8FF" w:rsidR="00E31D16" w:rsidRPr="001D0F54" w:rsidRDefault="00E31D16">
      <w:pPr>
        <w:pStyle w:val="Voetnoottekst"/>
        <w:rPr>
          <w:sz w:val="16"/>
          <w:szCs w:val="16"/>
          <w:lang w:val="nl-BE"/>
        </w:rPr>
      </w:pPr>
      <w:r w:rsidRPr="003D256F">
        <w:rPr>
          <w:rStyle w:val="Voetnootmarkering"/>
          <w:sz w:val="16"/>
          <w:szCs w:val="16"/>
        </w:rPr>
        <w:footnoteRef/>
      </w:r>
      <w:r w:rsidRPr="001D0F54">
        <w:rPr>
          <w:sz w:val="16"/>
          <w:szCs w:val="16"/>
          <w:lang w:val="nl-BE"/>
        </w:rPr>
        <w:t xml:space="preserve"> </w:t>
      </w:r>
      <w:r w:rsidR="003D256F" w:rsidRPr="001D0F54">
        <w:rPr>
          <w:rFonts w:cs="Calibri"/>
          <w:color w:val="444444"/>
          <w:sz w:val="16"/>
          <w:szCs w:val="16"/>
          <w:shd w:val="clear" w:color="auto" w:fill="FFFFFF"/>
          <w:lang w:val="nl-BE"/>
        </w:rPr>
        <w:t>https://www.ambergrid.lt/en/projects/gas-interconnection-poland-lithuania-gipl</w:t>
      </w:r>
    </w:p>
  </w:footnote>
  <w:footnote w:id="17">
    <w:p w14:paraId="035B13CD" w14:textId="03A2B007" w:rsidR="00733726" w:rsidRPr="001D0F54" w:rsidRDefault="00733726">
      <w:pPr>
        <w:pStyle w:val="Voetnoottekst"/>
        <w:rPr>
          <w:lang w:val="nl-BE"/>
        </w:rPr>
      </w:pPr>
      <w:r w:rsidRPr="003D256F">
        <w:rPr>
          <w:rStyle w:val="Voetnootmarkering"/>
          <w:color w:val="000000" w:themeColor="text1"/>
          <w:sz w:val="16"/>
          <w:szCs w:val="16"/>
        </w:rPr>
        <w:footnoteRef/>
      </w:r>
      <w:r w:rsidRPr="001D0F54">
        <w:rPr>
          <w:color w:val="000000" w:themeColor="text1"/>
          <w:sz w:val="16"/>
          <w:szCs w:val="16"/>
          <w:lang w:val="nl-BE"/>
        </w:rPr>
        <w:t xml:space="preserve"> </w:t>
      </w:r>
      <w:r w:rsidR="00521A4E" w:rsidRPr="001D0F54">
        <w:rPr>
          <w:rFonts w:cs="Calibri"/>
          <w:color w:val="000000" w:themeColor="text1"/>
          <w:sz w:val="16"/>
          <w:szCs w:val="16"/>
          <w:shd w:val="clear" w:color="auto" w:fill="FFFFFF"/>
          <w:lang w:val="nl-BE"/>
        </w:rPr>
        <w:t>https://www.conexus.lv/uploads/filedir/iugs_pci_investment_request_20181002.pdf</w:t>
      </w:r>
    </w:p>
  </w:footnote>
  <w:footnote w:id="18">
    <w:p w14:paraId="5024B091" w14:textId="61839F78" w:rsidR="00044F5A" w:rsidRPr="001D0F54" w:rsidRDefault="00044F5A">
      <w:pPr>
        <w:pStyle w:val="Voetnoottekst"/>
        <w:rPr>
          <w:color w:val="000000" w:themeColor="text1"/>
          <w:sz w:val="16"/>
          <w:szCs w:val="16"/>
          <w:lang w:val="nl-BE"/>
        </w:rPr>
      </w:pPr>
      <w:r w:rsidRPr="00FC72EB">
        <w:rPr>
          <w:rStyle w:val="Voetnootmarkering"/>
          <w:color w:val="000000" w:themeColor="text1"/>
          <w:sz w:val="16"/>
          <w:szCs w:val="16"/>
        </w:rPr>
        <w:footnoteRef/>
      </w:r>
      <w:r w:rsidRPr="001D0F54">
        <w:rPr>
          <w:color w:val="000000" w:themeColor="text1"/>
          <w:sz w:val="16"/>
          <w:szCs w:val="16"/>
          <w:lang w:val="nl-BE"/>
        </w:rPr>
        <w:t xml:space="preserve"> https://www.ambergrid.lt/en/transmission-system/gas-transmission-system-in-Lithuania</w:t>
      </w:r>
    </w:p>
  </w:footnote>
  <w:footnote w:id="19">
    <w:p w14:paraId="4229A162" w14:textId="238FE5BF" w:rsidR="00143C29" w:rsidRPr="001D0F54" w:rsidRDefault="00143C29">
      <w:pPr>
        <w:pStyle w:val="Voetnoottekst"/>
        <w:rPr>
          <w:sz w:val="16"/>
          <w:szCs w:val="16"/>
          <w:lang w:val="nl-BE"/>
        </w:rPr>
      </w:pPr>
      <w:r w:rsidRPr="00143C29">
        <w:rPr>
          <w:rStyle w:val="Voetnootmarkering"/>
          <w:sz w:val="16"/>
          <w:szCs w:val="16"/>
        </w:rPr>
        <w:footnoteRef/>
      </w:r>
      <w:r w:rsidRPr="001D0F54">
        <w:rPr>
          <w:sz w:val="16"/>
          <w:szCs w:val="16"/>
          <w:lang w:val="nl-BE"/>
        </w:rPr>
        <w:t xml:space="preserve"> </w:t>
      </w:r>
      <w:hyperlink r:id="rId7" w:history="1">
        <w:r w:rsidRPr="001D0F54">
          <w:rPr>
            <w:rStyle w:val="Hyperlink"/>
            <w:color w:val="auto"/>
            <w:sz w:val="16"/>
            <w:szCs w:val="16"/>
            <w:u w:val="none"/>
            <w:lang w:val="nl-BE"/>
          </w:rPr>
          <w:t>https://www.conexus.lv/information-about-storage</w:t>
        </w:r>
      </w:hyperlink>
    </w:p>
  </w:footnote>
  <w:footnote w:id="20">
    <w:p w14:paraId="4DAA4BA4" w14:textId="0AF38CF6" w:rsidR="00EB2CA2" w:rsidRPr="009B0958" w:rsidRDefault="00EB2CA2" w:rsidP="009B0958">
      <w:pPr>
        <w:pStyle w:val="Voetnoottekst"/>
        <w:spacing w:before="20" w:after="20"/>
        <w:rPr>
          <w:sz w:val="16"/>
          <w:szCs w:val="16"/>
          <w:lang w:val="nl-BE"/>
        </w:rPr>
      </w:pPr>
      <w:r w:rsidRPr="00590939">
        <w:rPr>
          <w:rStyle w:val="Voetnootmarkering"/>
          <w:sz w:val="16"/>
          <w:szCs w:val="16"/>
        </w:rPr>
        <w:footnoteRef/>
      </w:r>
      <w:r w:rsidRPr="001D0F54">
        <w:rPr>
          <w:sz w:val="16"/>
          <w:szCs w:val="16"/>
          <w:lang w:val="nl-BE"/>
        </w:rPr>
        <w:t xml:space="preserve"> </w:t>
      </w:r>
      <w:hyperlink r:id="rId8" w:history="1">
        <w:r w:rsidR="00590939" w:rsidRPr="001D0F54">
          <w:rPr>
            <w:rStyle w:val="Hyperlink"/>
            <w:color w:val="auto"/>
            <w:sz w:val="16"/>
            <w:szCs w:val="16"/>
            <w:u w:val="none"/>
            <w:lang w:val="nl-BE"/>
          </w:rPr>
          <w:t>https://www.kn.lt/en/for-investors/financial-data/418</w:t>
        </w:r>
      </w:hyperlink>
      <w:r w:rsidR="00590939" w:rsidRPr="001D0F54">
        <w:rPr>
          <w:sz w:val="16"/>
          <w:szCs w:val="16"/>
          <w:lang w:val="nl-BE"/>
        </w:rPr>
        <w:t xml:space="preserve"> </w:t>
      </w:r>
    </w:p>
  </w:footnote>
  <w:footnote w:id="21">
    <w:p w14:paraId="29124726" w14:textId="073616CA" w:rsidR="006B62AE" w:rsidRPr="008A2541" w:rsidRDefault="006B62AE">
      <w:pPr>
        <w:pStyle w:val="Voetnoottekst"/>
        <w:rPr>
          <w:sz w:val="16"/>
          <w:szCs w:val="16"/>
          <w:lang w:val="nl-BE"/>
        </w:rPr>
      </w:pPr>
      <w:r w:rsidRPr="008A2541">
        <w:rPr>
          <w:rStyle w:val="Voetnootmarkering"/>
          <w:sz w:val="16"/>
          <w:szCs w:val="16"/>
        </w:rPr>
        <w:footnoteRef/>
      </w:r>
      <w:r w:rsidRPr="008A2541">
        <w:rPr>
          <w:sz w:val="16"/>
          <w:szCs w:val="16"/>
          <w:lang w:val="nl-BE"/>
        </w:rPr>
        <w:t xml:space="preserve"> </w:t>
      </w:r>
      <w:hyperlink r:id="rId9" w:tgtFrame="_blank" w:history="1">
        <w:r w:rsidR="0011416C" w:rsidRPr="008A2541">
          <w:rPr>
            <w:rStyle w:val="Hyperlink"/>
            <w:rFonts w:cstheme="minorHAnsi"/>
            <w:color w:val="auto"/>
            <w:sz w:val="16"/>
            <w:szCs w:val="16"/>
            <w:u w:val="none"/>
            <w:shd w:val="clear" w:color="auto" w:fill="FFFFFF"/>
            <w:lang w:val="nl-BE"/>
          </w:rPr>
          <w:t>https://data.europa.eu/doi/10.2833/492414</w:t>
        </w:r>
      </w:hyperlink>
      <w:r w:rsidR="0011416C" w:rsidRPr="008A2541">
        <w:rPr>
          <w:rFonts w:cstheme="minorHAnsi"/>
          <w:sz w:val="16"/>
          <w:szCs w:val="16"/>
          <w:lang w:val="nl-BE"/>
        </w:rPr>
        <w:t>.</w:t>
      </w:r>
    </w:p>
  </w:footnote>
  <w:footnote w:id="22">
    <w:p w14:paraId="36DC0315" w14:textId="2EC863CC" w:rsidR="008E24A9" w:rsidRPr="008A2541" w:rsidRDefault="008E24A9">
      <w:pPr>
        <w:pStyle w:val="Voetnoottekst"/>
        <w:rPr>
          <w:sz w:val="16"/>
          <w:szCs w:val="16"/>
          <w:lang w:val="nl-BE"/>
        </w:rPr>
      </w:pPr>
      <w:r w:rsidRPr="008A2541">
        <w:rPr>
          <w:rStyle w:val="Voetnootmarkering"/>
          <w:sz w:val="16"/>
          <w:szCs w:val="16"/>
        </w:rPr>
        <w:footnoteRef/>
      </w:r>
      <w:r w:rsidRPr="008A2541">
        <w:rPr>
          <w:sz w:val="16"/>
          <w:szCs w:val="16"/>
          <w:lang w:val="nl-BE"/>
        </w:rPr>
        <w:t xml:space="preserve"> https://energy.ec.europa.eu/system/files/2022-03/REPowerEU_Communication_with_Annexes_EN.pdf</w:t>
      </w:r>
    </w:p>
  </w:footnote>
  <w:footnote w:id="23">
    <w:p w14:paraId="77F26D99" w14:textId="77777777" w:rsidR="00AB6392" w:rsidRPr="00B6722D" w:rsidRDefault="00AB6392" w:rsidP="00AB6392">
      <w:pPr>
        <w:pStyle w:val="Voetnoottekst"/>
        <w:rPr>
          <w:rFonts w:asciiTheme="minorHAnsi" w:hAnsiTheme="minorHAnsi" w:cstheme="minorHAnsi"/>
          <w:sz w:val="16"/>
          <w:szCs w:val="16"/>
          <w:lang w:val="en-US"/>
        </w:rPr>
      </w:pPr>
      <w:r w:rsidRPr="008A2541">
        <w:rPr>
          <w:rStyle w:val="Voetnootmarkering"/>
          <w:rFonts w:cstheme="minorHAnsi"/>
          <w:sz w:val="16"/>
          <w:szCs w:val="16"/>
        </w:rPr>
        <w:footnoteRef/>
      </w:r>
      <w:r w:rsidRPr="00B6722D">
        <w:rPr>
          <w:rFonts w:cstheme="minorHAnsi"/>
          <w:sz w:val="16"/>
          <w:szCs w:val="16"/>
          <w:lang w:val="en-US"/>
        </w:rPr>
        <w:t xml:space="preserve"> </w:t>
      </w:r>
      <w:r w:rsidRPr="00B6722D">
        <w:rPr>
          <w:rFonts w:cstheme="minorHAnsi"/>
          <w:sz w:val="16"/>
          <w:szCs w:val="16"/>
          <w:shd w:val="clear" w:color="auto" w:fill="FFFFFF"/>
          <w:lang w:val="en-US"/>
        </w:rPr>
        <w:t>DIRECTIVE (EU) 2018/2001</w:t>
      </w:r>
      <w:r w:rsidRPr="00B6722D">
        <w:rPr>
          <w:rFonts w:asciiTheme="minorHAnsi" w:hAnsiTheme="minorHAnsi" w:cstheme="minorHAnsi"/>
          <w:b/>
          <w:sz w:val="16"/>
          <w:szCs w:val="16"/>
          <w:shd w:val="clear" w:color="auto" w:fill="FFFFFF"/>
          <w:lang w:val="en-US"/>
        </w:rPr>
        <w:t> </w:t>
      </w:r>
    </w:p>
  </w:footnote>
  <w:footnote w:id="24">
    <w:p w14:paraId="068A4069" w14:textId="73C7B715" w:rsidR="008A2541" w:rsidRPr="00C07247" w:rsidRDefault="008A2541">
      <w:pPr>
        <w:pStyle w:val="Voetnoottekst"/>
        <w:rPr>
          <w:lang w:val="fr-CA"/>
        </w:rPr>
      </w:pPr>
      <w:r w:rsidRPr="008A2541">
        <w:rPr>
          <w:rStyle w:val="Voetnootmarkering"/>
          <w:sz w:val="16"/>
          <w:szCs w:val="16"/>
        </w:rPr>
        <w:footnoteRef/>
      </w:r>
      <w:r w:rsidRPr="00C07247">
        <w:rPr>
          <w:sz w:val="16"/>
          <w:szCs w:val="16"/>
          <w:lang w:val="fr-CA"/>
        </w:rPr>
        <w:t xml:space="preserve"> https://eur-lex.europa.eu/legal-content/EN/TXT/?uri=CELEX:52020DC0301</w:t>
      </w:r>
    </w:p>
  </w:footnote>
  <w:footnote w:id="25">
    <w:p w14:paraId="2B0BB07C" w14:textId="0E6AEF8B" w:rsidR="00833645" w:rsidRPr="00C07247" w:rsidRDefault="00833645">
      <w:pPr>
        <w:pStyle w:val="Voetnoottekst"/>
        <w:rPr>
          <w:lang w:val="fr-CA"/>
        </w:rPr>
      </w:pPr>
      <w:r w:rsidRPr="00833645">
        <w:rPr>
          <w:rStyle w:val="Voetnootmarkering"/>
          <w:sz w:val="16"/>
          <w:szCs w:val="16"/>
        </w:rPr>
        <w:footnoteRef/>
      </w:r>
      <w:r w:rsidRPr="00C07247">
        <w:rPr>
          <w:sz w:val="16"/>
          <w:szCs w:val="16"/>
          <w:lang w:val="fr-CA"/>
        </w:rPr>
        <w:t xml:space="preserve"> https://eur-lex.europa.eu/legal-content/EN/TXT/?uri=CELEX%3A52021PC0803&amp;qid=1640002501099</w:t>
      </w:r>
    </w:p>
  </w:footnote>
  <w:footnote w:id="26">
    <w:p w14:paraId="45B659A6" w14:textId="1D27AE35" w:rsidR="005F7D03" w:rsidRPr="00B6722D" w:rsidRDefault="005F7D03">
      <w:pPr>
        <w:pStyle w:val="Voetnoottekst"/>
        <w:rPr>
          <w:sz w:val="16"/>
          <w:szCs w:val="16"/>
          <w:lang w:val="en-US"/>
        </w:rPr>
      </w:pPr>
      <w:r w:rsidRPr="00421BD7">
        <w:rPr>
          <w:rStyle w:val="Voetnootmarkering"/>
          <w:sz w:val="16"/>
          <w:szCs w:val="16"/>
        </w:rPr>
        <w:footnoteRef/>
      </w:r>
      <w:r w:rsidRPr="00B6722D">
        <w:rPr>
          <w:sz w:val="16"/>
          <w:szCs w:val="16"/>
          <w:lang w:val="en-US"/>
        </w:rPr>
        <w:t xml:space="preserve"> Recast EU Regulation on Gas and Hydrogen Networks</w:t>
      </w:r>
    </w:p>
  </w:footnote>
  <w:footnote w:id="27">
    <w:p w14:paraId="771AC5DA" w14:textId="142E8DCF" w:rsidR="00673276" w:rsidRPr="00B6722D" w:rsidRDefault="00673276" w:rsidP="00421BD7">
      <w:pPr>
        <w:pStyle w:val="Voetnoottekst"/>
        <w:rPr>
          <w:sz w:val="16"/>
          <w:szCs w:val="16"/>
          <w:lang w:val="en-US"/>
        </w:rPr>
      </w:pPr>
      <w:r w:rsidRPr="00421BD7">
        <w:rPr>
          <w:rStyle w:val="Voetnootmarkering"/>
          <w:sz w:val="16"/>
          <w:szCs w:val="16"/>
        </w:rPr>
        <w:footnoteRef/>
      </w:r>
      <w:r w:rsidRPr="00B6722D">
        <w:rPr>
          <w:sz w:val="16"/>
          <w:szCs w:val="16"/>
          <w:lang w:val="en-US"/>
        </w:rPr>
        <w:t xml:space="preserve"> </w:t>
      </w:r>
      <w:r w:rsidR="009F4512" w:rsidRPr="009F4512">
        <w:rPr>
          <w:sz w:val="16"/>
          <w:szCs w:val="16"/>
          <w:lang w:val="en-US"/>
        </w:rPr>
        <w:t>https://eur-lex.europa.eu/legal-content/EN/TXT/?uri=CELEX%3A02013R0347-20220428</w:t>
      </w:r>
    </w:p>
  </w:footnote>
  <w:footnote w:id="28">
    <w:p w14:paraId="55603D08" w14:textId="3BCC250D" w:rsidR="003A2508" w:rsidRPr="003A2508" w:rsidRDefault="003A2508">
      <w:pPr>
        <w:pStyle w:val="Voetnoottekst"/>
        <w:rPr>
          <w:sz w:val="16"/>
          <w:szCs w:val="16"/>
          <w:lang w:val="en-US"/>
        </w:rPr>
      </w:pPr>
      <w:r w:rsidRPr="003A2508">
        <w:rPr>
          <w:rStyle w:val="Voetnootmarkering"/>
          <w:sz w:val="16"/>
          <w:szCs w:val="16"/>
        </w:rPr>
        <w:footnoteRef/>
      </w:r>
      <w:r w:rsidRPr="003A2508">
        <w:rPr>
          <w:sz w:val="16"/>
          <w:szCs w:val="16"/>
        </w:rPr>
        <w:t xml:space="preserve"> https://www.europarl.europa.eu/RegData/etudes/BRIE/2021/689343/EPRS_BRI(2021)689343_EN.pdf</w:t>
      </w:r>
    </w:p>
  </w:footnote>
  <w:footnote w:id="29">
    <w:p w14:paraId="3A9B88C9" w14:textId="0416D116" w:rsidR="004B7E1C" w:rsidRPr="004B7E1C" w:rsidRDefault="004B7E1C">
      <w:pPr>
        <w:pStyle w:val="Voetnoottekst"/>
        <w:rPr>
          <w:lang w:val="en-US"/>
        </w:rPr>
      </w:pPr>
      <w:r w:rsidRPr="004B7E1C">
        <w:rPr>
          <w:rStyle w:val="Voetnootmarkering"/>
          <w:sz w:val="16"/>
          <w:szCs w:val="16"/>
        </w:rPr>
        <w:footnoteRef/>
      </w:r>
      <w:r w:rsidRPr="004B7E1C">
        <w:rPr>
          <w:sz w:val="16"/>
          <w:szCs w:val="16"/>
        </w:rPr>
        <w:t xml:space="preserve"> https://www.iea.org/reports/a-10-point-plan-to-reduce-the-european-unions-reliance-on-russian-natural-gas</w:t>
      </w:r>
    </w:p>
  </w:footnote>
  <w:footnote w:id="30">
    <w:p w14:paraId="1D3CA9C9" w14:textId="6D739478" w:rsidR="005329EA" w:rsidRPr="00C07247" w:rsidRDefault="005329EA">
      <w:pPr>
        <w:pStyle w:val="Voetnoottekst"/>
        <w:rPr>
          <w:sz w:val="16"/>
          <w:szCs w:val="16"/>
          <w:lang w:val="en-US"/>
        </w:rPr>
      </w:pPr>
      <w:r w:rsidRPr="005329EA">
        <w:rPr>
          <w:rStyle w:val="Voetnootmarkering"/>
          <w:sz w:val="16"/>
          <w:szCs w:val="16"/>
        </w:rPr>
        <w:footnoteRef/>
      </w:r>
      <w:r w:rsidRPr="00C07247">
        <w:rPr>
          <w:sz w:val="16"/>
          <w:szCs w:val="16"/>
          <w:lang w:val="en-US"/>
        </w:rPr>
        <w:t xml:space="preserve"> https://www.europeanbiogas.eu/wp-content/uploads/files/2013/10/eba_biomethane_factsheet.pdf</w:t>
      </w:r>
    </w:p>
  </w:footnote>
  <w:footnote w:id="31">
    <w:p w14:paraId="0BBE0A1E" w14:textId="6DC6E5BC" w:rsidR="006076FE" w:rsidRPr="00C07247" w:rsidRDefault="006076FE">
      <w:pPr>
        <w:pStyle w:val="Voetnoottekst"/>
        <w:rPr>
          <w:sz w:val="16"/>
          <w:szCs w:val="16"/>
          <w:lang w:val="en-US"/>
        </w:rPr>
      </w:pPr>
      <w:r w:rsidRPr="006076FE">
        <w:rPr>
          <w:rStyle w:val="Voetnootmarkering"/>
          <w:sz w:val="16"/>
          <w:szCs w:val="16"/>
        </w:rPr>
        <w:footnoteRef/>
      </w:r>
      <w:r w:rsidRPr="00C07247">
        <w:rPr>
          <w:sz w:val="16"/>
          <w:szCs w:val="16"/>
          <w:lang w:val="en-US"/>
        </w:rPr>
        <w:t xml:space="preserve"> https://www.riigiteataja.ee/en/eli/510032021005/consolide</w:t>
      </w:r>
    </w:p>
  </w:footnote>
  <w:footnote w:id="32">
    <w:p w14:paraId="66D71A7C" w14:textId="1D5044D4" w:rsidR="00BC7D54" w:rsidRPr="006A6380" w:rsidRDefault="00BC7D54" w:rsidP="0013383C">
      <w:pPr>
        <w:pStyle w:val="Voetnoottekst"/>
        <w:rPr>
          <w:rFonts w:cstheme="minorHAnsi"/>
          <w:color w:val="000000"/>
          <w:sz w:val="16"/>
          <w:szCs w:val="16"/>
          <w:lang w:val="de-DE"/>
        </w:rPr>
      </w:pPr>
      <w:r w:rsidRPr="0013383C">
        <w:rPr>
          <w:rStyle w:val="Voetnootmarkering"/>
          <w:sz w:val="16"/>
          <w:szCs w:val="16"/>
        </w:rPr>
        <w:footnoteRef/>
      </w:r>
      <w:r w:rsidRPr="006A6380">
        <w:rPr>
          <w:sz w:val="16"/>
          <w:szCs w:val="16"/>
          <w:lang w:val="de-DE"/>
        </w:rPr>
        <w:t xml:space="preserve"> </w:t>
      </w:r>
      <w:r w:rsidRPr="006A6380">
        <w:rPr>
          <w:rFonts w:cstheme="minorHAnsi"/>
          <w:color w:val="000000"/>
          <w:sz w:val="16"/>
          <w:szCs w:val="16"/>
          <w:lang w:val="de-DE"/>
        </w:rPr>
        <w:t>ENTSOG, 2018</w:t>
      </w:r>
    </w:p>
  </w:footnote>
  <w:footnote w:id="33">
    <w:p w14:paraId="711991D3" w14:textId="40EF72A5" w:rsidR="002E4892" w:rsidRPr="006A6380" w:rsidRDefault="002E4892">
      <w:pPr>
        <w:pStyle w:val="Voetnoottekst"/>
        <w:rPr>
          <w:sz w:val="16"/>
          <w:szCs w:val="16"/>
          <w:lang w:val="de-DE"/>
        </w:rPr>
      </w:pPr>
      <w:r w:rsidRPr="0013383C">
        <w:rPr>
          <w:rStyle w:val="Voetnootmarkering"/>
          <w:sz w:val="16"/>
          <w:szCs w:val="16"/>
        </w:rPr>
        <w:footnoteRef/>
      </w:r>
      <w:r w:rsidRPr="006A6380">
        <w:rPr>
          <w:sz w:val="16"/>
          <w:szCs w:val="16"/>
          <w:lang w:val="de-DE"/>
        </w:rPr>
        <w:t xml:space="preserve"> </w:t>
      </w:r>
      <w:r w:rsidR="00362895" w:rsidRPr="006A6380">
        <w:rPr>
          <w:rFonts w:cstheme="minorHAnsi"/>
          <w:sz w:val="16"/>
          <w:szCs w:val="16"/>
          <w:lang w:val="de-DE"/>
        </w:rPr>
        <w:t>THYGA, 2020</w:t>
      </w:r>
    </w:p>
  </w:footnote>
  <w:footnote w:id="34">
    <w:p w14:paraId="28B420A3" w14:textId="2513392E" w:rsidR="0013383C" w:rsidRPr="006A6380" w:rsidRDefault="0013383C">
      <w:pPr>
        <w:pStyle w:val="Voetnoottekst"/>
        <w:rPr>
          <w:lang w:val="de-DE"/>
        </w:rPr>
      </w:pPr>
      <w:r w:rsidRPr="0013383C">
        <w:rPr>
          <w:rStyle w:val="Voetnootmarkering"/>
          <w:sz w:val="16"/>
          <w:szCs w:val="16"/>
        </w:rPr>
        <w:footnoteRef/>
      </w:r>
      <w:r w:rsidRPr="006A6380">
        <w:rPr>
          <w:sz w:val="16"/>
          <w:szCs w:val="16"/>
          <w:lang w:val="de-DE"/>
        </w:rPr>
        <w:t xml:space="preserve"> https://data.europa.eu/doi/10.2833/912333</w:t>
      </w:r>
    </w:p>
  </w:footnote>
  <w:footnote w:id="35">
    <w:p w14:paraId="38F3C47C" w14:textId="77777777" w:rsidR="008367C9" w:rsidRPr="006A6380" w:rsidRDefault="008367C9" w:rsidP="008367C9">
      <w:pPr>
        <w:pStyle w:val="Voetnoottekst"/>
        <w:rPr>
          <w:sz w:val="16"/>
          <w:szCs w:val="16"/>
          <w:lang w:val="de-DE"/>
        </w:rPr>
      </w:pPr>
      <w:r w:rsidRPr="00B341E2">
        <w:rPr>
          <w:rStyle w:val="Voetnootmarkering"/>
          <w:sz w:val="16"/>
          <w:szCs w:val="16"/>
        </w:rPr>
        <w:footnoteRef/>
      </w:r>
      <w:r w:rsidRPr="006A6380">
        <w:rPr>
          <w:sz w:val="16"/>
          <w:szCs w:val="16"/>
          <w:lang w:val="de-DE"/>
        </w:rPr>
        <w:t xml:space="preserve"> https://ec.europa.eu/energy/sites/ener/files/documents/ee_final_necp_main_en.pdf</w:t>
      </w:r>
    </w:p>
  </w:footnote>
  <w:footnote w:id="36">
    <w:p w14:paraId="6EE9B085" w14:textId="77777777" w:rsidR="008367C9" w:rsidRPr="006A6380" w:rsidRDefault="008367C9" w:rsidP="008367C9">
      <w:pPr>
        <w:pStyle w:val="Voetnoottekst"/>
        <w:rPr>
          <w:lang w:val="de-DE"/>
        </w:rPr>
      </w:pPr>
      <w:r w:rsidRPr="00B341E2">
        <w:rPr>
          <w:rStyle w:val="Voetnootmarkering"/>
          <w:sz w:val="16"/>
          <w:szCs w:val="16"/>
        </w:rPr>
        <w:footnoteRef/>
      </w:r>
      <w:r w:rsidRPr="006A6380">
        <w:rPr>
          <w:sz w:val="16"/>
          <w:szCs w:val="16"/>
          <w:lang w:val="de-DE"/>
        </w:rPr>
        <w:t xml:space="preserve"> https://ec.europa.eu/energy/sites/ener/files/documents/ec_courtesy_translation_lv_necp.pdf</w:t>
      </w:r>
    </w:p>
  </w:footnote>
  <w:footnote w:id="37">
    <w:p w14:paraId="1702092B" w14:textId="77777777" w:rsidR="008367C9" w:rsidRPr="006A6380" w:rsidRDefault="008367C9" w:rsidP="000A0CDB">
      <w:pPr>
        <w:pStyle w:val="Voetnoottekst"/>
        <w:jc w:val="both"/>
        <w:rPr>
          <w:sz w:val="16"/>
          <w:szCs w:val="16"/>
          <w:lang w:val="de-DE"/>
        </w:rPr>
      </w:pPr>
      <w:r w:rsidRPr="000A0CDB">
        <w:rPr>
          <w:rStyle w:val="Voetnootmarkering"/>
          <w:sz w:val="16"/>
          <w:szCs w:val="16"/>
        </w:rPr>
        <w:footnoteRef/>
      </w:r>
      <w:r w:rsidRPr="006A6380">
        <w:rPr>
          <w:sz w:val="16"/>
          <w:szCs w:val="16"/>
          <w:lang w:val="de-DE"/>
        </w:rPr>
        <w:t xml:space="preserve"> https://ec.europa.eu/energy/sites/ener/files/documents/lt_final_necp_main_en.pdf</w:t>
      </w:r>
    </w:p>
  </w:footnote>
  <w:footnote w:id="38">
    <w:p w14:paraId="00B343B3" w14:textId="77777777" w:rsidR="008367C9" w:rsidRPr="006A6380" w:rsidRDefault="008367C9" w:rsidP="000A0CDB">
      <w:pPr>
        <w:pStyle w:val="Voetnoottekst"/>
        <w:jc w:val="both"/>
        <w:rPr>
          <w:color w:val="000000" w:themeColor="text1"/>
          <w:sz w:val="16"/>
          <w:szCs w:val="16"/>
          <w:lang w:val="de-DE"/>
        </w:rPr>
      </w:pPr>
      <w:r w:rsidRPr="000A0CDB">
        <w:rPr>
          <w:rStyle w:val="Voetnootmarkering"/>
          <w:color w:val="000000" w:themeColor="text1"/>
          <w:sz w:val="16"/>
          <w:szCs w:val="16"/>
        </w:rPr>
        <w:footnoteRef/>
      </w:r>
      <w:r w:rsidRPr="006A6380">
        <w:rPr>
          <w:color w:val="000000" w:themeColor="text1"/>
          <w:sz w:val="16"/>
          <w:szCs w:val="16"/>
          <w:lang w:val="de-DE"/>
        </w:rPr>
        <w:t xml:space="preserve"> https://ec.europa.eu/energy/sites/ener/files/documents/fi_final_necp_main_en.pdf</w:t>
      </w:r>
    </w:p>
  </w:footnote>
  <w:footnote w:id="39">
    <w:p w14:paraId="4DA9B65F" w14:textId="7C2B5BE4" w:rsidR="004F34D7" w:rsidRPr="004F34D7" w:rsidRDefault="004F34D7" w:rsidP="000A0CDB">
      <w:pPr>
        <w:pStyle w:val="Voetnoottekst"/>
        <w:jc w:val="both"/>
        <w:rPr>
          <w:lang w:val="en-US"/>
        </w:rPr>
      </w:pPr>
      <w:r w:rsidRPr="000A0CDB">
        <w:rPr>
          <w:rStyle w:val="Voetnootmarkering"/>
          <w:color w:val="000000" w:themeColor="text1"/>
          <w:sz w:val="16"/>
          <w:szCs w:val="16"/>
        </w:rPr>
        <w:footnoteRef/>
      </w:r>
      <w:r w:rsidRPr="000A0CDB">
        <w:rPr>
          <w:color w:val="000000" w:themeColor="text1"/>
          <w:sz w:val="16"/>
          <w:szCs w:val="16"/>
        </w:rPr>
        <w:t xml:space="preserve"> </w:t>
      </w:r>
      <w:hyperlink r:id="rId10">
        <w:r w:rsidRPr="000A0CDB">
          <w:rPr>
            <w:rStyle w:val="Hyperlink"/>
            <w:color w:val="000000" w:themeColor="text1"/>
            <w:sz w:val="16"/>
            <w:szCs w:val="16"/>
            <w:u w:val="none"/>
          </w:rPr>
          <w:t>IEA, Energy policy Review – Lithuania 2021</w:t>
        </w:r>
      </w:hyperlink>
    </w:p>
  </w:footnote>
  <w:footnote w:id="40">
    <w:p w14:paraId="3249D9E0" w14:textId="77777777" w:rsidR="00627B51" w:rsidRPr="00654329" w:rsidRDefault="00627B51" w:rsidP="00627B51">
      <w:pPr>
        <w:pStyle w:val="Normaalweb"/>
        <w:spacing w:before="0" w:beforeAutospacing="0" w:after="0" w:afterAutospacing="0"/>
        <w:ind w:left="567"/>
        <w:rPr>
          <w:rFonts w:ascii="Trebuchet MS" w:hAnsi="Trebuchet MS" w:cs="Segoe UI"/>
          <w:color w:val="000000" w:themeColor="text1"/>
          <w:sz w:val="16"/>
          <w:szCs w:val="16"/>
        </w:rPr>
      </w:pPr>
      <w:r w:rsidRPr="00654329">
        <w:rPr>
          <w:rStyle w:val="Voetnootmarkering"/>
          <w:rFonts w:ascii="Trebuchet MS" w:hAnsi="Trebuchet MS"/>
          <w:color w:val="000000" w:themeColor="text1"/>
          <w:sz w:val="16"/>
          <w:szCs w:val="16"/>
        </w:rPr>
        <w:footnoteRef/>
      </w:r>
      <w:r w:rsidRPr="00654329">
        <w:rPr>
          <w:rFonts w:ascii="Trebuchet MS" w:hAnsi="Trebuchet MS"/>
          <w:color w:val="000000" w:themeColor="text1"/>
          <w:sz w:val="16"/>
          <w:szCs w:val="16"/>
        </w:rPr>
        <w:t xml:space="preserve"> </w:t>
      </w:r>
      <w:hyperlink r:id="rId11" w:history="1">
        <w:r w:rsidRPr="00654329">
          <w:rPr>
            <w:rStyle w:val="Hyperlink"/>
            <w:rFonts w:ascii="Trebuchet MS" w:hAnsi="Trebuchet MS" w:cs="Segoe UI"/>
            <w:color w:val="000000" w:themeColor="text1"/>
            <w:sz w:val="16"/>
            <w:szCs w:val="16"/>
            <w:u w:val="none"/>
          </w:rPr>
          <w:t>https://www.mdpi.com/2071-1050/11/17/4750/pdf</w:t>
        </w:r>
      </w:hyperlink>
    </w:p>
  </w:footnote>
  <w:footnote w:id="41">
    <w:p w14:paraId="1EF0CD73" w14:textId="5499C90D" w:rsidR="004F34D7" w:rsidRPr="000A0CDB" w:rsidRDefault="004F34D7" w:rsidP="000A0CDB">
      <w:pPr>
        <w:pStyle w:val="Voetnoottekst"/>
        <w:jc w:val="both"/>
        <w:rPr>
          <w:color w:val="000000" w:themeColor="text1"/>
          <w:sz w:val="16"/>
          <w:szCs w:val="16"/>
          <w:lang w:val="en-US"/>
        </w:rPr>
      </w:pPr>
      <w:r w:rsidRPr="000A0CDB">
        <w:rPr>
          <w:rStyle w:val="Voetnootmarkering"/>
          <w:color w:val="000000" w:themeColor="text1"/>
          <w:sz w:val="16"/>
          <w:szCs w:val="16"/>
        </w:rPr>
        <w:footnoteRef/>
      </w:r>
      <w:r w:rsidRPr="000A0CDB">
        <w:rPr>
          <w:color w:val="000000" w:themeColor="text1"/>
          <w:sz w:val="16"/>
          <w:szCs w:val="16"/>
        </w:rPr>
        <w:t xml:space="preserve"> </w:t>
      </w:r>
      <w:hyperlink r:id="rId12">
        <w:r w:rsidRPr="000A0CDB">
          <w:rPr>
            <w:rStyle w:val="Hyperlink"/>
            <w:color w:val="000000" w:themeColor="text1"/>
            <w:sz w:val="16"/>
            <w:szCs w:val="16"/>
            <w:u w:val="none"/>
          </w:rPr>
          <w:t>National Hydrogen Roadmap Finland</w:t>
        </w:r>
      </w:hyperlink>
    </w:p>
  </w:footnote>
  <w:footnote w:id="42">
    <w:p w14:paraId="5D9005BC" w14:textId="77777777" w:rsidR="00D9359D" w:rsidRPr="00FC6906" w:rsidRDefault="00D9359D" w:rsidP="00D9359D">
      <w:pPr>
        <w:pStyle w:val="Voetnoottekst"/>
        <w:jc w:val="both"/>
        <w:rPr>
          <w:rFonts w:cstheme="minorHAnsi"/>
          <w:sz w:val="16"/>
          <w:szCs w:val="16"/>
          <w:lang w:val="en-US"/>
        </w:rPr>
      </w:pPr>
      <w:r w:rsidRPr="00A612FD">
        <w:rPr>
          <w:rStyle w:val="Voetnootmarkering"/>
          <w:rFonts w:cstheme="minorHAnsi"/>
          <w:color w:val="000000" w:themeColor="text1"/>
          <w:sz w:val="16"/>
          <w:szCs w:val="16"/>
        </w:rPr>
        <w:footnoteRef/>
      </w:r>
      <w:r w:rsidRPr="00A612FD">
        <w:rPr>
          <w:rFonts w:cstheme="minorHAnsi"/>
          <w:color w:val="000000" w:themeColor="text1"/>
          <w:sz w:val="16"/>
          <w:szCs w:val="16"/>
        </w:rPr>
        <w:t xml:space="preserve"> CE Delft, Eclarion &amp; Wageningen Research (2017). Optimal use of biogas from waste streams</w:t>
      </w:r>
      <w:r w:rsidRPr="00FC6906">
        <w:rPr>
          <w:rFonts w:cstheme="minorHAnsi"/>
          <w:sz w:val="16"/>
          <w:szCs w:val="16"/>
        </w:rPr>
        <w:t xml:space="preserve">.  </w:t>
      </w:r>
    </w:p>
  </w:footnote>
  <w:footnote w:id="43">
    <w:p w14:paraId="7938EC30" w14:textId="77777777" w:rsidR="00D9359D" w:rsidRPr="00FC6906" w:rsidRDefault="00D9359D" w:rsidP="00D9359D">
      <w:pPr>
        <w:pStyle w:val="Voetnoottekst"/>
        <w:jc w:val="both"/>
        <w:rPr>
          <w:rFonts w:cstheme="minorHAnsi"/>
          <w:sz w:val="16"/>
          <w:szCs w:val="16"/>
          <w:lang w:val="en-US"/>
        </w:rPr>
      </w:pPr>
      <w:r w:rsidRPr="00FC6906">
        <w:rPr>
          <w:rStyle w:val="Voetnootmarkering"/>
          <w:rFonts w:cstheme="minorHAnsi"/>
          <w:sz w:val="16"/>
          <w:szCs w:val="16"/>
        </w:rPr>
        <w:footnoteRef/>
      </w:r>
      <w:r w:rsidRPr="00FC6906">
        <w:rPr>
          <w:rFonts w:cstheme="minorHAnsi"/>
          <w:sz w:val="16"/>
          <w:szCs w:val="16"/>
        </w:rPr>
        <w:t xml:space="preserve"> GreenGasGrids (2012). GGG Workshop Biomethane Trade, Brussels. &amp; Biosurf (2015). Report on current and future sustainable biomass supply for biomethane production.  </w:t>
      </w:r>
    </w:p>
  </w:footnote>
  <w:footnote w:id="44">
    <w:p w14:paraId="17C9E70D" w14:textId="77777777" w:rsidR="00D9359D" w:rsidRPr="002171FA" w:rsidRDefault="00D9359D" w:rsidP="00D9359D">
      <w:pPr>
        <w:pStyle w:val="Voetnoottekst"/>
        <w:jc w:val="both"/>
        <w:rPr>
          <w:sz w:val="16"/>
          <w:szCs w:val="16"/>
          <w:lang w:val="en-US"/>
        </w:rPr>
      </w:pPr>
      <w:r w:rsidRPr="00FC6906">
        <w:rPr>
          <w:rStyle w:val="Voetnootmarkering"/>
          <w:rFonts w:cstheme="minorHAnsi"/>
          <w:sz w:val="16"/>
          <w:szCs w:val="16"/>
        </w:rPr>
        <w:footnoteRef/>
      </w:r>
      <w:r w:rsidRPr="006A6380">
        <w:rPr>
          <w:rFonts w:cstheme="minorHAnsi"/>
          <w:sz w:val="16"/>
          <w:szCs w:val="16"/>
          <w:lang w:val="sv-SE"/>
        </w:rPr>
        <w:t xml:space="preserve"> Scarlat, N., Fahl, F., Dallemand, J.-F., Monforti, F., &amp; Motola, V. (2018). </w:t>
      </w:r>
      <w:r w:rsidRPr="00FC6906">
        <w:rPr>
          <w:rFonts w:cstheme="minorHAnsi"/>
          <w:sz w:val="16"/>
          <w:szCs w:val="16"/>
        </w:rPr>
        <w:t xml:space="preserve">A spatial analysis of biogas potential from manure in Europe. </w:t>
      </w:r>
      <w:r w:rsidRPr="00FC6906">
        <w:rPr>
          <w:rFonts w:cstheme="minorHAnsi"/>
          <w:i/>
          <w:iCs/>
          <w:sz w:val="16"/>
          <w:szCs w:val="16"/>
        </w:rPr>
        <w:t xml:space="preserve">Renewable and Sustainable Energy Reviews </w:t>
      </w:r>
      <w:r w:rsidRPr="00FC6906">
        <w:rPr>
          <w:rFonts w:cstheme="minorHAnsi"/>
          <w:sz w:val="16"/>
          <w:szCs w:val="16"/>
        </w:rPr>
        <w:t>94(2018): 915-930.</w:t>
      </w:r>
      <w:r w:rsidRPr="002171FA">
        <w:rPr>
          <w:sz w:val="16"/>
          <w:szCs w:val="16"/>
        </w:rPr>
        <w:t xml:space="preserve">  </w:t>
      </w:r>
    </w:p>
  </w:footnote>
  <w:footnote w:id="45">
    <w:p w14:paraId="37B189B5" w14:textId="2A3FFE34" w:rsidR="00D9359D" w:rsidRPr="00C31439" w:rsidRDefault="00D9359D" w:rsidP="00D9359D">
      <w:pPr>
        <w:pStyle w:val="Voetnoottekst"/>
        <w:rPr>
          <w:sz w:val="16"/>
          <w:szCs w:val="14"/>
        </w:rPr>
      </w:pPr>
      <w:r w:rsidRPr="00C31439">
        <w:rPr>
          <w:rStyle w:val="Voetnootmarkering"/>
          <w:sz w:val="16"/>
          <w:szCs w:val="14"/>
        </w:rPr>
        <w:footnoteRef/>
      </w:r>
      <w:r w:rsidRPr="00C31439">
        <w:rPr>
          <w:sz w:val="16"/>
          <w:szCs w:val="14"/>
        </w:rPr>
        <w:t xml:space="preserve"> </w:t>
      </w:r>
      <w:bookmarkStart w:id="91" w:name="_Hlk107226526"/>
      <w:r w:rsidRPr="00C31439">
        <w:rPr>
          <w:sz w:val="16"/>
          <w:szCs w:val="14"/>
        </w:rPr>
        <w:t xml:space="preserve">European Commission, Directorate-General for Energy, </w:t>
      </w:r>
      <w:r w:rsidR="00CE19A3">
        <w:rPr>
          <w:sz w:val="16"/>
          <w:szCs w:val="14"/>
        </w:rPr>
        <w:t>Trinomics and LBST</w:t>
      </w:r>
      <w:r w:rsidRPr="00C31439">
        <w:rPr>
          <w:sz w:val="16"/>
          <w:szCs w:val="14"/>
        </w:rPr>
        <w:t>, et al., Impact of the use of the biomethane and hydrogen potential on trans-European infrastructure, Publications Office, 2020, </w:t>
      </w:r>
      <w:bookmarkEnd w:id="91"/>
      <w:r>
        <w:fldChar w:fldCharType="begin"/>
      </w:r>
      <w:r>
        <w:instrText>HYPERLINK "https://data.europa.eu/doi/10.2833/492414"</w:instrText>
      </w:r>
      <w:r>
        <w:fldChar w:fldCharType="separate"/>
      </w:r>
      <w:r w:rsidRPr="00C31439">
        <w:rPr>
          <w:rStyle w:val="Hyperlink"/>
          <w:sz w:val="16"/>
          <w:szCs w:val="14"/>
        </w:rPr>
        <w:t>https://data.europa.eu/doi/10.2833/492414</w:t>
      </w:r>
      <w:r>
        <w:rPr>
          <w:rStyle w:val="Hyperlink"/>
          <w:sz w:val="16"/>
          <w:szCs w:val="14"/>
        </w:rPr>
        <w:fldChar w:fldCharType="end"/>
      </w:r>
      <w:r w:rsidRPr="00C31439">
        <w:rPr>
          <w:sz w:val="16"/>
          <w:szCs w:val="14"/>
        </w:rPr>
        <w:t xml:space="preserve"> </w:t>
      </w:r>
    </w:p>
  </w:footnote>
  <w:footnote w:id="46">
    <w:p w14:paraId="30FCB022" w14:textId="77777777" w:rsidR="00D9359D" w:rsidRPr="00C31439" w:rsidRDefault="00D9359D" w:rsidP="00D9359D">
      <w:pPr>
        <w:pStyle w:val="Voetnoottekst"/>
        <w:rPr>
          <w:sz w:val="16"/>
          <w:szCs w:val="14"/>
        </w:rPr>
      </w:pPr>
      <w:r w:rsidRPr="00C31439">
        <w:rPr>
          <w:rStyle w:val="Voetnootmarkering"/>
          <w:sz w:val="16"/>
          <w:szCs w:val="14"/>
        </w:rPr>
        <w:footnoteRef/>
      </w:r>
      <w:r w:rsidRPr="00C31439">
        <w:rPr>
          <w:sz w:val="16"/>
          <w:szCs w:val="14"/>
        </w:rPr>
        <w:t xml:space="preserve"> IEA 2022, Support schemes for biomethane: Background paper</w:t>
      </w:r>
    </w:p>
  </w:footnote>
  <w:footnote w:id="47">
    <w:p w14:paraId="6BE73CCF" w14:textId="01616E87" w:rsidR="00F04529" w:rsidRPr="000B0BFC" w:rsidRDefault="00F04529" w:rsidP="000B0BFC">
      <w:pPr>
        <w:pStyle w:val="Voetnoottekst"/>
        <w:jc w:val="both"/>
        <w:rPr>
          <w:sz w:val="16"/>
          <w:szCs w:val="16"/>
          <w:lang w:val="en-US"/>
        </w:rPr>
      </w:pPr>
      <w:r w:rsidRPr="000B0BFC">
        <w:rPr>
          <w:rStyle w:val="Voetnootmarkering"/>
          <w:sz w:val="16"/>
          <w:szCs w:val="16"/>
        </w:rPr>
        <w:footnoteRef/>
      </w:r>
      <w:r w:rsidRPr="000B0BFC">
        <w:rPr>
          <w:sz w:val="16"/>
          <w:szCs w:val="16"/>
        </w:rPr>
        <w:t xml:space="preserve"> </w:t>
      </w:r>
      <w:r w:rsidRPr="000B0BFC">
        <w:rPr>
          <w:sz w:val="16"/>
          <w:szCs w:val="16"/>
          <w:lang w:val="en-US"/>
        </w:rPr>
        <w:t xml:space="preserve">Based on the stakeholder’s input, source 3 is a more realistic reference for all the countries except Lithuania. </w:t>
      </w:r>
      <w:r w:rsidR="00245DA7">
        <w:rPr>
          <w:sz w:val="16"/>
          <w:szCs w:val="16"/>
          <w:lang w:val="en-US"/>
        </w:rPr>
        <w:t>F</w:t>
      </w:r>
      <w:r w:rsidRPr="000B0BFC">
        <w:rPr>
          <w:sz w:val="16"/>
          <w:szCs w:val="16"/>
          <w:lang w:val="en-US"/>
        </w:rPr>
        <w:t>or Lithuania source 1 is assumed to be the most realistic potential.</w:t>
      </w:r>
    </w:p>
  </w:footnote>
  <w:footnote w:id="48">
    <w:p w14:paraId="68FDD7D9" w14:textId="77777777" w:rsidR="00D9359D" w:rsidRPr="00C31439" w:rsidRDefault="00D9359D" w:rsidP="00D9359D">
      <w:pPr>
        <w:pStyle w:val="Voetnoottekst"/>
        <w:rPr>
          <w:sz w:val="16"/>
          <w:szCs w:val="14"/>
        </w:rPr>
      </w:pPr>
      <w:r w:rsidRPr="00C31439">
        <w:rPr>
          <w:rStyle w:val="Voetnootmarkering"/>
          <w:sz w:val="16"/>
          <w:szCs w:val="14"/>
        </w:rPr>
        <w:footnoteRef/>
      </w:r>
      <w:r w:rsidRPr="00C31439">
        <w:rPr>
          <w:sz w:val="16"/>
          <w:szCs w:val="14"/>
        </w:rPr>
        <w:t xml:space="preserve"> Renewable Energy </w:t>
      </w:r>
      <w:r w:rsidRPr="00C31439">
        <w:rPr>
          <w:rFonts w:ascii="Wingdings" w:eastAsia="Wingdings" w:hAnsi="Wingdings" w:cs="Wingdings"/>
          <w:sz w:val="16"/>
          <w:szCs w:val="14"/>
        </w:rPr>
        <w:t>à</w:t>
      </w:r>
      <w:r w:rsidRPr="00C31439">
        <w:rPr>
          <w:sz w:val="16"/>
          <w:szCs w:val="14"/>
        </w:rPr>
        <w:t xml:space="preserve"> Green Gas </w:t>
      </w:r>
      <w:r w:rsidRPr="00C31439">
        <w:rPr>
          <w:rFonts w:ascii="Wingdings" w:eastAsia="Wingdings" w:hAnsi="Wingdings" w:cs="Wingdings"/>
          <w:sz w:val="16"/>
          <w:szCs w:val="14"/>
        </w:rPr>
        <w:t>à</w:t>
      </w:r>
      <w:r w:rsidRPr="00C31439">
        <w:rPr>
          <w:sz w:val="16"/>
          <w:szCs w:val="14"/>
        </w:rPr>
        <w:t xml:space="preserve"> Biomethane, Elering, </w:t>
      </w:r>
      <w:hyperlink r:id="rId13" w:history="1">
        <w:r w:rsidRPr="00C31439">
          <w:rPr>
            <w:rStyle w:val="Hyperlink"/>
            <w:sz w:val="16"/>
            <w:szCs w:val="14"/>
          </w:rPr>
          <w:t>https://elering.ee/en/biomethane</w:t>
        </w:r>
      </w:hyperlink>
      <w:r w:rsidRPr="00C31439">
        <w:rPr>
          <w:sz w:val="16"/>
          <w:szCs w:val="14"/>
        </w:rPr>
        <w:t xml:space="preserve"> </w:t>
      </w:r>
    </w:p>
  </w:footnote>
  <w:footnote w:id="49">
    <w:p w14:paraId="6D4E9551" w14:textId="77777777" w:rsidR="00D9359D" w:rsidRDefault="00D9359D" w:rsidP="00D9359D">
      <w:pPr>
        <w:pStyle w:val="Voetnoottekst"/>
      </w:pPr>
      <w:r w:rsidRPr="00C31439">
        <w:rPr>
          <w:rStyle w:val="Voetnootmarkering"/>
          <w:sz w:val="16"/>
          <w:szCs w:val="14"/>
        </w:rPr>
        <w:footnoteRef/>
      </w:r>
      <w:r w:rsidRPr="00C31439">
        <w:rPr>
          <w:sz w:val="16"/>
          <w:szCs w:val="14"/>
        </w:rPr>
        <w:t xml:space="preserve"> Bilateral communication with the Energy Ministry of Latvia. The number presents a more realistic technical production potential of biomethane in Latvia. </w:t>
      </w:r>
    </w:p>
  </w:footnote>
  <w:footnote w:id="50">
    <w:p w14:paraId="7AC33D6F" w14:textId="77777777" w:rsidR="00D9359D" w:rsidRPr="00C31439" w:rsidRDefault="00D9359D" w:rsidP="00D9359D">
      <w:pPr>
        <w:pStyle w:val="Voetnoottekst"/>
      </w:pPr>
      <w:r w:rsidRPr="00C31439">
        <w:rPr>
          <w:rStyle w:val="Voetnootmarkering"/>
          <w:sz w:val="16"/>
          <w:szCs w:val="14"/>
        </w:rPr>
        <w:footnoteRef/>
      </w:r>
      <w:r w:rsidRPr="00C31439">
        <w:rPr>
          <w:sz w:val="16"/>
          <w:szCs w:val="14"/>
        </w:rPr>
        <w:t xml:space="preserve"> Bilateral communication with the Energy Ministry Finland. The number shows a more realistic techno-economical biomethane potential for Finland</w:t>
      </w:r>
      <w:r>
        <w:rPr>
          <w:sz w:val="16"/>
          <w:szCs w:val="14"/>
        </w:rPr>
        <w:t>.</w:t>
      </w:r>
    </w:p>
  </w:footnote>
  <w:footnote w:id="51">
    <w:p w14:paraId="2F18B2A7" w14:textId="461F5439" w:rsidR="00D9359D" w:rsidRPr="00654329" w:rsidRDefault="00D9359D" w:rsidP="007C74C2">
      <w:pPr>
        <w:pStyle w:val="Voetnoottekst"/>
        <w:tabs>
          <w:tab w:val="left" w:pos="7156"/>
        </w:tabs>
        <w:jc w:val="both"/>
        <w:rPr>
          <w:color w:val="000000" w:themeColor="text1"/>
          <w:sz w:val="16"/>
          <w:szCs w:val="16"/>
          <w:lang w:val="en-US"/>
        </w:rPr>
      </w:pPr>
      <w:r w:rsidRPr="00654329">
        <w:rPr>
          <w:rStyle w:val="Voetnootmarkering"/>
          <w:color w:val="000000" w:themeColor="text1"/>
          <w:sz w:val="16"/>
          <w:szCs w:val="16"/>
        </w:rPr>
        <w:footnoteRef/>
      </w:r>
      <w:r w:rsidRPr="00654329">
        <w:rPr>
          <w:color w:val="000000" w:themeColor="text1"/>
          <w:sz w:val="16"/>
          <w:szCs w:val="16"/>
        </w:rPr>
        <w:t xml:space="preserve"> https://unece.org/sites/default/files/2021-10/Hydrogen%20brief_EN_final_0.pdf</w:t>
      </w:r>
      <w:r w:rsidR="007C74C2">
        <w:rPr>
          <w:color w:val="000000" w:themeColor="text1"/>
          <w:sz w:val="16"/>
          <w:szCs w:val="16"/>
        </w:rPr>
        <w:tab/>
      </w:r>
    </w:p>
  </w:footnote>
  <w:footnote w:id="52">
    <w:p w14:paraId="618A76B9" w14:textId="77777777" w:rsidR="00D9359D" w:rsidRPr="00654329" w:rsidRDefault="00D9359D" w:rsidP="00D9359D">
      <w:pPr>
        <w:pStyle w:val="Voetnoottekst"/>
        <w:jc w:val="both"/>
        <w:rPr>
          <w:color w:val="000000" w:themeColor="text1"/>
          <w:sz w:val="16"/>
          <w:szCs w:val="16"/>
          <w:lang w:val="en-US"/>
        </w:rPr>
      </w:pPr>
      <w:r w:rsidRPr="00654329">
        <w:rPr>
          <w:rStyle w:val="Voetnootmarkering"/>
          <w:color w:val="000000" w:themeColor="text1"/>
          <w:sz w:val="16"/>
          <w:szCs w:val="16"/>
        </w:rPr>
        <w:footnoteRef/>
      </w:r>
      <w:r w:rsidRPr="00654329">
        <w:rPr>
          <w:color w:val="000000" w:themeColor="text1"/>
          <w:sz w:val="16"/>
          <w:szCs w:val="16"/>
        </w:rPr>
        <w:t xml:space="preserve"> https://www.belfercenter.org/sites/default/files/files/publication/Report_EU%20Hydrogen_FINAL.pdf</w:t>
      </w:r>
    </w:p>
  </w:footnote>
  <w:footnote w:id="53">
    <w:p w14:paraId="5C3E13CF" w14:textId="77777777" w:rsidR="00D9359D" w:rsidRPr="001A073B" w:rsidRDefault="00D9359D" w:rsidP="00D9359D">
      <w:pPr>
        <w:pStyle w:val="Voetnoottekst"/>
        <w:rPr>
          <w:sz w:val="16"/>
          <w:szCs w:val="14"/>
        </w:rPr>
      </w:pPr>
      <w:r w:rsidRPr="001A073B">
        <w:rPr>
          <w:rStyle w:val="Voetnootmarkering"/>
          <w:sz w:val="16"/>
          <w:szCs w:val="14"/>
        </w:rPr>
        <w:footnoteRef/>
      </w:r>
      <w:r w:rsidRPr="001A073B">
        <w:rPr>
          <w:sz w:val="16"/>
          <w:szCs w:val="14"/>
        </w:rPr>
        <w:t xml:space="preserve"> </w:t>
      </w:r>
      <w:bookmarkStart w:id="96" w:name="_Hlk106980210"/>
      <w:r w:rsidRPr="001A073B">
        <w:rPr>
          <w:sz w:val="16"/>
          <w:szCs w:val="14"/>
        </w:rPr>
        <w:t xml:space="preserve">European Hydrogen Backbone (EHB), </w:t>
      </w:r>
      <w:bookmarkEnd w:id="96"/>
      <w:r w:rsidRPr="001A073B">
        <w:rPr>
          <w:sz w:val="16"/>
          <w:szCs w:val="14"/>
        </w:rPr>
        <w:t xml:space="preserve">Analysing future demand, supply, and transport of hydrogen (2021). </w:t>
      </w:r>
      <w:hyperlink r:id="rId14" w:history="1">
        <w:r w:rsidRPr="006D1C31">
          <w:rPr>
            <w:rStyle w:val="Hyperlink"/>
            <w:sz w:val="16"/>
            <w:szCs w:val="14"/>
          </w:rPr>
          <w:t>https://gasforclimate2050.eu/wp-content/uploads/2021/06/EHB_Analysing-the-future-demand-supply-and-transport-of-hydrogen_June-2021.pdf</w:t>
        </w:r>
      </w:hyperlink>
      <w:r>
        <w:rPr>
          <w:sz w:val="16"/>
          <w:szCs w:val="14"/>
        </w:rPr>
        <w:t xml:space="preserve"> </w:t>
      </w:r>
    </w:p>
  </w:footnote>
  <w:footnote w:id="54">
    <w:p w14:paraId="2EF8C518" w14:textId="77777777" w:rsidR="004F6439" w:rsidRPr="00D06518" w:rsidRDefault="004F6439" w:rsidP="004F6439">
      <w:pPr>
        <w:pStyle w:val="Voetnoottekst"/>
        <w:jc w:val="both"/>
        <w:rPr>
          <w:sz w:val="16"/>
          <w:szCs w:val="16"/>
        </w:rPr>
      </w:pPr>
      <w:r w:rsidRPr="00D06518">
        <w:rPr>
          <w:rStyle w:val="Voetnootmarkering"/>
          <w:sz w:val="16"/>
          <w:szCs w:val="16"/>
        </w:rPr>
        <w:footnoteRef/>
      </w:r>
      <w:r w:rsidRPr="00D06518">
        <w:rPr>
          <w:sz w:val="16"/>
          <w:szCs w:val="16"/>
        </w:rPr>
        <w:t xml:space="preserve"> Transitioning to a climate-neutral electricity generation in Estonia</w:t>
      </w:r>
    </w:p>
    <w:p w14:paraId="18ADECEF" w14:textId="77777777" w:rsidR="004F6439" w:rsidRDefault="006D12F8" w:rsidP="004F6439">
      <w:pPr>
        <w:pStyle w:val="Voetnoottekst"/>
        <w:jc w:val="both"/>
      </w:pPr>
      <w:hyperlink r:id="rId15" w:history="1">
        <w:r w:rsidR="004F6439" w:rsidRPr="00E91989">
          <w:rPr>
            <w:rStyle w:val="Hyperlink"/>
            <w:sz w:val="16"/>
            <w:szCs w:val="16"/>
          </w:rPr>
          <w:t>https://www.sei.org/projects-and-tools/projects/transitioning-to-a-climate-neutral-electricity-generation-in-estonia/</w:t>
        </w:r>
      </w:hyperlink>
      <w:r w:rsidR="004F6439">
        <w:rPr>
          <w:sz w:val="16"/>
          <w:szCs w:val="16"/>
        </w:rPr>
        <w:t xml:space="preserve"> </w:t>
      </w:r>
    </w:p>
  </w:footnote>
  <w:footnote w:id="55">
    <w:p w14:paraId="5E875B4F" w14:textId="308F1D14" w:rsidR="00D448CD" w:rsidRDefault="00D448CD">
      <w:pPr>
        <w:pStyle w:val="Voetnoottekst"/>
      </w:pPr>
      <w:r w:rsidRPr="00D25B75">
        <w:rPr>
          <w:rStyle w:val="Voetnootmarkering"/>
          <w:sz w:val="16"/>
          <w:szCs w:val="16"/>
        </w:rPr>
        <w:footnoteRef/>
      </w:r>
      <w:r w:rsidRPr="00D25B75">
        <w:rPr>
          <w:sz w:val="16"/>
          <w:szCs w:val="16"/>
        </w:rPr>
        <w:t xml:space="preserve"> Basic Data on Biogas, </w:t>
      </w:r>
      <w:r w:rsidR="00A66645" w:rsidRPr="00D25B75">
        <w:rPr>
          <w:sz w:val="16"/>
          <w:szCs w:val="16"/>
        </w:rPr>
        <w:t xml:space="preserve">Swedish Gas Technology Centre Ltd (SGC), </w:t>
      </w:r>
      <w:hyperlink r:id="rId16" w:history="1">
        <w:r w:rsidR="00D25B75" w:rsidRPr="00D25B75">
          <w:rPr>
            <w:rStyle w:val="Hyperlink"/>
            <w:sz w:val="16"/>
            <w:szCs w:val="16"/>
          </w:rPr>
          <w:t>http://www.sgc.se/ckfinder/userfiles/files/BasicDataonBiogas2012.pdf</w:t>
        </w:r>
      </w:hyperlink>
      <w:r w:rsidR="00D25B75" w:rsidRPr="00D25B75">
        <w:rPr>
          <w:sz w:val="16"/>
          <w:szCs w:val="16"/>
        </w:rPr>
        <w:t xml:space="preserve"> </w:t>
      </w:r>
    </w:p>
  </w:footnote>
  <w:footnote w:id="56">
    <w:p w14:paraId="60218A46" w14:textId="11A331FE" w:rsidR="00764D83" w:rsidRDefault="00764D83">
      <w:pPr>
        <w:pStyle w:val="Voetnoottekst"/>
      </w:pPr>
      <w:r w:rsidRPr="00C125A0">
        <w:rPr>
          <w:rStyle w:val="Voetnootmarkering"/>
          <w:sz w:val="16"/>
          <w:szCs w:val="16"/>
        </w:rPr>
        <w:footnoteRef/>
      </w:r>
      <w:r w:rsidRPr="00C125A0">
        <w:rPr>
          <w:sz w:val="16"/>
          <w:szCs w:val="16"/>
        </w:rPr>
        <w:t xml:space="preserve"> The TRL levels range from 1-9</w:t>
      </w:r>
      <w:r w:rsidR="009F586B" w:rsidRPr="00C125A0">
        <w:rPr>
          <w:sz w:val="16"/>
          <w:szCs w:val="16"/>
        </w:rPr>
        <w:t>, where TRL 9</w:t>
      </w:r>
      <w:r w:rsidR="00497EBD" w:rsidRPr="00C125A0">
        <w:rPr>
          <w:sz w:val="16"/>
          <w:szCs w:val="16"/>
        </w:rPr>
        <w:t xml:space="preserve"> translate to a techno</w:t>
      </w:r>
      <w:r w:rsidR="00C125A0" w:rsidRPr="00C125A0">
        <w:rPr>
          <w:sz w:val="16"/>
          <w:szCs w:val="16"/>
        </w:rPr>
        <w:t>logy which</w:t>
      </w:r>
      <w:r w:rsidR="009F586B" w:rsidRPr="00C125A0">
        <w:rPr>
          <w:sz w:val="16"/>
          <w:szCs w:val="16"/>
        </w:rPr>
        <w:t xml:space="preserve"> is</w:t>
      </w:r>
      <w:r w:rsidR="00B20635" w:rsidRPr="00C125A0">
        <w:rPr>
          <w:sz w:val="16"/>
          <w:szCs w:val="16"/>
        </w:rPr>
        <w:t xml:space="preserve"> ready for fu</w:t>
      </w:r>
      <w:r w:rsidR="00220241" w:rsidRPr="00C125A0">
        <w:rPr>
          <w:sz w:val="16"/>
          <w:szCs w:val="16"/>
        </w:rPr>
        <w:t>ll scale deployment</w:t>
      </w:r>
    </w:p>
  </w:footnote>
  <w:footnote w:id="57">
    <w:p w14:paraId="55D28035" w14:textId="5DAF3F4B" w:rsidR="000B64F9" w:rsidRPr="000A0CDB" w:rsidRDefault="000B64F9" w:rsidP="000A0CDB">
      <w:pPr>
        <w:pStyle w:val="Voetnoottekst"/>
        <w:jc w:val="both"/>
        <w:rPr>
          <w:color w:val="000000" w:themeColor="text1"/>
          <w:sz w:val="16"/>
          <w:szCs w:val="16"/>
        </w:rPr>
      </w:pPr>
      <w:r w:rsidRPr="000A0CDB">
        <w:rPr>
          <w:rStyle w:val="Voetnootmarkering"/>
          <w:color w:val="000000" w:themeColor="text1"/>
          <w:sz w:val="16"/>
          <w:szCs w:val="16"/>
        </w:rPr>
        <w:footnoteRef/>
      </w:r>
      <w:hyperlink r:id="rId17" w:history="1">
        <w:r w:rsidR="000A0CDB" w:rsidRPr="005E4169">
          <w:rPr>
            <w:rStyle w:val="Hyperlink"/>
            <w:sz w:val="16"/>
            <w:szCs w:val="16"/>
          </w:rPr>
          <w:t>https://www.ise.fraunhofer.de/content/dam/ise/en/documents/information-material/Hydrogen-Technologies/17_en_ISE_Flyer_PEM_electrolysis.pdf</w:t>
        </w:r>
      </w:hyperlink>
      <w:r w:rsidRPr="000A0CDB">
        <w:rPr>
          <w:color w:val="000000" w:themeColor="text1"/>
          <w:sz w:val="16"/>
          <w:szCs w:val="16"/>
        </w:rPr>
        <w:t xml:space="preserve"> </w:t>
      </w:r>
    </w:p>
  </w:footnote>
  <w:footnote w:id="58">
    <w:p w14:paraId="26E7CF5A" w14:textId="4228B45E" w:rsidR="00156902" w:rsidRPr="000A0CDB" w:rsidRDefault="00156902" w:rsidP="000A0CDB">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w:t>
      </w:r>
      <w:hyperlink r:id="rId18" w:history="1">
        <w:r w:rsidRPr="000A0CDB">
          <w:rPr>
            <w:rStyle w:val="Hyperlink"/>
            <w:color w:val="000000" w:themeColor="text1"/>
            <w:sz w:val="16"/>
            <w:szCs w:val="16"/>
            <w:u w:val="none"/>
          </w:rPr>
          <w:t>The future of hydrogen, IEA 2019.</w:t>
        </w:r>
      </w:hyperlink>
    </w:p>
  </w:footnote>
  <w:footnote w:id="59">
    <w:p w14:paraId="7079E242" w14:textId="5B537C5C" w:rsidR="004F2700" w:rsidRPr="000A0CDB" w:rsidRDefault="004F2700" w:rsidP="000A0CDB">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w:t>
      </w:r>
      <w:hyperlink r:id="rId19" w:history="1">
        <w:r w:rsidRPr="000A0CDB">
          <w:rPr>
            <w:rStyle w:val="Hyperlink"/>
            <w:color w:val="000000" w:themeColor="text1"/>
            <w:sz w:val="16"/>
            <w:szCs w:val="16"/>
            <w:u w:val="none"/>
          </w:rPr>
          <w:t>The global hydrogen review</w:t>
        </w:r>
        <w:r w:rsidR="006E5F6C" w:rsidRPr="000A0CDB">
          <w:rPr>
            <w:rStyle w:val="Hyperlink"/>
            <w:color w:val="000000" w:themeColor="text1"/>
            <w:sz w:val="16"/>
            <w:szCs w:val="16"/>
            <w:u w:val="none"/>
          </w:rPr>
          <w:t>, IEA 2021</w:t>
        </w:r>
      </w:hyperlink>
    </w:p>
  </w:footnote>
  <w:footnote w:id="60">
    <w:p w14:paraId="1AB4AFBB" w14:textId="77777777" w:rsidR="00554C55" w:rsidRPr="000A0CDB" w:rsidRDefault="00554C55" w:rsidP="000A0CDB">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w:t>
      </w:r>
      <w:hyperlink r:id="rId20" w:history="1">
        <w:r w:rsidRPr="000A0CDB">
          <w:rPr>
            <w:rStyle w:val="Hyperlink"/>
            <w:color w:val="000000" w:themeColor="text1"/>
            <w:sz w:val="16"/>
            <w:szCs w:val="16"/>
            <w:u w:val="none"/>
          </w:rPr>
          <w:t>Optimal use of biogas from waste streams: An assessment of the potential of biogas from digestion in the EU beyond 2020</w:t>
        </w:r>
      </w:hyperlink>
    </w:p>
  </w:footnote>
  <w:footnote w:id="61">
    <w:p w14:paraId="3A3404A3" w14:textId="77777777" w:rsidR="00A55154" w:rsidRPr="00A55154" w:rsidRDefault="003351B9" w:rsidP="00A55154">
      <w:pPr>
        <w:pStyle w:val="Voetnoottekst"/>
        <w:rPr>
          <w:sz w:val="16"/>
          <w:szCs w:val="16"/>
        </w:rPr>
      </w:pPr>
      <w:r w:rsidRPr="00A55154">
        <w:rPr>
          <w:rStyle w:val="Voetnootmarkering"/>
          <w:sz w:val="16"/>
          <w:szCs w:val="16"/>
        </w:rPr>
        <w:footnoteRef/>
      </w:r>
      <w:r w:rsidRPr="00A55154">
        <w:rPr>
          <w:sz w:val="16"/>
          <w:szCs w:val="16"/>
        </w:rPr>
        <w:t xml:space="preserve"> </w:t>
      </w:r>
      <w:r w:rsidR="00947A31" w:rsidRPr="00A55154">
        <w:rPr>
          <w:sz w:val="16"/>
          <w:szCs w:val="16"/>
        </w:rPr>
        <w:t>ETIP Bioenergy</w:t>
      </w:r>
    </w:p>
    <w:p w14:paraId="79BE72A1" w14:textId="0342F169" w:rsidR="003351B9" w:rsidRDefault="00A55154" w:rsidP="00A55154">
      <w:pPr>
        <w:pStyle w:val="Voetnoottekst"/>
      </w:pPr>
      <w:r w:rsidRPr="00A55154">
        <w:rPr>
          <w:sz w:val="16"/>
          <w:szCs w:val="16"/>
        </w:rPr>
        <w:t>https://www.etipbioenergy.eu/value-chains/conversion-technologies/conventional-technologies/anaerobic-digestion-to-biogas</w:t>
      </w:r>
    </w:p>
  </w:footnote>
  <w:footnote w:id="62">
    <w:p w14:paraId="2162CF2D" w14:textId="77777777" w:rsidR="00500E00" w:rsidRPr="000A0CDB" w:rsidRDefault="00500E00" w:rsidP="000A0CDB">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w:t>
      </w:r>
      <w:hyperlink r:id="rId21" w:history="1">
        <w:r w:rsidRPr="000A0CDB">
          <w:rPr>
            <w:rStyle w:val="Hyperlink"/>
            <w:color w:val="000000" w:themeColor="text1"/>
            <w:sz w:val="16"/>
            <w:szCs w:val="16"/>
            <w:u w:val="none"/>
          </w:rPr>
          <w:t>Impact of the use of the biomethane and hydrogen potential on trans-European infrastructure</w:t>
        </w:r>
      </w:hyperlink>
    </w:p>
  </w:footnote>
  <w:footnote w:id="63">
    <w:p w14:paraId="5FD0D0FF" w14:textId="4D147107" w:rsidR="007C6C45" w:rsidRPr="000A0CDB" w:rsidRDefault="007C6C45" w:rsidP="000A0CDB">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w:t>
      </w:r>
      <w:hyperlink r:id="rId22" w:history="1">
        <w:r w:rsidRPr="000A0CDB">
          <w:rPr>
            <w:rStyle w:val="Hyperlink"/>
            <w:color w:val="000000" w:themeColor="text1"/>
            <w:sz w:val="16"/>
            <w:szCs w:val="16"/>
            <w:u w:val="none"/>
          </w:rPr>
          <w:t>https://www.ergar.org/wp-content/uploads/2018/07/BIOSURF-D3.4.pdf</w:t>
        </w:r>
      </w:hyperlink>
      <w:r w:rsidRPr="000A0CDB">
        <w:rPr>
          <w:color w:val="000000" w:themeColor="text1"/>
          <w:sz w:val="16"/>
          <w:szCs w:val="16"/>
        </w:rPr>
        <w:t xml:space="preserve">  </w:t>
      </w:r>
    </w:p>
  </w:footnote>
  <w:footnote w:id="64">
    <w:p w14:paraId="0948E5F1" w14:textId="79F1D682" w:rsidR="00DA5093" w:rsidRPr="000A0CDB" w:rsidRDefault="00DA5093" w:rsidP="000A0CDB">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The role of renewable H₂ import &amp; storage to scale up the EU deployment of renewable H₂ - ENTEC 2022</w:t>
      </w:r>
    </w:p>
  </w:footnote>
  <w:footnote w:id="65">
    <w:p w14:paraId="6126093E" w14:textId="495E4D0D" w:rsidR="00DC7E99" w:rsidRPr="00B6722D" w:rsidRDefault="00DC7E99">
      <w:pPr>
        <w:pStyle w:val="Voetnoottekst"/>
        <w:rPr>
          <w:lang w:val="nl-BE"/>
        </w:rPr>
      </w:pPr>
      <w:r>
        <w:rPr>
          <w:rStyle w:val="Voetnootmarkering"/>
        </w:rPr>
        <w:footnoteRef/>
      </w:r>
      <w:r w:rsidRPr="00B6722D">
        <w:rPr>
          <w:lang w:val="nl-BE"/>
        </w:rPr>
        <w:t xml:space="preserve"> </w:t>
      </w:r>
      <w:r w:rsidR="00A12662" w:rsidRPr="00B6722D">
        <w:rPr>
          <w:sz w:val="16"/>
          <w:szCs w:val="16"/>
          <w:lang w:val="nl-BE"/>
        </w:rPr>
        <w:t>Technologien für die Energiewende</w:t>
      </w:r>
      <w:r w:rsidR="00B61E63" w:rsidRPr="00B6722D">
        <w:rPr>
          <w:sz w:val="16"/>
          <w:szCs w:val="16"/>
          <w:lang w:val="nl-BE"/>
        </w:rPr>
        <w:t>,</w:t>
      </w:r>
      <w:r w:rsidR="007E07D2" w:rsidRPr="00B6722D">
        <w:rPr>
          <w:sz w:val="16"/>
          <w:szCs w:val="16"/>
          <w:lang w:val="nl-BE"/>
        </w:rPr>
        <w:t xml:space="preserve"> Fraunhofer ISI</w:t>
      </w:r>
      <w:r w:rsidR="00B61E63" w:rsidRPr="00B6722D">
        <w:rPr>
          <w:sz w:val="16"/>
          <w:szCs w:val="16"/>
          <w:lang w:val="nl-BE"/>
        </w:rPr>
        <w:t xml:space="preserve"> </w:t>
      </w:r>
      <w:r w:rsidR="00DA3104" w:rsidRPr="00B6722D">
        <w:rPr>
          <w:sz w:val="16"/>
          <w:szCs w:val="16"/>
          <w:lang w:val="nl-BE"/>
        </w:rPr>
        <w:t>https://www.energieforschung.de/lw_resource/datapool/systemfiles/elements/files/70013C70EE963F41E0539A695E8680ED/current/document/TFE_Politikbericht_komplett.pdf</w:t>
      </w:r>
    </w:p>
  </w:footnote>
  <w:footnote w:id="66">
    <w:p w14:paraId="5DA630B1" w14:textId="77777777" w:rsidR="00CF464D" w:rsidRPr="001D0F54" w:rsidRDefault="00CF464D" w:rsidP="000A0CDB">
      <w:pPr>
        <w:pStyle w:val="Voetnoottekst"/>
        <w:jc w:val="both"/>
        <w:rPr>
          <w:color w:val="000000" w:themeColor="text1"/>
          <w:sz w:val="16"/>
          <w:szCs w:val="16"/>
          <w:lang w:val="nl-BE"/>
        </w:rPr>
      </w:pPr>
      <w:r w:rsidRPr="000A0CDB">
        <w:rPr>
          <w:rStyle w:val="Voetnootmarkering"/>
          <w:color w:val="000000" w:themeColor="text1"/>
          <w:sz w:val="16"/>
          <w:szCs w:val="16"/>
        </w:rPr>
        <w:footnoteRef/>
      </w:r>
      <w:r w:rsidRPr="001D0F54">
        <w:rPr>
          <w:color w:val="000000" w:themeColor="text1"/>
          <w:sz w:val="16"/>
          <w:szCs w:val="16"/>
          <w:lang w:val="nl-BE"/>
        </w:rPr>
        <w:t xml:space="preserve"> </w:t>
      </w:r>
      <w:hyperlink r:id="rId23" w:history="1">
        <w:r w:rsidRPr="001D0F54">
          <w:rPr>
            <w:rStyle w:val="Hyperlink"/>
            <w:color w:val="000000" w:themeColor="text1"/>
            <w:sz w:val="16"/>
            <w:szCs w:val="16"/>
            <w:u w:val="none"/>
            <w:lang w:val="nl-BE"/>
          </w:rPr>
          <w:t>Vesiniku ja sünteetilise gaasi kasutamise potentsiaal ja ühenditest tulenev mõju ülekandetorustikele ja lõpptarbijate seadmetele</w:t>
        </w:r>
      </w:hyperlink>
    </w:p>
  </w:footnote>
  <w:footnote w:id="67">
    <w:p w14:paraId="5A327F3F" w14:textId="77777777" w:rsidR="00CF464D" w:rsidRPr="006A6380" w:rsidRDefault="00CF464D" w:rsidP="000A0CDB">
      <w:pPr>
        <w:pStyle w:val="Voetnoottekst"/>
        <w:jc w:val="both"/>
        <w:rPr>
          <w:color w:val="000000" w:themeColor="text1"/>
          <w:sz w:val="16"/>
          <w:szCs w:val="16"/>
          <w:lang w:val="sv-SE"/>
        </w:rPr>
      </w:pPr>
      <w:r w:rsidRPr="000A0CDB">
        <w:rPr>
          <w:rStyle w:val="Voetnootmarkering"/>
          <w:color w:val="000000" w:themeColor="text1"/>
          <w:sz w:val="16"/>
          <w:szCs w:val="16"/>
        </w:rPr>
        <w:footnoteRef/>
      </w:r>
      <w:r w:rsidRPr="006A6380">
        <w:rPr>
          <w:color w:val="000000" w:themeColor="text1"/>
          <w:sz w:val="16"/>
          <w:szCs w:val="16"/>
          <w:lang w:val="sv-SE"/>
        </w:rPr>
        <w:t xml:space="preserve"> PtX Atlas - Fraunhofer IEE</w:t>
      </w:r>
    </w:p>
    <w:p w14:paraId="5E488ACC" w14:textId="77777777" w:rsidR="00CF464D" w:rsidRPr="006A6380" w:rsidRDefault="006D12F8" w:rsidP="000A0CDB">
      <w:pPr>
        <w:pStyle w:val="Voetnoottekst"/>
        <w:jc w:val="both"/>
        <w:rPr>
          <w:lang w:val="sv-SE"/>
        </w:rPr>
      </w:pPr>
      <w:hyperlink r:id="rId24" w:anchor="ermittlung-der-kraftstoffgestehungskosten" w:history="1">
        <w:r w:rsidR="00CF464D" w:rsidRPr="006A6380">
          <w:rPr>
            <w:rStyle w:val="Hyperlink"/>
            <w:color w:val="000000" w:themeColor="text1"/>
            <w:sz w:val="16"/>
            <w:szCs w:val="16"/>
            <w:u w:val="none"/>
            <w:lang w:val="sv-SE"/>
          </w:rPr>
          <w:t>https://devkopsys.de/ptx-atlas/#ermittlung-der-kraftstoffgestehungskosten</w:t>
        </w:r>
      </w:hyperlink>
      <w:r w:rsidR="00CF464D" w:rsidRPr="006A6380">
        <w:rPr>
          <w:color w:val="000000" w:themeColor="text1"/>
          <w:sz w:val="16"/>
          <w:szCs w:val="14"/>
          <w:lang w:val="sv-SE"/>
        </w:rPr>
        <w:t xml:space="preserve"> </w:t>
      </w:r>
    </w:p>
  </w:footnote>
  <w:footnote w:id="68">
    <w:p w14:paraId="760E2A43" w14:textId="4119E086" w:rsidR="00AF7EF1" w:rsidRPr="00B6722D" w:rsidRDefault="00AF7EF1">
      <w:pPr>
        <w:pStyle w:val="Voetnoottekst"/>
        <w:rPr>
          <w:lang w:val="sv-SE"/>
        </w:rPr>
      </w:pPr>
      <w:r w:rsidRPr="00AF7EF1">
        <w:rPr>
          <w:rStyle w:val="Voetnootmarkering"/>
          <w:sz w:val="16"/>
          <w:szCs w:val="16"/>
        </w:rPr>
        <w:footnoteRef/>
      </w:r>
      <w:r w:rsidRPr="00B6722D">
        <w:rPr>
          <w:sz w:val="16"/>
          <w:szCs w:val="16"/>
          <w:lang w:val="sv-SE"/>
        </w:rPr>
        <w:t xml:space="preserve"> https://www.iea.org/commentaries/is-carbon-capture-too-expensive</w:t>
      </w:r>
    </w:p>
  </w:footnote>
  <w:footnote w:id="69">
    <w:p w14:paraId="0FDC6D9D" w14:textId="4E462BA5" w:rsidR="00694C7D" w:rsidRDefault="00694C7D">
      <w:pPr>
        <w:pStyle w:val="Voetnoottekst"/>
      </w:pPr>
      <w:r w:rsidRPr="00FC38E6">
        <w:rPr>
          <w:rStyle w:val="Voetnootmarkering"/>
          <w:sz w:val="16"/>
          <w:szCs w:val="16"/>
        </w:rPr>
        <w:footnoteRef/>
      </w:r>
      <w:r w:rsidRPr="00FC38E6">
        <w:rPr>
          <w:sz w:val="16"/>
          <w:szCs w:val="16"/>
        </w:rPr>
        <w:t xml:space="preserve"> Assumed as </w:t>
      </w:r>
      <w:r w:rsidR="006A77F7" w:rsidRPr="00FC38E6">
        <w:rPr>
          <w:sz w:val="16"/>
          <w:szCs w:val="16"/>
        </w:rPr>
        <w:t xml:space="preserve">zero due to the CO2 separation as an inherent requirement of the </w:t>
      </w:r>
      <w:r w:rsidR="00FC38E6" w:rsidRPr="00FC38E6">
        <w:rPr>
          <w:sz w:val="16"/>
          <w:szCs w:val="16"/>
        </w:rPr>
        <w:t>process</w:t>
      </w:r>
      <w:r w:rsidR="006A77F7" w:rsidRPr="00FC38E6">
        <w:rPr>
          <w:sz w:val="16"/>
          <w:szCs w:val="16"/>
        </w:rPr>
        <w:t xml:space="preserve"> </w:t>
      </w:r>
    </w:p>
  </w:footnote>
  <w:footnote w:id="70">
    <w:p w14:paraId="60325DDC" w14:textId="0B8A5596" w:rsidR="00AF7619" w:rsidRPr="006A6380" w:rsidRDefault="00AF7619" w:rsidP="000A0CDB">
      <w:pPr>
        <w:pStyle w:val="Voetnoottekst"/>
        <w:jc w:val="both"/>
        <w:rPr>
          <w:sz w:val="16"/>
          <w:szCs w:val="16"/>
          <w:lang w:val="sv-SE"/>
        </w:rPr>
      </w:pPr>
      <w:r w:rsidRPr="000A0CDB">
        <w:rPr>
          <w:rStyle w:val="Voetnootmarkering"/>
          <w:color w:val="000000" w:themeColor="text1"/>
          <w:sz w:val="16"/>
          <w:szCs w:val="16"/>
        </w:rPr>
        <w:footnoteRef/>
      </w:r>
      <w:r w:rsidRPr="006A6380">
        <w:rPr>
          <w:color w:val="000000" w:themeColor="text1"/>
          <w:sz w:val="16"/>
          <w:szCs w:val="16"/>
          <w:lang w:val="sv-SE"/>
        </w:rPr>
        <w:t xml:space="preserve"> </w:t>
      </w:r>
      <w:hyperlink r:id="rId25" w:history="1">
        <w:r w:rsidRPr="006A6380">
          <w:rPr>
            <w:rStyle w:val="Hyperlink"/>
            <w:color w:val="000000" w:themeColor="text1"/>
            <w:sz w:val="16"/>
            <w:szCs w:val="16"/>
            <w:u w:val="none"/>
            <w:lang w:val="sv-SE"/>
          </w:rPr>
          <w:t>https://futuregas.dk/wp-content/uploads/2018/06/FutureGas-WP1-Deliverable-1.1.1.-Technologies-and-status-of-methanation-of-biogas-2017_Final.pdf</w:t>
        </w:r>
      </w:hyperlink>
      <w:r w:rsidR="004302DF" w:rsidRPr="00C07247">
        <w:rPr>
          <w:lang w:val="sv-SE"/>
        </w:rPr>
        <w:t xml:space="preserve">  </w:t>
      </w:r>
      <w:r w:rsidRPr="006A6380">
        <w:rPr>
          <w:color w:val="000000" w:themeColor="text1"/>
          <w:sz w:val="16"/>
          <w:szCs w:val="16"/>
          <w:lang w:val="sv-SE"/>
        </w:rPr>
        <w:t xml:space="preserve"> </w:t>
      </w:r>
    </w:p>
  </w:footnote>
  <w:footnote w:id="71">
    <w:p w14:paraId="7DB8A717" w14:textId="77777777" w:rsidR="004A7B58" w:rsidRPr="006A6380" w:rsidRDefault="004A7B58" w:rsidP="000A0CDB">
      <w:pPr>
        <w:pStyle w:val="Voetnoottekst"/>
        <w:jc w:val="both"/>
        <w:rPr>
          <w:color w:val="000000" w:themeColor="text1"/>
          <w:sz w:val="16"/>
          <w:szCs w:val="16"/>
          <w:lang w:val="sv-SE"/>
        </w:rPr>
      </w:pPr>
      <w:r w:rsidRPr="000A0CDB">
        <w:rPr>
          <w:rStyle w:val="Voetnootmarkering"/>
          <w:color w:val="000000" w:themeColor="text1"/>
          <w:sz w:val="16"/>
          <w:szCs w:val="16"/>
        </w:rPr>
        <w:footnoteRef/>
      </w:r>
      <w:r w:rsidRPr="006A6380">
        <w:rPr>
          <w:color w:val="000000" w:themeColor="text1"/>
          <w:sz w:val="16"/>
          <w:szCs w:val="16"/>
          <w:lang w:val="sv-SE"/>
        </w:rPr>
        <w:t xml:space="preserve"> </w:t>
      </w:r>
      <w:hyperlink r:id="rId26" w:history="1">
        <w:r w:rsidRPr="006A6380">
          <w:rPr>
            <w:rStyle w:val="Hyperlink"/>
            <w:color w:val="000000" w:themeColor="text1"/>
            <w:sz w:val="16"/>
            <w:szCs w:val="16"/>
            <w:u w:val="none"/>
            <w:lang w:val="sv-SE"/>
          </w:rPr>
          <w:t>https://www.hydrogenious.net/wp-content/uploads/2018/08/Hydrogenious_Technologies_LOHC_Products.pdf</w:t>
        </w:r>
      </w:hyperlink>
      <w:r w:rsidRPr="006A6380">
        <w:rPr>
          <w:color w:val="000000" w:themeColor="text1"/>
          <w:sz w:val="16"/>
          <w:szCs w:val="16"/>
          <w:lang w:val="sv-SE"/>
        </w:rPr>
        <w:t xml:space="preserve"> </w:t>
      </w:r>
    </w:p>
  </w:footnote>
  <w:footnote w:id="72">
    <w:p w14:paraId="2FEF07FB" w14:textId="77777777" w:rsidR="004A7B58" w:rsidRPr="006A6380" w:rsidRDefault="004A7B58" w:rsidP="000A0CDB">
      <w:pPr>
        <w:pStyle w:val="Voetnoottekst"/>
        <w:jc w:val="both"/>
        <w:rPr>
          <w:color w:val="000000" w:themeColor="text1"/>
          <w:sz w:val="16"/>
          <w:szCs w:val="16"/>
          <w:lang w:val="sv-SE"/>
        </w:rPr>
      </w:pPr>
      <w:r w:rsidRPr="000A0CDB">
        <w:rPr>
          <w:rStyle w:val="Voetnootmarkering"/>
          <w:color w:val="000000" w:themeColor="text1"/>
          <w:sz w:val="16"/>
          <w:szCs w:val="16"/>
        </w:rPr>
        <w:footnoteRef/>
      </w:r>
      <w:r w:rsidRPr="006A6380">
        <w:rPr>
          <w:color w:val="000000" w:themeColor="text1"/>
          <w:sz w:val="16"/>
          <w:szCs w:val="16"/>
          <w:lang w:val="sv-SE"/>
        </w:rPr>
        <w:t xml:space="preserve"> </w:t>
      </w:r>
      <w:hyperlink r:id="rId27" w:history="1">
        <w:r w:rsidRPr="006A6380">
          <w:rPr>
            <w:rStyle w:val="Hyperlink"/>
            <w:color w:val="000000" w:themeColor="text1"/>
            <w:sz w:val="16"/>
            <w:szCs w:val="16"/>
            <w:u w:val="none"/>
            <w:lang w:val="sv-SE"/>
          </w:rPr>
          <w:t>https://www.marcogaz.org/biomethane-acceptance-in-underground-gas-storage-facilities/</w:t>
        </w:r>
      </w:hyperlink>
      <w:r w:rsidRPr="006A6380">
        <w:rPr>
          <w:color w:val="000000" w:themeColor="text1"/>
          <w:sz w:val="16"/>
          <w:szCs w:val="16"/>
          <w:lang w:val="sv-SE"/>
        </w:rPr>
        <w:t xml:space="preserve"> </w:t>
      </w:r>
    </w:p>
  </w:footnote>
  <w:footnote w:id="73">
    <w:p w14:paraId="1412E394" w14:textId="6A86339D" w:rsidR="00F25257" w:rsidRDefault="00F25257">
      <w:pPr>
        <w:pStyle w:val="Voetnoottekst"/>
      </w:pPr>
      <w:r w:rsidRPr="00F25257">
        <w:rPr>
          <w:rStyle w:val="Voetnootmarkering"/>
          <w:sz w:val="16"/>
          <w:szCs w:val="16"/>
        </w:rPr>
        <w:footnoteRef/>
      </w:r>
      <w:r w:rsidR="00057582">
        <w:rPr>
          <w:sz w:val="16"/>
          <w:szCs w:val="16"/>
        </w:rPr>
        <w:t xml:space="preserve"> </w:t>
      </w:r>
      <w:r>
        <w:rPr>
          <w:sz w:val="16"/>
          <w:szCs w:val="16"/>
        </w:rPr>
        <w:t>Store and GO</w:t>
      </w:r>
      <w:r w:rsidR="00057582">
        <w:rPr>
          <w:sz w:val="16"/>
          <w:szCs w:val="16"/>
        </w:rPr>
        <w:t xml:space="preserve"> project, Deliverable 8.6 </w:t>
      </w:r>
      <w:r w:rsidRPr="00F25257">
        <w:rPr>
          <w:sz w:val="16"/>
          <w:szCs w:val="16"/>
        </w:rPr>
        <w:t>https://ec.europa.eu/research/participants/documents/downloadPublic?documentIds=080166e5c1ae5cb2&amp;appId=PPGMS</w:t>
      </w:r>
    </w:p>
  </w:footnote>
  <w:footnote w:id="74">
    <w:p w14:paraId="19E8A28F" w14:textId="77777777" w:rsidR="007E2D4D" w:rsidRDefault="007E2D4D" w:rsidP="007E2D4D">
      <w:pPr>
        <w:pStyle w:val="Voetnoottekst"/>
        <w:jc w:val="both"/>
      </w:pPr>
      <w:r w:rsidRPr="000A0CDB">
        <w:rPr>
          <w:rStyle w:val="Voetnootmarkering"/>
          <w:color w:val="000000" w:themeColor="text1"/>
          <w:sz w:val="16"/>
          <w:szCs w:val="16"/>
        </w:rPr>
        <w:footnoteRef/>
      </w:r>
      <w:r w:rsidRPr="000A0CDB">
        <w:rPr>
          <w:color w:val="000000" w:themeColor="text1"/>
          <w:sz w:val="16"/>
          <w:szCs w:val="16"/>
        </w:rPr>
        <w:t xml:space="preserve"> </w:t>
      </w:r>
      <w:hyperlink r:id="rId28" w:history="1">
        <w:r w:rsidRPr="000A0CDB">
          <w:rPr>
            <w:rStyle w:val="Hyperlink"/>
            <w:color w:val="000000" w:themeColor="text1"/>
            <w:sz w:val="16"/>
            <w:szCs w:val="16"/>
            <w:u w:val="none"/>
          </w:rPr>
          <w:t>Energy demand of liquefaction and regasification of natural gas and the potential of LNG for operative thermal energy storage, Pospíšil et al. 2019</w:t>
        </w:r>
      </w:hyperlink>
    </w:p>
  </w:footnote>
  <w:footnote w:id="75">
    <w:p w14:paraId="0CB0FB47" w14:textId="77777777" w:rsidR="007E2D4D" w:rsidRPr="000A0CDB" w:rsidRDefault="007E2D4D" w:rsidP="007E2D4D">
      <w:pPr>
        <w:pStyle w:val="Voetnoottekst"/>
        <w:jc w:val="both"/>
        <w:rPr>
          <w:color w:val="000000" w:themeColor="text1"/>
          <w:sz w:val="16"/>
          <w:szCs w:val="16"/>
        </w:rPr>
      </w:pPr>
      <w:r w:rsidRPr="000A0CDB">
        <w:rPr>
          <w:rStyle w:val="Voetnootmarkering"/>
          <w:color w:val="000000" w:themeColor="text1"/>
          <w:sz w:val="16"/>
          <w:szCs w:val="16"/>
        </w:rPr>
        <w:footnoteRef/>
      </w:r>
      <w:hyperlink r:id="rId29" w:history="1">
        <w:r w:rsidRPr="000A0CDB">
          <w:rPr>
            <w:rStyle w:val="Hyperlink"/>
            <w:color w:val="000000" w:themeColor="text1"/>
            <w:sz w:val="16"/>
            <w:szCs w:val="16"/>
            <w:u w:val="none"/>
          </w:rPr>
          <w:t>https://www.oxfordenergy.org/wpcms/wp-content/uploads/2018/10/LNG-Plant-Cost-Reduction-2014%E2%80%9318-NG137.pdf</w:t>
        </w:r>
      </w:hyperlink>
      <w:r w:rsidRPr="000A0CDB">
        <w:rPr>
          <w:color w:val="000000" w:themeColor="text1"/>
          <w:sz w:val="16"/>
          <w:szCs w:val="16"/>
        </w:rPr>
        <w:t xml:space="preserve"> </w:t>
      </w:r>
    </w:p>
  </w:footnote>
  <w:footnote w:id="76">
    <w:p w14:paraId="7CA49686" w14:textId="77777777" w:rsidR="007E2D4D" w:rsidRPr="000A0CDB" w:rsidRDefault="007E2D4D" w:rsidP="007E2D4D">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w:t>
      </w:r>
      <w:hyperlink r:id="rId30" w:history="1">
        <w:r w:rsidRPr="000A0CDB">
          <w:rPr>
            <w:rStyle w:val="Hyperlink"/>
            <w:color w:val="000000" w:themeColor="text1"/>
            <w:sz w:val="16"/>
            <w:szCs w:val="16"/>
            <w:u w:val="none"/>
          </w:rPr>
          <w:t>https://www.belfercenter.org/sites/default/files/files/publication/Report_EU%20Hydrogen_FINAL.pdf</w:t>
        </w:r>
      </w:hyperlink>
      <w:r w:rsidRPr="000A0CDB">
        <w:rPr>
          <w:color w:val="000000" w:themeColor="text1"/>
          <w:sz w:val="16"/>
          <w:szCs w:val="16"/>
        </w:rPr>
        <w:t xml:space="preserve"> </w:t>
      </w:r>
    </w:p>
  </w:footnote>
  <w:footnote w:id="77">
    <w:p w14:paraId="512F9AAC" w14:textId="77777777" w:rsidR="007E2D4D" w:rsidRPr="000A0CDB" w:rsidRDefault="007E2D4D" w:rsidP="007E2D4D">
      <w:pPr>
        <w:pStyle w:val="Voetnoottekst"/>
        <w:jc w:val="both"/>
        <w:rPr>
          <w:color w:val="000000" w:themeColor="text1"/>
          <w:sz w:val="16"/>
          <w:szCs w:val="16"/>
        </w:rPr>
      </w:pPr>
      <w:r w:rsidRPr="000A0CDB">
        <w:rPr>
          <w:rStyle w:val="Voetnootmarkering"/>
          <w:color w:val="000000" w:themeColor="text1"/>
          <w:sz w:val="16"/>
          <w:szCs w:val="16"/>
        </w:rPr>
        <w:footnoteRef/>
      </w:r>
      <w:r w:rsidRPr="000A0CDB">
        <w:rPr>
          <w:color w:val="000000" w:themeColor="text1"/>
          <w:sz w:val="16"/>
          <w:szCs w:val="16"/>
        </w:rPr>
        <w:t xml:space="preserve"> Reuß et al. 2017, </w:t>
      </w:r>
      <w:hyperlink r:id="rId31" w:history="1">
        <w:r w:rsidRPr="000A0CDB">
          <w:rPr>
            <w:rStyle w:val="Hyperlink"/>
            <w:color w:val="000000" w:themeColor="text1"/>
            <w:sz w:val="16"/>
            <w:szCs w:val="16"/>
            <w:u w:val="none"/>
          </w:rPr>
          <w:t>Seasonal storage and alternative carriers: A flexible hydrogen supply chain model</w:t>
        </w:r>
      </w:hyperlink>
      <w:r w:rsidRPr="000A0CDB">
        <w:rPr>
          <w:color w:val="000000" w:themeColor="text1"/>
          <w:sz w:val="16"/>
          <w:szCs w:val="16"/>
        </w:rPr>
        <w:t xml:space="preserve">. </w:t>
      </w:r>
    </w:p>
  </w:footnote>
  <w:footnote w:id="78">
    <w:p w14:paraId="656904C0" w14:textId="77777777" w:rsidR="00014A3B" w:rsidRPr="00142A35" w:rsidRDefault="00014A3B" w:rsidP="00014A3B">
      <w:pPr>
        <w:pStyle w:val="Voetnoottekst"/>
        <w:rPr>
          <w:sz w:val="14"/>
          <w:szCs w:val="14"/>
        </w:rPr>
      </w:pPr>
      <w:r w:rsidRPr="00142A35">
        <w:rPr>
          <w:rStyle w:val="Voetnootmarkering"/>
          <w:sz w:val="14"/>
          <w:szCs w:val="14"/>
        </w:rPr>
        <w:footnoteRef/>
      </w:r>
      <w:r w:rsidRPr="00142A35">
        <w:rPr>
          <w:sz w:val="14"/>
          <w:szCs w:val="14"/>
        </w:rPr>
        <w:t xml:space="preserve"> </w:t>
      </w:r>
      <w:hyperlink r:id="rId32" w:history="1">
        <w:r w:rsidRPr="00142A35">
          <w:rPr>
            <w:rStyle w:val="Hyperlink"/>
            <w:sz w:val="14"/>
            <w:szCs w:val="14"/>
          </w:rPr>
          <w:t>https://tno.maps.arcgis.com/apps/webappviewer/index.html?id=937305e2273847e0bc16503990f79d77</w:t>
        </w:r>
      </w:hyperlink>
      <w:r w:rsidRPr="00142A35">
        <w:rPr>
          <w:sz w:val="14"/>
          <w:szCs w:val="14"/>
        </w:rPr>
        <w:t xml:space="preserve"> </w:t>
      </w:r>
    </w:p>
  </w:footnote>
  <w:footnote w:id="79">
    <w:p w14:paraId="2D3FCAED" w14:textId="6CA764D1" w:rsidR="00142A35" w:rsidRDefault="00142A35">
      <w:pPr>
        <w:pStyle w:val="Voetnoottekst"/>
      </w:pPr>
      <w:r w:rsidRPr="00142A35">
        <w:rPr>
          <w:rStyle w:val="Voetnootmarkering"/>
          <w:sz w:val="14"/>
          <w:szCs w:val="14"/>
        </w:rPr>
        <w:footnoteRef/>
      </w:r>
      <w:r w:rsidRPr="00142A35">
        <w:rPr>
          <w:sz w:val="14"/>
          <w:szCs w:val="14"/>
        </w:rPr>
        <w:t xml:space="preserve"> </w:t>
      </w:r>
      <w:hyperlink r:id="rId33" w:history="1">
        <w:r w:rsidRPr="00142A35">
          <w:rPr>
            <w:rStyle w:val="Hyperlink"/>
            <w:sz w:val="14"/>
            <w:szCs w:val="14"/>
          </w:rPr>
          <w:t>https://www.conexus.lv/information-about-storage</w:t>
        </w:r>
      </w:hyperlink>
      <w:r>
        <w:t xml:space="preserve"> </w:t>
      </w:r>
    </w:p>
  </w:footnote>
  <w:footnote w:id="80">
    <w:p w14:paraId="6CA74807" w14:textId="77777777" w:rsidR="00340122" w:rsidRPr="00130B4D" w:rsidRDefault="00340122" w:rsidP="00340122">
      <w:pPr>
        <w:pStyle w:val="Voetnoottekst"/>
        <w:rPr>
          <w:color w:val="000000" w:themeColor="text1"/>
          <w:sz w:val="16"/>
          <w:szCs w:val="16"/>
        </w:rPr>
      </w:pPr>
      <w:r w:rsidRPr="00130B4D">
        <w:rPr>
          <w:rStyle w:val="Voetnootmarkering"/>
          <w:color w:val="000000" w:themeColor="text1"/>
          <w:sz w:val="16"/>
          <w:szCs w:val="16"/>
        </w:rPr>
        <w:footnoteRef/>
      </w:r>
      <w:r w:rsidRPr="00130B4D">
        <w:rPr>
          <w:color w:val="000000" w:themeColor="text1"/>
          <w:sz w:val="16"/>
          <w:szCs w:val="16"/>
        </w:rPr>
        <w:t xml:space="preserve"> </w:t>
      </w:r>
      <w:hyperlink r:id="rId34" w:history="1">
        <w:r w:rsidRPr="00130B4D">
          <w:rPr>
            <w:rStyle w:val="Hyperlink"/>
            <w:color w:val="000000" w:themeColor="text1"/>
            <w:sz w:val="16"/>
            <w:szCs w:val="16"/>
            <w:u w:val="none"/>
          </w:rPr>
          <w:t>Picturing the value of underground gas storage to the European hydrogen system, GIS June 2021</w:t>
        </w:r>
      </w:hyperlink>
      <w:r w:rsidRPr="00130B4D">
        <w:rPr>
          <w:color w:val="000000" w:themeColor="text1"/>
          <w:sz w:val="16"/>
          <w:szCs w:val="16"/>
        </w:rPr>
        <w:t xml:space="preserve"> </w:t>
      </w:r>
    </w:p>
  </w:footnote>
  <w:footnote w:id="81">
    <w:p w14:paraId="68832BD4" w14:textId="77777777" w:rsidR="00340122" w:rsidRDefault="00340122" w:rsidP="00340122">
      <w:pPr>
        <w:pStyle w:val="Voetnoottekst"/>
      </w:pPr>
      <w:r w:rsidRPr="00130B4D">
        <w:rPr>
          <w:rStyle w:val="Voetnootmarkering"/>
          <w:color w:val="000000" w:themeColor="text1"/>
          <w:sz w:val="16"/>
          <w:szCs w:val="16"/>
        </w:rPr>
        <w:footnoteRef/>
      </w:r>
      <w:r w:rsidRPr="00130B4D">
        <w:rPr>
          <w:color w:val="000000" w:themeColor="text1"/>
          <w:sz w:val="16"/>
          <w:szCs w:val="16"/>
        </w:rPr>
        <w:t xml:space="preserve"> Caglayan et al., technical potential of salt caverns for Hydrogen storage in Europe, International Journal of Hydrogen Energy, Volume 45, February 2020.</w:t>
      </w:r>
      <w:r w:rsidRPr="00130B4D">
        <w:rPr>
          <w:color w:val="000000" w:themeColor="text1"/>
        </w:rPr>
        <w:t xml:space="preserve"> </w:t>
      </w:r>
    </w:p>
  </w:footnote>
  <w:footnote w:id="82">
    <w:p w14:paraId="52E6B6DC" w14:textId="77777777" w:rsidR="007378A1" w:rsidRPr="00AB3DAB" w:rsidRDefault="007378A1" w:rsidP="007378A1">
      <w:pPr>
        <w:pStyle w:val="Voetnoottekst"/>
        <w:rPr>
          <w:lang w:val="en-IN"/>
        </w:rPr>
      </w:pPr>
      <w:r w:rsidRPr="00CE1863">
        <w:rPr>
          <w:rStyle w:val="Voetnootmarkering"/>
          <w:sz w:val="16"/>
          <w:szCs w:val="16"/>
        </w:rPr>
        <w:footnoteRef/>
      </w:r>
      <w:r w:rsidRPr="00CE1863">
        <w:rPr>
          <w:sz w:val="16"/>
          <w:szCs w:val="16"/>
        </w:rPr>
        <w:t xml:space="preserve"> </w:t>
      </w:r>
      <w:r w:rsidRPr="00CE1863">
        <w:rPr>
          <w:sz w:val="16"/>
          <w:szCs w:val="16"/>
          <w:lang w:val="en-IN"/>
        </w:rPr>
        <w:t>Ministry of economy, Latvia</w:t>
      </w:r>
      <w:r>
        <w:rPr>
          <w:sz w:val="16"/>
          <w:szCs w:val="16"/>
          <w:lang w:val="en-IN"/>
        </w:rPr>
        <w:t>.</w:t>
      </w:r>
    </w:p>
  </w:footnote>
  <w:footnote w:id="83">
    <w:p w14:paraId="3433B52A" w14:textId="77777777" w:rsidR="00F063CD" w:rsidRPr="00046F82" w:rsidRDefault="00F063CD" w:rsidP="00F063CD">
      <w:pPr>
        <w:autoSpaceDE w:val="0"/>
        <w:autoSpaceDN w:val="0"/>
        <w:adjustRightInd w:val="0"/>
        <w:rPr>
          <w:sz w:val="16"/>
          <w:szCs w:val="16"/>
        </w:rPr>
      </w:pPr>
      <w:r w:rsidRPr="0063641B">
        <w:rPr>
          <w:rStyle w:val="Voetnootmarkering"/>
          <w:sz w:val="16"/>
          <w:szCs w:val="16"/>
        </w:rPr>
        <w:footnoteRef/>
      </w:r>
      <w:r w:rsidRPr="0063641B">
        <w:rPr>
          <w:rStyle w:val="Voetnootmarkering"/>
          <w:sz w:val="16"/>
          <w:szCs w:val="16"/>
        </w:rPr>
        <w:t xml:space="preserve">  </w:t>
      </w:r>
      <w:r w:rsidRPr="00046F82">
        <w:rPr>
          <w:sz w:val="16"/>
          <w:szCs w:val="16"/>
        </w:rPr>
        <w:t xml:space="preserve">(Frontier Economics, 2020) </w:t>
      </w:r>
    </w:p>
  </w:footnote>
  <w:footnote w:id="84">
    <w:p w14:paraId="3EB9ED4A" w14:textId="77777777" w:rsidR="00F063CD" w:rsidRPr="0017708E" w:rsidRDefault="00F063CD" w:rsidP="00F063CD">
      <w:pPr>
        <w:pStyle w:val="Voetnoottekst"/>
        <w:rPr>
          <w:rFonts w:asciiTheme="minorHAnsi" w:hAnsiTheme="minorHAnsi" w:cstheme="minorHAnsi"/>
          <w:sz w:val="16"/>
          <w:szCs w:val="16"/>
          <w:lang w:val="en-US"/>
        </w:rPr>
      </w:pPr>
      <w:r w:rsidRPr="0063641B">
        <w:rPr>
          <w:rStyle w:val="Voetnootmarkering"/>
          <w:sz w:val="16"/>
          <w:szCs w:val="16"/>
        </w:rPr>
        <w:footnoteRef/>
      </w:r>
      <w:r w:rsidRPr="0063641B">
        <w:rPr>
          <w:rStyle w:val="Voetnootmarkering"/>
          <w:vertAlign w:val="baseline"/>
        </w:rPr>
        <w:t xml:space="preserve"> </w:t>
      </w:r>
      <w:r w:rsidRPr="00046F82">
        <w:rPr>
          <w:sz w:val="16"/>
          <w:szCs w:val="16"/>
        </w:rPr>
        <w:t>(GIE; GLE, 2020)</w:t>
      </w:r>
    </w:p>
  </w:footnote>
  <w:footnote w:id="85">
    <w:p w14:paraId="7DD11256" w14:textId="77777777" w:rsidR="00F063CD" w:rsidRPr="00C417C8" w:rsidRDefault="00F063CD" w:rsidP="00F063CD">
      <w:pPr>
        <w:pStyle w:val="Voetnoottekst"/>
        <w:rPr>
          <w:sz w:val="16"/>
          <w:szCs w:val="16"/>
        </w:rPr>
      </w:pPr>
      <w:r w:rsidRPr="00046F82">
        <w:rPr>
          <w:rStyle w:val="Voetnootmarkering"/>
          <w:sz w:val="16"/>
          <w:szCs w:val="16"/>
        </w:rPr>
        <w:footnoteRef/>
      </w:r>
      <w:r w:rsidRPr="00046F82">
        <w:rPr>
          <w:sz w:val="16"/>
          <w:szCs w:val="16"/>
        </w:rPr>
        <w:t xml:space="preserve"> European Commission, Directorate-General for Energy, Joint Research Centre, Bossmann, T., Cornaggia, L., Vautrin, A., et al., Assistance to assessing options improving market conditions for bio-methane and gas market rules: final report, Publications Office, 2021, https://data.europa.eu/doi/10.2833/912333</w:t>
      </w:r>
    </w:p>
  </w:footnote>
  <w:footnote w:id="86">
    <w:p w14:paraId="0C42857F" w14:textId="77777777" w:rsidR="00B20520" w:rsidRPr="001D0F54" w:rsidRDefault="00B20520" w:rsidP="00B20520">
      <w:pPr>
        <w:pStyle w:val="Voetnoottekst"/>
        <w:rPr>
          <w:sz w:val="14"/>
          <w:szCs w:val="14"/>
          <w:lang w:val="nl-BE"/>
        </w:rPr>
      </w:pPr>
      <w:r w:rsidRPr="000A0CDB">
        <w:rPr>
          <w:sz w:val="16"/>
          <w:szCs w:val="16"/>
          <w:vertAlign w:val="superscript"/>
        </w:rPr>
        <w:footnoteRef/>
      </w:r>
      <w:r w:rsidRPr="001D0F54">
        <w:rPr>
          <w:sz w:val="16"/>
          <w:szCs w:val="16"/>
          <w:lang w:val="nl-BE"/>
        </w:rPr>
        <w:t xml:space="preserve"> (CEN, 2020; ENTSOG, 2020e)</w:t>
      </w:r>
    </w:p>
  </w:footnote>
  <w:footnote w:id="87">
    <w:p w14:paraId="6F0814C7" w14:textId="77777777" w:rsidR="00B20520" w:rsidRPr="001D0F54" w:rsidRDefault="00B20520" w:rsidP="00B20520">
      <w:pPr>
        <w:pStyle w:val="Voetnoottekst"/>
        <w:rPr>
          <w:sz w:val="16"/>
          <w:szCs w:val="16"/>
          <w:lang w:val="nl-BE"/>
        </w:rPr>
      </w:pPr>
      <w:r w:rsidRPr="000A0CDB">
        <w:rPr>
          <w:rStyle w:val="Voetnootmarkering"/>
          <w:sz w:val="16"/>
          <w:szCs w:val="16"/>
        </w:rPr>
        <w:footnoteRef/>
      </w:r>
      <w:r w:rsidRPr="001D0F54">
        <w:rPr>
          <w:sz w:val="16"/>
          <w:szCs w:val="16"/>
          <w:lang w:val="nl-BE"/>
        </w:rPr>
        <w:t xml:space="preserve"> </w:t>
      </w:r>
      <w:r w:rsidRPr="001D0F54">
        <w:rPr>
          <w:rFonts w:cstheme="minorHAnsi"/>
          <w:sz w:val="16"/>
          <w:szCs w:val="16"/>
          <w:lang w:val="nl-BE"/>
        </w:rPr>
        <w:t>(EBA, GIE, 2020).</w:t>
      </w:r>
    </w:p>
  </w:footnote>
  <w:footnote w:id="88">
    <w:p w14:paraId="2412069D" w14:textId="77777777" w:rsidR="00B20520" w:rsidRDefault="00B20520" w:rsidP="00B20520">
      <w:pPr>
        <w:pStyle w:val="Voetnoottekst"/>
        <w:jc w:val="both"/>
      </w:pPr>
      <w:r w:rsidRPr="00BB26AD">
        <w:rPr>
          <w:rStyle w:val="Voetnootmarkering"/>
          <w:sz w:val="16"/>
          <w:szCs w:val="16"/>
        </w:rPr>
        <w:footnoteRef/>
      </w:r>
      <w:r w:rsidRPr="00BB26AD">
        <w:rPr>
          <w:sz w:val="16"/>
          <w:szCs w:val="16"/>
        </w:rPr>
        <w:t xml:space="preserve"> MARCOGAZ is the technical association of the European gas industry. Its responsibility includes monitoring and policy advisory activities related to European technical regulation, standardisation, and certification with respect to safety and integrity of gas systems and equipment, rational use of energy as well as environment and health. Technical activities of MARCOGAZ include transmission, distribution and storage systems and end use of gas (natural gas, hydrogen, biomethane, synthetic gases) in their gaseous or liquid forms (e.g., LNG)</w:t>
      </w:r>
    </w:p>
  </w:footnote>
  <w:footnote w:id="89">
    <w:p w14:paraId="6294734C" w14:textId="77777777" w:rsidR="00B20520" w:rsidRDefault="00B20520" w:rsidP="00B20520">
      <w:pPr>
        <w:pStyle w:val="Voetnoottekst"/>
      </w:pPr>
      <w:r w:rsidRPr="003E7F52">
        <w:rPr>
          <w:rStyle w:val="Voetnootmarkering"/>
          <w:sz w:val="16"/>
          <w:szCs w:val="16"/>
        </w:rPr>
        <w:footnoteRef/>
      </w:r>
      <w:r w:rsidRPr="00620A72">
        <w:rPr>
          <w:sz w:val="16"/>
          <w:szCs w:val="16"/>
        </w:rPr>
        <w:t xml:space="preserve"> </w:t>
      </w:r>
      <w:hyperlink r:id="rId35" w:history="1">
        <w:r w:rsidRPr="00620A72">
          <w:rPr>
            <w:rStyle w:val="Hyperlink"/>
            <w:sz w:val="16"/>
            <w:szCs w:val="16"/>
            <w:u w:val="none"/>
          </w:rPr>
          <w:t>https://www.marcogaz.org/wp-content/uploads/2019/09/H2-Infographic.pdf</w:t>
        </w:r>
      </w:hyperlink>
      <w:r>
        <w:rPr>
          <w:sz w:val="16"/>
          <w:szCs w:val="16"/>
        </w:rPr>
        <w:t xml:space="preserve"> </w:t>
      </w:r>
    </w:p>
  </w:footnote>
  <w:footnote w:id="90">
    <w:p w14:paraId="741828A3" w14:textId="77777777" w:rsidR="00B20520" w:rsidRPr="000A0CDB" w:rsidRDefault="00B20520" w:rsidP="00B20520">
      <w:pPr>
        <w:pStyle w:val="Voetnoottekst"/>
        <w:jc w:val="both"/>
        <w:rPr>
          <w:color w:val="000000" w:themeColor="text1"/>
          <w:sz w:val="16"/>
          <w:szCs w:val="14"/>
        </w:rPr>
      </w:pPr>
      <w:r w:rsidRPr="000A0CDB">
        <w:rPr>
          <w:rStyle w:val="Voetnootmarkering"/>
          <w:color w:val="000000" w:themeColor="text1"/>
          <w:sz w:val="16"/>
          <w:szCs w:val="16"/>
        </w:rPr>
        <w:footnoteRef/>
      </w:r>
      <w:r w:rsidRPr="000A0CDB">
        <w:rPr>
          <w:color w:val="000000" w:themeColor="text1"/>
          <w:sz w:val="16"/>
          <w:szCs w:val="16"/>
        </w:rPr>
        <w:t xml:space="preserve"> Impact of Grid Gas Requirements on Hydrogen Blending Levels: </w:t>
      </w:r>
      <w:hyperlink r:id="rId36" w:anchor="collapse-1" w:history="1">
        <w:r w:rsidRPr="000A0CDB">
          <w:rPr>
            <w:rStyle w:val="Hyperlink"/>
            <w:color w:val="000000" w:themeColor="text1"/>
            <w:sz w:val="16"/>
            <w:szCs w:val="16"/>
            <w:u w:val="none"/>
          </w:rPr>
          <w:t>https://sciendo.com/article/10.2478/rtuect-2021-0052#collapse-1</w:t>
        </w:r>
      </w:hyperlink>
      <w:r w:rsidRPr="000A0CDB">
        <w:rPr>
          <w:color w:val="000000" w:themeColor="text1"/>
          <w:sz w:val="16"/>
          <w:szCs w:val="16"/>
        </w:rPr>
        <w:t xml:space="preserve"> </w:t>
      </w:r>
    </w:p>
  </w:footnote>
  <w:footnote w:id="91">
    <w:p w14:paraId="5DDBE2FC" w14:textId="77777777" w:rsidR="00B20520" w:rsidRPr="000A0CDB" w:rsidRDefault="00B20520" w:rsidP="00B20520">
      <w:pPr>
        <w:pStyle w:val="Voetnoottekst"/>
        <w:spacing w:before="60"/>
        <w:jc w:val="both"/>
        <w:rPr>
          <w:rFonts w:cstheme="minorHAnsi"/>
          <w:color w:val="000000" w:themeColor="text1"/>
          <w:sz w:val="16"/>
          <w:szCs w:val="16"/>
        </w:rPr>
      </w:pPr>
      <w:r w:rsidRPr="000A0CDB">
        <w:rPr>
          <w:rStyle w:val="Voetnootmarkering"/>
          <w:rFonts w:cstheme="minorHAnsi"/>
          <w:color w:val="000000" w:themeColor="text1"/>
          <w:sz w:val="16"/>
          <w:szCs w:val="16"/>
        </w:rPr>
        <w:footnoteRef/>
      </w:r>
      <w:hyperlink r:id="rId37" w:history="1">
        <w:r w:rsidRPr="000A0CDB">
          <w:rPr>
            <w:rStyle w:val="Hyperlink"/>
            <w:rFonts w:cstheme="minorHAnsi"/>
            <w:color w:val="000000" w:themeColor="text1"/>
            <w:sz w:val="16"/>
            <w:szCs w:val="16"/>
            <w:u w:val="none"/>
          </w:rPr>
          <w:t>https://elering.ee/sites/default/files/2021-10/Vesiniku%20ja%20s%C3%BCnteetilise%20gaasi%20kasutamise%20potentsiaal%20ja%20%C3%BChenditest%20tulenev%20m%C3%B5ju%20%C3%BClekandetorustikele%20ja%20l%C3%B5pptarbija%20seadmetele%2C%202020_0.pdf</w:t>
        </w:r>
      </w:hyperlink>
      <w:r w:rsidRPr="000A0CDB">
        <w:rPr>
          <w:rFonts w:cstheme="minorHAnsi"/>
          <w:color w:val="000000" w:themeColor="text1"/>
          <w:sz w:val="16"/>
          <w:szCs w:val="16"/>
        </w:rPr>
        <w:t xml:space="preserve"> </w:t>
      </w:r>
    </w:p>
  </w:footnote>
  <w:footnote w:id="92">
    <w:p w14:paraId="579FBB6E" w14:textId="77777777" w:rsidR="00B20520" w:rsidRPr="00A612FD" w:rsidRDefault="00B20520" w:rsidP="00B20520">
      <w:pPr>
        <w:spacing w:line="0" w:lineRule="atLeast"/>
        <w:jc w:val="both"/>
        <w:rPr>
          <w:rFonts w:cstheme="minorHAnsi"/>
          <w:color w:val="000000" w:themeColor="text1"/>
          <w:sz w:val="16"/>
          <w:szCs w:val="16"/>
        </w:rPr>
      </w:pPr>
      <w:r w:rsidRPr="000A0CDB">
        <w:rPr>
          <w:color w:val="000000" w:themeColor="text1"/>
          <w:sz w:val="16"/>
          <w:szCs w:val="16"/>
          <w:vertAlign w:val="superscript"/>
        </w:rPr>
        <w:footnoteRef/>
      </w:r>
      <w:r w:rsidRPr="000A0CDB">
        <w:rPr>
          <w:color w:val="000000" w:themeColor="text1"/>
          <w:sz w:val="16"/>
          <w:szCs w:val="16"/>
          <w:vertAlign w:val="superscript"/>
        </w:rPr>
        <w:t xml:space="preserve"> </w:t>
      </w:r>
      <w:r w:rsidRPr="000A0CDB">
        <w:rPr>
          <w:color w:val="000000" w:themeColor="text1"/>
          <w:sz w:val="16"/>
          <w:szCs w:val="16"/>
        </w:rPr>
        <w:t>FCH Observatory</w:t>
      </w:r>
      <w:r w:rsidRPr="00A612FD">
        <w:rPr>
          <w:rFonts w:cstheme="minorHAnsi"/>
          <w:color w:val="000000" w:themeColor="text1"/>
          <w:sz w:val="16"/>
          <w:szCs w:val="16"/>
          <w:lang w:val="en-US"/>
        </w:rPr>
        <w:t xml:space="preserve"> </w:t>
      </w:r>
    </w:p>
  </w:footnote>
  <w:footnote w:id="93">
    <w:p w14:paraId="1CEC2A06" w14:textId="07FA5B30" w:rsidR="00C611FD" w:rsidRDefault="00C611FD" w:rsidP="000A0CDB">
      <w:pPr>
        <w:pStyle w:val="Voetnoottekst"/>
        <w:jc w:val="both"/>
      </w:pPr>
      <w:r w:rsidRPr="000A0CDB">
        <w:rPr>
          <w:rStyle w:val="Voetnootmarkering"/>
          <w:color w:val="000000" w:themeColor="text1"/>
        </w:rPr>
        <w:footnoteRef/>
      </w:r>
      <w:r w:rsidRPr="000A0CDB">
        <w:rPr>
          <w:color w:val="000000" w:themeColor="text1"/>
        </w:rPr>
        <w:t xml:space="preserve"> </w:t>
      </w:r>
      <w:hyperlink r:id="rId38" w:history="1">
        <w:r w:rsidR="0029501D" w:rsidRPr="000A0CDB">
          <w:rPr>
            <w:rStyle w:val="Hyperlink"/>
            <w:color w:val="000000" w:themeColor="text1"/>
            <w:sz w:val="16"/>
            <w:szCs w:val="16"/>
            <w:u w:val="none"/>
          </w:rPr>
          <w:t>https://h2-project-visualisation-platform.entsog.eu/</w:t>
        </w:r>
      </w:hyperlink>
      <w:r w:rsidR="0029501D" w:rsidRPr="000A0CDB">
        <w:rPr>
          <w:color w:val="000000" w:themeColor="text1"/>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BF04" w14:textId="7FC0FB30" w:rsidR="009B6CA1" w:rsidRPr="009B6CA1" w:rsidRDefault="009B6CA1" w:rsidP="009B6CA1">
    <w:pPr>
      <w:pStyle w:val="Koptekst"/>
      <w:ind w:left="0"/>
      <w:jc w:val="center"/>
      <w:rPr>
        <w:sz w:val="14"/>
        <w:szCs w:val="14"/>
        <w:lang w:val="en-CA"/>
      </w:rPr>
    </w:pPr>
    <w:r>
      <w:rPr>
        <w:sz w:val="14"/>
        <w:szCs w:val="14"/>
        <w:lang w:val="en-CA"/>
      </w:rPr>
      <w:t>Gas Decarbonisation Pathways for Estonia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212"/>
    <w:multiLevelType w:val="hybridMultilevel"/>
    <w:tmpl w:val="6D7CCC40"/>
    <w:lvl w:ilvl="0" w:tplc="C86C5926">
      <w:start w:val="1"/>
      <w:numFmt w:val="decimal"/>
      <w:pStyle w:val="BoxSubheading"/>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3CC01296"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05801E30"/>
    <w:multiLevelType w:val="hybridMultilevel"/>
    <w:tmpl w:val="9CFE44E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 w15:restartNumberingAfterBreak="0">
    <w:nsid w:val="1D3A6DD3"/>
    <w:multiLevelType w:val="hybridMultilevel"/>
    <w:tmpl w:val="F4224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A335C"/>
    <w:multiLevelType w:val="hybridMultilevel"/>
    <w:tmpl w:val="A60A57DE"/>
    <w:lvl w:ilvl="0" w:tplc="5BD203D0">
      <w:start w:val="1"/>
      <w:numFmt w:val="bullet"/>
      <w:pStyle w:val="Lijstalinea"/>
      <w:lvlText w:val=""/>
      <w:lvlJc w:val="left"/>
      <w:pPr>
        <w:ind w:left="1146" w:hanging="360"/>
      </w:pPr>
      <w:rPr>
        <w:rFonts w:ascii="Wingdings" w:hAnsi="Wingdings" w:hint="default"/>
        <w:b/>
        <w:color w:val="005962"/>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99036A"/>
    <w:multiLevelType w:val="hybridMultilevel"/>
    <w:tmpl w:val="C038BD0E"/>
    <w:lvl w:ilvl="0" w:tplc="6E32DF9A">
      <w:start w:val="1"/>
      <w:numFmt w:val="bullet"/>
      <w:pStyle w:val="1stlevelred"/>
      <w:lvlText w:val=""/>
      <w:lvlJc w:val="left"/>
      <w:pPr>
        <w:ind w:left="1287" w:hanging="360"/>
      </w:pPr>
      <w:rPr>
        <w:rFonts w:ascii="Wingdings" w:hAnsi="Wingdings" w:cs="Wingdings" w:hint="default"/>
        <w:b/>
        <w:bCs/>
        <w:i w:val="0"/>
        <w:iCs w:val="0"/>
        <w:color w:val="F04E30"/>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B43EE9"/>
    <w:multiLevelType w:val="multilevel"/>
    <w:tmpl w:val="3EE8AD30"/>
    <w:styleLink w:val="Style2"/>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2C0EAC"/>
    <w:multiLevelType w:val="hybridMultilevel"/>
    <w:tmpl w:val="FF2E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577158"/>
    <w:multiLevelType w:val="hybridMultilevel"/>
    <w:tmpl w:val="8C38A414"/>
    <w:lvl w:ilvl="0" w:tplc="262827FC">
      <w:start w:val="1"/>
      <w:numFmt w:val="bullet"/>
      <w:pStyle w:val="1stlevelround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9" w15:restartNumberingAfterBreak="0">
    <w:nsid w:val="49AF0F80"/>
    <w:multiLevelType w:val="multilevel"/>
    <w:tmpl w:val="7228C610"/>
    <w:lvl w:ilvl="0">
      <w:start w:val="1"/>
      <w:numFmt w:val="decimal"/>
      <w:pStyle w:val="Kop1"/>
      <w:lvlText w:val="%1"/>
      <w:lvlJc w:val="left"/>
      <w:pPr>
        <w:ind w:left="927" w:hanging="360"/>
      </w:pPr>
      <w:rPr>
        <w:rFonts w:hint="default"/>
      </w:rPr>
    </w:lvl>
    <w:lvl w:ilvl="1">
      <w:start w:val="1"/>
      <w:numFmt w:val="decimal"/>
      <w:pStyle w:val="Kop2"/>
      <w:isLgl/>
      <w:lvlText w:val="%1.%2"/>
      <w:lvlJc w:val="left"/>
      <w:pPr>
        <w:ind w:left="2628" w:hanging="360"/>
      </w:pPr>
      <w:rPr>
        <w:rFonts w:hint="default"/>
      </w:rPr>
    </w:lvl>
    <w:lvl w:ilvl="2">
      <w:start w:val="1"/>
      <w:numFmt w:val="decimal"/>
      <w:pStyle w:val="Kop3"/>
      <w:isLgl/>
      <w:lvlText w:val="%1.%2.%3"/>
      <w:lvlJc w:val="left"/>
      <w:pPr>
        <w:ind w:left="2007" w:hanging="720"/>
      </w:pPr>
    </w:lvl>
    <w:lvl w:ilvl="3">
      <w:start w:val="1"/>
      <w:numFmt w:val="decimal"/>
      <w:isLgl/>
      <w:lvlText w:val="%1.%2.%3.%4"/>
      <w:lvlJc w:val="left"/>
      <w:pPr>
        <w:ind w:left="128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15:restartNumberingAfterBreak="0">
    <w:nsid w:val="4B181938"/>
    <w:multiLevelType w:val="hybridMultilevel"/>
    <w:tmpl w:val="5EDEF14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56AB17C5"/>
    <w:multiLevelType w:val="hybridMultilevel"/>
    <w:tmpl w:val="2D2068EA"/>
    <w:lvl w:ilvl="0" w:tplc="6E7C1C0A">
      <w:start w:val="1"/>
      <w:numFmt w:val="bullet"/>
      <w:pStyle w:val="2ndlevelbullet"/>
      <w:lvlText w:val="o"/>
      <w:lvlJc w:val="left"/>
      <w:pPr>
        <w:ind w:left="1911" w:hanging="360"/>
      </w:pPr>
      <w:rPr>
        <w:rFonts w:ascii="Courier New" w:hAnsi="Courier New" w:cs="Courier New"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12" w15:restartNumberingAfterBreak="0">
    <w:nsid w:val="646B1AA8"/>
    <w:multiLevelType w:val="multilevel"/>
    <w:tmpl w:val="F656DF38"/>
    <w:lvl w:ilvl="0">
      <w:start w:val="1"/>
      <w:numFmt w:val="bullet"/>
      <w:pStyle w:val="1stbullet"/>
      <w:lvlText w:val=""/>
      <w:lvlJc w:val="left"/>
      <w:pPr>
        <w:ind w:left="227" w:hanging="227"/>
      </w:pPr>
      <w:rPr>
        <w:rFonts w:ascii="Symbol" w:hAnsi="Symbol" w:hint="default"/>
        <w:i w:val="0"/>
        <w:color w:val="auto"/>
        <w:sz w:val="18"/>
        <w:szCs w:val="12"/>
      </w:rPr>
    </w:lvl>
    <w:lvl w:ilvl="1">
      <w:start w:val="1"/>
      <w:numFmt w:val="bullet"/>
      <w:lvlText w:val="o"/>
      <w:lvlJc w:val="left"/>
      <w:pPr>
        <w:ind w:left="1304" w:hanging="227"/>
      </w:pPr>
      <w:rPr>
        <w:rFonts w:ascii="Courier New" w:hAnsi="Courier New" w:cs="Courier New" w:hint="default"/>
      </w:rPr>
    </w:lvl>
    <w:lvl w:ilvl="2">
      <w:start w:val="1"/>
      <w:numFmt w:val="bullet"/>
      <w:lvlText w:val=""/>
      <w:lvlJc w:val="left"/>
      <w:pPr>
        <w:ind w:left="2381" w:hanging="227"/>
      </w:pPr>
      <w:rPr>
        <w:rFonts w:ascii="Wingdings" w:hAnsi="Wingdings" w:hint="default"/>
      </w:rPr>
    </w:lvl>
    <w:lvl w:ilvl="3">
      <w:start w:val="1"/>
      <w:numFmt w:val="bullet"/>
      <w:lvlText w:val=""/>
      <w:lvlJc w:val="left"/>
      <w:pPr>
        <w:ind w:left="3458" w:hanging="227"/>
      </w:pPr>
      <w:rPr>
        <w:rFonts w:ascii="Symbol" w:hAnsi="Symbol" w:hint="default"/>
      </w:rPr>
    </w:lvl>
    <w:lvl w:ilvl="4">
      <w:start w:val="1"/>
      <w:numFmt w:val="bullet"/>
      <w:lvlText w:val="o"/>
      <w:lvlJc w:val="left"/>
      <w:pPr>
        <w:ind w:left="4535" w:hanging="227"/>
      </w:pPr>
      <w:rPr>
        <w:rFonts w:ascii="Courier New" w:hAnsi="Courier New" w:cs="Courier New" w:hint="default"/>
      </w:rPr>
    </w:lvl>
    <w:lvl w:ilvl="5">
      <w:start w:val="1"/>
      <w:numFmt w:val="bullet"/>
      <w:lvlText w:val=""/>
      <w:lvlJc w:val="left"/>
      <w:pPr>
        <w:ind w:left="5612" w:hanging="227"/>
      </w:pPr>
      <w:rPr>
        <w:rFonts w:ascii="Wingdings" w:hAnsi="Wingdings" w:hint="default"/>
      </w:rPr>
    </w:lvl>
    <w:lvl w:ilvl="6">
      <w:start w:val="1"/>
      <w:numFmt w:val="bullet"/>
      <w:lvlText w:val=""/>
      <w:lvlJc w:val="left"/>
      <w:pPr>
        <w:ind w:left="6689" w:hanging="227"/>
      </w:pPr>
      <w:rPr>
        <w:rFonts w:ascii="Symbol" w:hAnsi="Symbol" w:hint="default"/>
      </w:rPr>
    </w:lvl>
    <w:lvl w:ilvl="7">
      <w:start w:val="1"/>
      <w:numFmt w:val="bullet"/>
      <w:lvlText w:val="o"/>
      <w:lvlJc w:val="left"/>
      <w:pPr>
        <w:ind w:left="7766" w:hanging="227"/>
      </w:pPr>
      <w:rPr>
        <w:rFonts w:ascii="Courier New" w:hAnsi="Courier New" w:cs="Courier New" w:hint="default"/>
      </w:rPr>
    </w:lvl>
    <w:lvl w:ilvl="8">
      <w:start w:val="1"/>
      <w:numFmt w:val="bullet"/>
      <w:lvlText w:val=""/>
      <w:lvlJc w:val="left"/>
      <w:pPr>
        <w:ind w:left="8843" w:hanging="227"/>
      </w:pPr>
      <w:rPr>
        <w:rFonts w:ascii="Wingdings" w:hAnsi="Wingdings" w:hint="default"/>
      </w:rPr>
    </w:lvl>
  </w:abstractNum>
  <w:abstractNum w:abstractNumId="13" w15:restartNumberingAfterBreak="0">
    <w:nsid w:val="66E06B82"/>
    <w:multiLevelType w:val="hybridMultilevel"/>
    <w:tmpl w:val="7FBEFBB2"/>
    <w:lvl w:ilvl="0" w:tplc="4022ABB2">
      <w:start w:val="3"/>
      <w:numFmt w:val="bullet"/>
      <w:pStyle w:val="2ndbullet"/>
      <w:lvlText w:val=""/>
      <w:lvlJc w:val="left"/>
      <w:rPr>
        <w:b w:val="0"/>
        <w:bCs w:val="0"/>
        <w:i w:val="0"/>
        <w:iCs w:val="0"/>
        <w:caps w:val="0"/>
        <w:smallCaps w:val="0"/>
        <w:strike w:val="0"/>
        <w:dstrike w:val="0"/>
        <w:noProof w:val="0"/>
        <w:vanish w:val="0"/>
        <w:color w:val="A9D1DE"/>
        <w:spacing w:val="0"/>
        <w:kern w:val="0"/>
        <w:position w:val="0"/>
        <w:sz w:val="22"/>
        <w:u w:val="none"/>
        <w:effect w:val="none"/>
        <w:vertAlign w:val="baseline"/>
        <w:em w:val="none"/>
        <w:specVanish w:val="0"/>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 w15:restartNumberingAfterBreak="0">
    <w:nsid w:val="69897F6C"/>
    <w:multiLevelType w:val="hybridMultilevel"/>
    <w:tmpl w:val="FFFFFFFF"/>
    <w:lvl w:ilvl="0" w:tplc="70C84B6A">
      <w:numFmt w:val="decimal"/>
      <w:pStyle w:val="Title1"/>
      <w:lvlText w:val=""/>
      <w:lvlJc w:val="left"/>
    </w:lvl>
    <w:lvl w:ilvl="1" w:tplc="AAA046CE">
      <w:numFmt w:val="decimal"/>
      <w:suff w:val="space"/>
      <w:lvlText w:val=""/>
      <w:lvlJc w:val="left"/>
    </w:lvl>
    <w:lvl w:ilvl="2" w:tplc="A24E35F4">
      <w:numFmt w:val="decimal"/>
      <w:lvlText w:val=""/>
      <w:lvlJc w:val="left"/>
    </w:lvl>
    <w:lvl w:ilvl="3" w:tplc="526423B6">
      <w:numFmt w:val="decimal"/>
      <w:lvlText w:val=""/>
      <w:lvlJc w:val="left"/>
    </w:lvl>
    <w:lvl w:ilvl="4" w:tplc="5730625E">
      <w:start w:val="1493145"/>
      <w:numFmt w:val="decimal"/>
      <w:lvlRestart w:val="0"/>
      <w:isLgl/>
      <w:lvlText w:val="ĀఀȀఀ̀ఀЀఀԀ␀ؐ─ܐఀࠀఀऀఀ਀ఀ଀ఀఀఀഀఀ฀ఀༀఀ"/>
      <w:lvlJc w:val="center"/>
      <w:rPr>
        <w:rFonts w:ascii="Symbol" w:hAnsi="Courier New" w:cs="Courier New" w:hint="default"/>
        <w14:reflection w14:blurRad="0" w14:stA="0" w14:stPos="0" w14:endA="0" w14:endPos="0" w14:dist="0" w14:dir="0" w14:fadeDir="0" w14:sx="0" w14:sy="0" w14:kx="0" w14:ky="0" w14:algn="none"/>
        <w14:props3d w14:extrusionH="0" w14:contourW="0" w14:prstMaterial="none"/>
        <w14:ligatures w14:val="none"/>
        <w14:numForm w14:val="default"/>
        <w14:numSpacing w14:val="default"/>
        <w14:stylisticSets/>
        <w14:cntxtAlts w14:val="0"/>
      </w:rPr>
    </w:lvl>
    <w:lvl w:ilvl="5" w:tplc="4DCAAC1C">
      <w:numFmt w:val="decimal"/>
      <w:lvlText w:val=""/>
      <w:lvlJc w:val="left"/>
    </w:lvl>
    <w:lvl w:ilvl="6" w:tplc="2710DBE8">
      <w:numFmt w:val="decimal"/>
      <w:lvlText w:val=""/>
      <w:lvlJc w:val="left"/>
    </w:lvl>
    <w:lvl w:ilvl="7" w:tplc="FB0A48F8">
      <w:numFmt w:val="decimal"/>
      <w:lvlText w:val=""/>
      <w:lvlJc w:val="left"/>
    </w:lvl>
    <w:lvl w:ilvl="8" w:tplc="E488DFCE">
      <w:numFmt w:val="decimal"/>
      <w:lvlText w:val=""/>
      <w:lvlJc w:val="left"/>
    </w:lvl>
  </w:abstractNum>
  <w:abstractNum w:abstractNumId="15" w15:restartNumberingAfterBreak="0">
    <w:nsid w:val="7F361D09"/>
    <w:multiLevelType w:val="hybridMultilevel"/>
    <w:tmpl w:val="C548055C"/>
    <w:lvl w:ilvl="0" w:tplc="F950FEF0">
      <w:numFmt w:val="decimal"/>
      <w:lvlText w:val=""/>
      <w:lvlJc w:val="left"/>
    </w:lvl>
    <w:lvl w:ilvl="1" w:tplc="04250003">
      <w:numFmt w:val="decimal"/>
      <w:lvlText w:val=""/>
      <w:lvlJc w:val="left"/>
    </w:lvl>
    <w:lvl w:ilvl="2" w:tplc="04250005">
      <w:numFmt w:val="decimal"/>
      <w:lvlText w:val=""/>
      <w:lvlJc w:val="left"/>
    </w:lvl>
    <w:lvl w:ilvl="3" w:tplc="04250001">
      <w:numFmt w:val="decimal"/>
      <w:lvlText w:val=""/>
      <w:lvlJc w:val="left"/>
    </w:lvl>
    <w:lvl w:ilvl="4" w:tplc="04250003">
      <w:numFmt w:val="decimal"/>
      <w:lvlText w:val=""/>
      <w:lvlJc w:val="left"/>
    </w:lvl>
    <w:lvl w:ilvl="5" w:tplc="04250005">
      <w:numFmt w:val="decimal"/>
      <w:lvlText w:val=""/>
      <w:lvlJc w:val="left"/>
    </w:lvl>
    <w:lvl w:ilvl="6" w:tplc="04250001">
      <w:numFmt w:val="decimal"/>
      <w:lvlText w:val=""/>
      <w:lvlJc w:val="left"/>
    </w:lvl>
    <w:lvl w:ilvl="7" w:tplc="04250003">
      <w:numFmt w:val="decimal"/>
      <w:lvlText w:val=""/>
      <w:lvlJc w:val="left"/>
    </w:lvl>
    <w:lvl w:ilvl="8" w:tplc="04250005">
      <w:numFmt w:val="decimal"/>
      <w:lvlText w:val=""/>
      <w:lvlJc w:val="left"/>
    </w:lvl>
  </w:abstractNum>
  <w:num w:numId="1" w16cid:durableId="214196539">
    <w:abstractNumId w:val="5"/>
  </w:num>
  <w:num w:numId="2" w16cid:durableId="444619685">
    <w:abstractNumId w:val="6"/>
  </w:num>
  <w:num w:numId="3" w16cid:durableId="157379739">
    <w:abstractNumId w:val="3"/>
  </w:num>
  <w:num w:numId="4" w16cid:durableId="1574272023">
    <w:abstractNumId w:val="4"/>
  </w:num>
  <w:num w:numId="5" w16cid:durableId="603542111">
    <w:abstractNumId w:val="8"/>
  </w:num>
  <w:num w:numId="6" w16cid:durableId="577640528">
    <w:abstractNumId w:val="11"/>
  </w:num>
  <w:num w:numId="7" w16cid:durableId="1331954471">
    <w:abstractNumId w:val="12"/>
  </w:num>
  <w:num w:numId="8" w16cid:durableId="1371296401">
    <w:abstractNumId w:val="13"/>
  </w:num>
  <w:num w:numId="9" w16cid:durableId="827481749">
    <w:abstractNumId w:val="14"/>
  </w:num>
  <w:num w:numId="10" w16cid:durableId="268393725">
    <w:abstractNumId w:val="0"/>
  </w:num>
  <w:num w:numId="11" w16cid:durableId="1534228155">
    <w:abstractNumId w:val="2"/>
  </w:num>
  <w:num w:numId="12" w16cid:durableId="1553737450">
    <w:abstractNumId w:val="1"/>
  </w:num>
  <w:num w:numId="13" w16cid:durableId="1375540753">
    <w:abstractNumId w:val="7"/>
  </w:num>
  <w:num w:numId="14" w16cid:durableId="1721830883">
    <w:abstractNumId w:val="10"/>
  </w:num>
  <w:num w:numId="15" w16cid:durableId="1864051065">
    <w:abstractNumId w:val="15"/>
  </w:num>
  <w:num w:numId="16" w16cid:durableId="1503683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97977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0184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73743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942440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E68"/>
    <w:rsid w:val="00000155"/>
    <w:rsid w:val="000001DC"/>
    <w:rsid w:val="000005A3"/>
    <w:rsid w:val="00000D1D"/>
    <w:rsid w:val="000016F6"/>
    <w:rsid w:val="00001FF0"/>
    <w:rsid w:val="000024D5"/>
    <w:rsid w:val="000029E8"/>
    <w:rsid w:val="00003568"/>
    <w:rsid w:val="00003FCC"/>
    <w:rsid w:val="00004259"/>
    <w:rsid w:val="000042CA"/>
    <w:rsid w:val="000044BC"/>
    <w:rsid w:val="0000484B"/>
    <w:rsid w:val="00004894"/>
    <w:rsid w:val="00004E78"/>
    <w:rsid w:val="0000527D"/>
    <w:rsid w:val="0000540A"/>
    <w:rsid w:val="000054CC"/>
    <w:rsid w:val="000055AB"/>
    <w:rsid w:val="00005A71"/>
    <w:rsid w:val="000061FB"/>
    <w:rsid w:val="000068FB"/>
    <w:rsid w:val="0000735D"/>
    <w:rsid w:val="00007604"/>
    <w:rsid w:val="00007CEB"/>
    <w:rsid w:val="00007DF2"/>
    <w:rsid w:val="0001020C"/>
    <w:rsid w:val="00010281"/>
    <w:rsid w:val="00010891"/>
    <w:rsid w:val="00010C85"/>
    <w:rsid w:val="000110EB"/>
    <w:rsid w:val="0001119E"/>
    <w:rsid w:val="000111CD"/>
    <w:rsid w:val="000116FA"/>
    <w:rsid w:val="000117F8"/>
    <w:rsid w:val="000118D7"/>
    <w:rsid w:val="000139FD"/>
    <w:rsid w:val="00014120"/>
    <w:rsid w:val="00014832"/>
    <w:rsid w:val="00014A3B"/>
    <w:rsid w:val="00014DD8"/>
    <w:rsid w:val="00014F7D"/>
    <w:rsid w:val="00014FE9"/>
    <w:rsid w:val="000154CA"/>
    <w:rsid w:val="000159DA"/>
    <w:rsid w:val="00015D4E"/>
    <w:rsid w:val="00015F44"/>
    <w:rsid w:val="00016936"/>
    <w:rsid w:val="00017636"/>
    <w:rsid w:val="0001773F"/>
    <w:rsid w:val="00017BB1"/>
    <w:rsid w:val="0002093C"/>
    <w:rsid w:val="00020D30"/>
    <w:rsid w:val="00021160"/>
    <w:rsid w:val="0002183A"/>
    <w:rsid w:val="00021A9B"/>
    <w:rsid w:val="00021CA1"/>
    <w:rsid w:val="00021EC5"/>
    <w:rsid w:val="00022473"/>
    <w:rsid w:val="00022635"/>
    <w:rsid w:val="00022691"/>
    <w:rsid w:val="00022EF4"/>
    <w:rsid w:val="00023246"/>
    <w:rsid w:val="00023425"/>
    <w:rsid w:val="000237AE"/>
    <w:rsid w:val="00023BA2"/>
    <w:rsid w:val="000241A8"/>
    <w:rsid w:val="0002438B"/>
    <w:rsid w:val="00024D3C"/>
    <w:rsid w:val="00025027"/>
    <w:rsid w:val="000252D9"/>
    <w:rsid w:val="00025506"/>
    <w:rsid w:val="00025DCA"/>
    <w:rsid w:val="00026724"/>
    <w:rsid w:val="00026CC3"/>
    <w:rsid w:val="00027783"/>
    <w:rsid w:val="00027901"/>
    <w:rsid w:val="00027C89"/>
    <w:rsid w:val="00030B6F"/>
    <w:rsid w:val="00030F3A"/>
    <w:rsid w:val="000310DA"/>
    <w:rsid w:val="000313C4"/>
    <w:rsid w:val="000316B9"/>
    <w:rsid w:val="00031D84"/>
    <w:rsid w:val="00031FEA"/>
    <w:rsid w:val="00032116"/>
    <w:rsid w:val="000321C2"/>
    <w:rsid w:val="0003235B"/>
    <w:rsid w:val="00032851"/>
    <w:rsid w:val="00032865"/>
    <w:rsid w:val="00033129"/>
    <w:rsid w:val="000333CD"/>
    <w:rsid w:val="000334A0"/>
    <w:rsid w:val="0003371E"/>
    <w:rsid w:val="0003470B"/>
    <w:rsid w:val="00034BE3"/>
    <w:rsid w:val="0003503C"/>
    <w:rsid w:val="000352DA"/>
    <w:rsid w:val="000357EC"/>
    <w:rsid w:val="00035BA6"/>
    <w:rsid w:val="00035C30"/>
    <w:rsid w:val="00036E3A"/>
    <w:rsid w:val="00037161"/>
    <w:rsid w:val="00040222"/>
    <w:rsid w:val="0004076C"/>
    <w:rsid w:val="00040A92"/>
    <w:rsid w:val="00040ABA"/>
    <w:rsid w:val="00040D4B"/>
    <w:rsid w:val="000419A4"/>
    <w:rsid w:val="00042B56"/>
    <w:rsid w:val="00042F61"/>
    <w:rsid w:val="00043018"/>
    <w:rsid w:val="00043069"/>
    <w:rsid w:val="0004336E"/>
    <w:rsid w:val="000433CE"/>
    <w:rsid w:val="00043951"/>
    <w:rsid w:val="00043B4E"/>
    <w:rsid w:val="0004425F"/>
    <w:rsid w:val="00044496"/>
    <w:rsid w:val="000449FD"/>
    <w:rsid w:val="00044D02"/>
    <w:rsid w:val="00044F5A"/>
    <w:rsid w:val="00044FF2"/>
    <w:rsid w:val="00045053"/>
    <w:rsid w:val="000452D5"/>
    <w:rsid w:val="00045BF3"/>
    <w:rsid w:val="000466CB"/>
    <w:rsid w:val="00046A41"/>
    <w:rsid w:val="00046CA1"/>
    <w:rsid w:val="00046F82"/>
    <w:rsid w:val="00047819"/>
    <w:rsid w:val="0005173F"/>
    <w:rsid w:val="00051D05"/>
    <w:rsid w:val="00052735"/>
    <w:rsid w:val="00052D62"/>
    <w:rsid w:val="0005305A"/>
    <w:rsid w:val="0005321C"/>
    <w:rsid w:val="00053518"/>
    <w:rsid w:val="00053850"/>
    <w:rsid w:val="0005398E"/>
    <w:rsid w:val="00053C0E"/>
    <w:rsid w:val="000544EF"/>
    <w:rsid w:val="0005465C"/>
    <w:rsid w:val="00054BDF"/>
    <w:rsid w:val="00054E9D"/>
    <w:rsid w:val="00054F60"/>
    <w:rsid w:val="000554CC"/>
    <w:rsid w:val="00055ABE"/>
    <w:rsid w:val="00055DFB"/>
    <w:rsid w:val="000561B6"/>
    <w:rsid w:val="00056736"/>
    <w:rsid w:val="000573E8"/>
    <w:rsid w:val="000574E4"/>
    <w:rsid w:val="00057582"/>
    <w:rsid w:val="000577D4"/>
    <w:rsid w:val="000604CF"/>
    <w:rsid w:val="0006147C"/>
    <w:rsid w:val="00061BC2"/>
    <w:rsid w:val="00061C4C"/>
    <w:rsid w:val="0006225D"/>
    <w:rsid w:val="0006236C"/>
    <w:rsid w:val="0006252E"/>
    <w:rsid w:val="000637C0"/>
    <w:rsid w:val="00063995"/>
    <w:rsid w:val="00064104"/>
    <w:rsid w:val="00064B52"/>
    <w:rsid w:val="00065385"/>
    <w:rsid w:val="000655AF"/>
    <w:rsid w:val="00065695"/>
    <w:rsid w:val="000660FB"/>
    <w:rsid w:val="00066288"/>
    <w:rsid w:val="000672D9"/>
    <w:rsid w:val="000674BA"/>
    <w:rsid w:val="00070C7F"/>
    <w:rsid w:val="00071070"/>
    <w:rsid w:val="0007170F"/>
    <w:rsid w:val="00071D62"/>
    <w:rsid w:val="00071F72"/>
    <w:rsid w:val="00072655"/>
    <w:rsid w:val="00072A0F"/>
    <w:rsid w:val="00072D30"/>
    <w:rsid w:val="00072D71"/>
    <w:rsid w:val="000737B3"/>
    <w:rsid w:val="00073BE8"/>
    <w:rsid w:val="00073F6E"/>
    <w:rsid w:val="0007402C"/>
    <w:rsid w:val="00074A02"/>
    <w:rsid w:val="00074E3C"/>
    <w:rsid w:val="00075034"/>
    <w:rsid w:val="0007568F"/>
    <w:rsid w:val="00075D96"/>
    <w:rsid w:val="00076924"/>
    <w:rsid w:val="00076BBE"/>
    <w:rsid w:val="00077A4A"/>
    <w:rsid w:val="00080087"/>
    <w:rsid w:val="000805BC"/>
    <w:rsid w:val="00080780"/>
    <w:rsid w:val="00081605"/>
    <w:rsid w:val="00082018"/>
    <w:rsid w:val="0008221A"/>
    <w:rsid w:val="00082614"/>
    <w:rsid w:val="00082A53"/>
    <w:rsid w:val="00083311"/>
    <w:rsid w:val="00083860"/>
    <w:rsid w:val="000838BE"/>
    <w:rsid w:val="00083BB8"/>
    <w:rsid w:val="0008452A"/>
    <w:rsid w:val="000847E0"/>
    <w:rsid w:val="00086227"/>
    <w:rsid w:val="0008624C"/>
    <w:rsid w:val="00086CB8"/>
    <w:rsid w:val="0008702B"/>
    <w:rsid w:val="000872C4"/>
    <w:rsid w:val="00087B3F"/>
    <w:rsid w:val="00087C57"/>
    <w:rsid w:val="00087C8F"/>
    <w:rsid w:val="00090520"/>
    <w:rsid w:val="000908F6"/>
    <w:rsid w:val="00090B27"/>
    <w:rsid w:val="00090EF5"/>
    <w:rsid w:val="00091337"/>
    <w:rsid w:val="000916C3"/>
    <w:rsid w:val="000920CB"/>
    <w:rsid w:val="00092795"/>
    <w:rsid w:val="00092EBF"/>
    <w:rsid w:val="00093B28"/>
    <w:rsid w:val="00093C49"/>
    <w:rsid w:val="000940E7"/>
    <w:rsid w:val="0009449C"/>
    <w:rsid w:val="000944D3"/>
    <w:rsid w:val="00094BFA"/>
    <w:rsid w:val="0009516E"/>
    <w:rsid w:val="000956E4"/>
    <w:rsid w:val="00095900"/>
    <w:rsid w:val="00095A03"/>
    <w:rsid w:val="00095C90"/>
    <w:rsid w:val="0009619D"/>
    <w:rsid w:val="000965A2"/>
    <w:rsid w:val="000966B0"/>
    <w:rsid w:val="00097035"/>
    <w:rsid w:val="00097235"/>
    <w:rsid w:val="000A034A"/>
    <w:rsid w:val="000A069B"/>
    <w:rsid w:val="000A07BA"/>
    <w:rsid w:val="000A0CDB"/>
    <w:rsid w:val="000A0F05"/>
    <w:rsid w:val="000A21A9"/>
    <w:rsid w:val="000A21F5"/>
    <w:rsid w:val="000A23BC"/>
    <w:rsid w:val="000A37CC"/>
    <w:rsid w:val="000A3FCD"/>
    <w:rsid w:val="000A515D"/>
    <w:rsid w:val="000A5B82"/>
    <w:rsid w:val="000A5C72"/>
    <w:rsid w:val="000A6519"/>
    <w:rsid w:val="000A6701"/>
    <w:rsid w:val="000A681B"/>
    <w:rsid w:val="000A69C0"/>
    <w:rsid w:val="000A6B97"/>
    <w:rsid w:val="000A6EC1"/>
    <w:rsid w:val="000A77F2"/>
    <w:rsid w:val="000A7EF3"/>
    <w:rsid w:val="000B0BFC"/>
    <w:rsid w:val="000B0D06"/>
    <w:rsid w:val="000B0D42"/>
    <w:rsid w:val="000B0E5D"/>
    <w:rsid w:val="000B11F4"/>
    <w:rsid w:val="000B13A6"/>
    <w:rsid w:val="000B1536"/>
    <w:rsid w:val="000B1688"/>
    <w:rsid w:val="000B1BBD"/>
    <w:rsid w:val="000B2449"/>
    <w:rsid w:val="000B2F51"/>
    <w:rsid w:val="000B30E5"/>
    <w:rsid w:val="000B355D"/>
    <w:rsid w:val="000B3908"/>
    <w:rsid w:val="000B39E1"/>
    <w:rsid w:val="000B3E62"/>
    <w:rsid w:val="000B4481"/>
    <w:rsid w:val="000B44D3"/>
    <w:rsid w:val="000B4672"/>
    <w:rsid w:val="000B4799"/>
    <w:rsid w:val="000B4AE6"/>
    <w:rsid w:val="000B4E32"/>
    <w:rsid w:val="000B54B5"/>
    <w:rsid w:val="000B584E"/>
    <w:rsid w:val="000B5D3F"/>
    <w:rsid w:val="000B644A"/>
    <w:rsid w:val="000B64F9"/>
    <w:rsid w:val="000B6C1F"/>
    <w:rsid w:val="000B6CDE"/>
    <w:rsid w:val="000B78A4"/>
    <w:rsid w:val="000B7F42"/>
    <w:rsid w:val="000C0010"/>
    <w:rsid w:val="000C0539"/>
    <w:rsid w:val="000C0CB8"/>
    <w:rsid w:val="000C0DC0"/>
    <w:rsid w:val="000C13DA"/>
    <w:rsid w:val="000C189E"/>
    <w:rsid w:val="000C2738"/>
    <w:rsid w:val="000C2D7B"/>
    <w:rsid w:val="000C2DF8"/>
    <w:rsid w:val="000C3090"/>
    <w:rsid w:val="000C30D4"/>
    <w:rsid w:val="000C3FA9"/>
    <w:rsid w:val="000C40F5"/>
    <w:rsid w:val="000C42DA"/>
    <w:rsid w:val="000C45F0"/>
    <w:rsid w:val="000C50B3"/>
    <w:rsid w:val="000C5735"/>
    <w:rsid w:val="000C5E33"/>
    <w:rsid w:val="000C65F3"/>
    <w:rsid w:val="000C681B"/>
    <w:rsid w:val="000C6914"/>
    <w:rsid w:val="000C69B4"/>
    <w:rsid w:val="000C6C6C"/>
    <w:rsid w:val="000C708D"/>
    <w:rsid w:val="000C7553"/>
    <w:rsid w:val="000C7C52"/>
    <w:rsid w:val="000D00C4"/>
    <w:rsid w:val="000D0610"/>
    <w:rsid w:val="000D084E"/>
    <w:rsid w:val="000D16B2"/>
    <w:rsid w:val="000D2B56"/>
    <w:rsid w:val="000D2D98"/>
    <w:rsid w:val="000D32A0"/>
    <w:rsid w:val="000D3357"/>
    <w:rsid w:val="000D348A"/>
    <w:rsid w:val="000D3C62"/>
    <w:rsid w:val="000D47C0"/>
    <w:rsid w:val="000D4EB4"/>
    <w:rsid w:val="000D56ED"/>
    <w:rsid w:val="000D59B4"/>
    <w:rsid w:val="000D5C1E"/>
    <w:rsid w:val="000D5E28"/>
    <w:rsid w:val="000D5FFE"/>
    <w:rsid w:val="000D627F"/>
    <w:rsid w:val="000D65DB"/>
    <w:rsid w:val="000D6C2C"/>
    <w:rsid w:val="000D6DA3"/>
    <w:rsid w:val="000D71B4"/>
    <w:rsid w:val="000D799D"/>
    <w:rsid w:val="000E063D"/>
    <w:rsid w:val="000E0671"/>
    <w:rsid w:val="000E1475"/>
    <w:rsid w:val="000E1614"/>
    <w:rsid w:val="000E17E0"/>
    <w:rsid w:val="000E1F1D"/>
    <w:rsid w:val="000E3302"/>
    <w:rsid w:val="000E399F"/>
    <w:rsid w:val="000E39F0"/>
    <w:rsid w:val="000E3E66"/>
    <w:rsid w:val="000E40F3"/>
    <w:rsid w:val="000E4592"/>
    <w:rsid w:val="000E50FA"/>
    <w:rsid w:val="000E51A3"/>
    <w:rsid w:val="000E5263"/>
    <w:rsid w:val="000E52F8"/>
    <w:rsid w:val="000E5582"/>
    <w:rsid w:val="000E585D"/>
    <w:rsid w:val="000E5AEC"/>
    <w:rsid w:val="000E5C38"/>
    <w:rsid w:val="000E5E19"/>
    <w:rsid w:val="000E5FA9"/>
    <w:rsid w:val="000E6283"/>
    <w:rsid w:val="000E6797"/>
    <w:rsid w:val="000E7096"/>
    <w:rsid w:val="000E71FA"/>
    <w:rsid w:val="000E74BC"/>
    <w:rsid w:val="000F0767"/>
    <w:rsid w:val="000F0A85"/>
    <w:rsid w:val="000F0AD4"/>
    <w:rsid w:val="000F1A4D"/>
    <w:rsid w:val="000F1C3C"/>
    <w:rsid w:val="000F1E80"/>
    <w:rsid w:val="000F1FBE"/>
    <w:rsid w:val="000F2094"/>
    <w:rsid w:val="000F220C"/>
    <w:rsid w:val="000F26F9"/>
    <w:rsid w:val="000F2C15"/>
    <w:rsid w:val="000F2EFE"/>
    <w:rsid w:val="000F3147"/>
    <w:rsid w:val="000F392D"/>
    <w:rsid w:val="000F392E"/>
    <w:rsid w:val="000F3E05"/>
    <w:rsid w:val="000F41CA"/>
    <w:rsid w:val="000F4465"/>
    <w:rsid w:val="000F458B"/>
    <w:rsid w:val="000F4C21"/>
    <w:rsid w:val="000F4D2A"/>
    <w:rsid w:val="000F5120"/>
    <w:rsid w:val="000F51E9"/>
    <w:rsid w:val="000F52F6"/>
    <w:rsid w:val="000F56D2"/>
    <w:rsid w:val="000F6413"/>
    <w:rsid w:val="000F658D"/>
    <w:rsid w:val="000F68A1"/>
    <w:rsid w:val="000F6EC2"/>
    <w:rsid w:val="000F7404"/>
    <w:rsid w:val="000F780B"/>
    <w:rsid w:val="001002B1"/>
    <w:rsid w:val="00100A18"/>
    <w:rsid w:val="00100B99"/>
    <w:rsid w:val="00100F83"/>
    <w:rsid w:val="00100FAA"/>
    <w:rsid w:val="0010190E"/>
    <w:rsid w:val="00101A9A"/>
    <w:rsid w:val="00101BC3"/>
    <w:rsid w:val="0010213E"/>
    <w:rsid w:val="00102646"/>
    <w:rsid w:val="0010270A"/>
    <w:rsid w:val="001029C2"/>
    <w:rsid w:val="00102FAF"/>
    <w:rsid w:val="00103133"/>
    <w:rsid w:val="0010323D"/>
    <w:rsid w:val="0010360F"/>
    <w:rsid w:val="00103615"/>
    <w:rsid w:val="0010365C"/>
    <w:rsid w:val="001042AD"/>
    <w:rsid w:val="0010459B"/>
    <w:rsid w:val="00104E80"/>
    <w:rsid w:val="00105605"/>
    <w:rsid w:val="00105E8B"/>
    <w:rsid w:val="00105F79"/>
    <w:rsid w:val="00106DD8"/>
    <w:rsid w:val="001073AE"/>
    <w:rsid w:val="00107C1A"/>
    <w:rsid w:val="00107F4E"/>
    <w:rsid w:val="0011009D"/>
    <w:rsid w:val="00110330"/>
    <w:rsid w:val="00110C8A"/>
    <w:rsid w:val="00110CD3"/>
    <w:rsid w:val="0011112D"/>
    <w:rsid w:val="001111C8"/>
    <w:rsid w:val="001115CB"/>
    <w:rsid w:val="00111F52"/>
    <w:rsid w:val="00112E88"/>
    <w:rsid w:val="001138C9"/>
    <w:rsid w:val="0011416C"/>
    <w:rsid w:val="00114783"/>
    <w:rsid w:val="001147C3"/>
    <w:rsid w:val="00114978"/>
    <w:rsid w:val="001149E3"/>
    <w:rsid w:val="00114E7C"/>
    <w:rsid w:val="001154B4"/>
    <w:rsid w:val="00115835"/>
    <w:rsid w:val="00115B44"/>
    <w:rsid w:val="00115B93"/>
    <w:rsid w:val="00115F51"/>
    <w:rsid w:val="0011646E"/>
    <w:rsid w:val="001165FC"/>
    <w:rsid w:val="00116DA5"/>
    <w:rsid w:val="00116DC1"/>
    <w:rsid w:val="00117CEB"/>
    <w:rsid w:val="00117F70"/>
    <w:rsid w:val="00117FAE"/>
    <w:rsid w:val="001201F3"/>
    <w:rsid w:val="0012067F"/>
    <w:rsid w:val="00120A3B"/>
    <w:rsid w:val="00120ABF"/>
    <w:rsid w:val="00120C23"/>
    <w:rsid w:val="0012211D"/>
    <w:rsid w:val="001221F3"/>
    <w:rsid w:val="0012324E"/>
    <w:rsid w:val="001233BF"/>
    <w:rsid w:val="0012343A"/>
    <w:rsid w:val="001234EB"/>
    <w:rsid w:val="00123563"/>
    <w:rsid w:val="00123637"/>
    <w:rsid w:val="00123D79"/>
    <w:rsid w:val="0012405D"/>
    <w:rsid w:val="00124096"/>
    <w:rsid w:val="0012415F"/>
    <w:rsid w:val="001246E2"/>
    <w:rsid w:val="0012481B"/>
    <w:rsid w:val="00124845"/>
    <w:rsid w:val="001248B9"/>
    <w:rsid w:val="001249AD"/>
    <w:rsid w:val="00124BCD"/>
    <w:rsid w:val="00124C0D"/>
    <w:rsid w:val="001253A9"/>
    <w:rsid w:val="0012548B"/>
    <w:rsid w:val="001255EA"/>
    <w:rsid w:val="00126077"/>
    <w:rsid w:val="001265B5"/>
    <w:rsid w:val="00126DAC"/>
    <w:rsid w:val="00127586"/>
    <w:rsid w:val="0012767A"/>
    <w:rsid w:val="001279C1"/>
    <w:rsid w:val="00127EEC"/>
    <w:rsid w:val="0013028C"/>
    <w:rsid w:val="00130587"/>
    <w:rsid w:val="0013059D"/>
    <w:rsid w:val="00130B4D"/>
    <w:rsid w:val="00130DD4"/>
    <w:rsid w:val="00130E80"/>
    <w:rsid w:val="001319AE"/>
    <w:rsid w:val="001319EA"/>
    <w:rsid w:val="00131C0D"/>
    <w:rsid w:val="00132BCB"/>
    <w:rsid w:val="00132D1D"/>
    <w:rsid w:val="00132D22"/>
    <w:rsid w:val="00132FFC"/>
    <w:rsid w:val="0013317A"/>
    <w:rsid w:val="0013383C"/>
    <w:rsid w:val="00133B40"/>
    <w:rsid w:val="00134409"/>
    <w:rsid w:val="00134562"/>
    <w:rsid w:val="00134F91"/>
    <w:rsid w:val="00135425"/>
    <w:rsid w:val="00135548"/>
    <w:rsid w:val="0013593D"/>
    <w:rsid w:val="00135FD6"/>
    <w:rsid w:val="0013639A"/>
    <w:rsid w:val="00136C8F"/>
    <w:rsid w:val="00136DF2"/>
    <w:rsid w:val="00137D79"/>
    <w:rsid w:val="0014074D"/>
    <w:rsid w:val="00140CB1"/>
    <w:rsid w:val="00140D7A"/>
    <w:rsid w:val="00140FC3"/>
    <w:rsid w:val="00141014"/>
    <w:rsid w:val="001415D2"/>
    <w:rsid w:val="00141FC2"/>
    <w:rsid w:val="001429F6"/>
    <w:rsid w:val="00142A25"/>
    <w:rsid w:val="00142A35"/>
    <w:rsid w:val="00142FBF"/>
    <w:rsid w:val="00143C29"/>
    <w:rsid w:val="00143EF2"/>
    <w:rsid w:val="00144B17"/>
    <w:rsid w:val="00145237"/>
    <w:rsid w:val="0014530B"/>
    <w:rsid w:val="00146C1B"/>
    <w:rsid w:val="00147226"/>
    <w:rsid w:val="00147296"/>
    <w:rsid w:val="001472FE"/>
    <w:rsid w:val="00147806"/>
    <w:rsid w:val="00147B64"/>
    <w:rsid w:val="00147CEF"/>
    <w:rsid w:val="001505A8"/>
    <w:rsid w:val="00151637"/>
    <w:rsid w:val="001517F2"/>
    <w:rsid w:val="001518EF"/>
    <w:rsid w:val="00151D39"/>
    <w:rsid w:val="001523DA"/>
    <w:rsid w:val="00152E7C"/>
    <w:rsid w:val="001532F9"/>
    <w:rsid w:val="001537FB"/>
    <w:rsid w:val="00153BB1"/>
    <w:rsid w:val="00155ACC"/>
    <w:rsid w:val="00156902"/>
    <w:rsid w:val="0015696D"/>
    <w:rsid w:val="00156B46"/>
    <w:rsid w:val="00156EAE"/>
    <w:rsid w:val="00156F9C"/>
    <w:rsid w:val="0015728F"/>
    <w:rsid w:val="00157734"/>
    <w:rsid w:val="00157822"/>
    <w:rsid w:val="00157852"/>
    <w:rsid w:val="0016054A"/>
    <w:rsid w:val="001609C4"/>
    <w:rsid w:val="00160BCA"/>
    <w:rsid w:val="00160CCA"/>
    <w:rsid w:val="00161323"/>
    <w:rsid w:val="001615A6"/>
    <w:rsid w:val="00161717"/>
    <w:rsid w:val="001618A0"/>
    <w:rsid w:val="001620A1"/>
    <w:rsid w:val="00162224"/>
    <w:rsid w:val="001625DA"/>
    <w:rsid w:val="00163425"/>
    <w:rsid w:val="0016346C"/>
    <w:rsid w:val="00163E23"/>
    <w:rsid w:val="00163FDF"/>
    <w:rsid w:val="001642AF"/>
    <w:rsid w:val="001648C8"/>
    <w:rsid w:val="00164E31"/>
    <w:rsid w:val="001658A9"/>
    <w:rsid w:val="001662C8"/>
    <w:rsid w:val="00166907"/>
    <w:rsid w:val="001675ED"/>
    <w:rsid w:val="00167713"/>
    <w:rsid w:val="00167EF7"/>
    <w:rsid w:val="0017023B"/>
    <w:rsid w:val="00170CAE"/>
    <w:rsid w:val="00170F93"/>
    <w:rsid w:val="001717BC"/>
    <w:rsid w:val="00171DCD"/>
    <w:rsid w:val="001729F5"/>
    <w:rsid w:val="00172B20"/>
    <w:rsid w:val="00172CE4"/>
    <w:rsid w:val="00173044"/>
    <w:rsid w:val="001730F7"/>
    <w:rsid w:val="00173536"/>
    <w:rsid w:val="00173C4E"/>
    <w:rsid w:val="00174070"/>
    <w:rsid w:val="00174606"/>
    <w:rsid w:val="0017488E"/>
    <w:rsid w:val="00174F0C"/>
    <w:rsid w:val="001751D7"/>
    <w:rsid w:val="0017555E"/>
    <w:rsid w:val="0017588D"/>
    <w:rsid w:val="00175EA0"/>
    <w:rsid w:val="00175F08"/>
    <w:rsid w:val="00177028"/>
    <w:rsid w:val="00177029"/>
    <w:rsid w:val="001772EC"/>
    <w:rsid w:val="00180488"/>
    <w:rsid w:val="00180D81"/>
    <w:rsid w:val="00180E8B"/>
    <w:rsid w:val="0018156D"/>
    <w:rsid w:val="001818CA"/>
    <w:rsid w:val="00181DD0"/>
    <w:rsid w:val="00182573"/>
    <w:rsid w:val="001827AA"/>
    <w:rsid w:val="00182F88"/>
    <w:rsid w:val="00183022"/>
    <w:rsid w:val="00183CFD"/>
    <w:rsid w:val="0018428E"/>
    <w:rsid w:val="00184313"/>
    <w:rsid w:val="00184703"/>
    <w:rsid w:val="00184BA3"/>
    <w:rsid w:val="00184E24"/>
    <w:rsid w:val="001854E4"/>
    <w:rsid w:val="001856C8"/>
    <w:rsid w:val="00185733"/>
    <w:rsid w:val="00185C7C"/>
    <w:rsid w:val="00185DE5"/>
    <w:rsid w:val="00186D29"/>
    <w:rsid w:val="001870ED"/>
    <w:rsid w:val="00187F18"/>
    <w:rsid w:val="00190E7C"/>
    <w:rsid w:val="001918CE"/>
    <w:rsid w:val="00192223"/>
    <w:rsid w:val="00192581"/>
    <w:rsid w:val="00192F73"/>
    <w:rsid w:val="00193DD9"/>
    <w:rsid w:val="00193F43"/>
    <w:rsid w:val="0019417C"/>
    <w:rsid w:val="00194259"/>
    <w:rsid w:val="0019498F"/>
    <w:rsid w:val="0019534C"/>
    <w:rsid w:val="00195FAA"/>
    <w:rsid w:val="001973DD"/>
    <w:rsid w:val="00197716"/>
    <w:rsid w:val="001978A8"/>
    <w:rsid w:val="00197ABE"/>
    <w:rsid w:val="00197CD7"/>
    <w:rsid w:val="001A04A8"/>
    <w:rsid w:val="001A0E27"/>
    <w:rsid w:val="001A1168"/>
    <w:rsid w:val="001A141F"/>
    <w:rsid w:val="001A1811"/>
    <w:rsid w:val="001A1910"/>
    <w:rsid w:val="001A2105"/>
    <w:rsid w:val="001A2187"/>
    <w:rsid w:val="001A24D6"/>
    <w:rsid w:val="001A2DFE"/>
    <w:rsid w:val="001A2F90"/>
    <w:rsid w:val="001A3414"/>
    <w:rsid w:val="001A39D2"/>
    <w:rsid w:val="001A3AC2"/>
    <w:rsid w:val="001A3EB0"/>
    <w:rsid w:val="001A406E"/>
    <w:rsid w:val="001A4A39"/>
    <w:rsid w:val="001A535D"/>
    <w:rsid w:val="001A7095"/>
    <w:rsid w:val="001A7192"/>
    <w:rsid w:val="001A7ABF"/>
    <w:rsid w:val="001A7C64"/>
    <w:rsid w:val="001A7DF1"/>
    <w:rsid w:val="001B1395"/>
    <w:rsid w:val="001B19FE"/>
    <w:rsid w:val="001B1D57"/>
    <w:rsid w:val="001B1D70"/>
    <w:rsid w:val="001B269E"/>
    <w:rsid w:val="001B303C"/>
    <w:rsid w:val="001B3787"/>
    <w:rsid w:val="001B3803"/>
    <w:rsid w:val="001B4014"/>
    <w:rsid w:val="001B49A7"/>
    <w:rsid w:val="001B54D1"/>
    <w:rsid w:val="001B5A09"/>
    <w:rsid w:val="001B5B61"/>
    <w:rsid w:val="001B5D29"/>
    <w:rsid w:val="001B6BF0"/>
    <w:rsid w:val="001B6C2A"/>
    <w:rsid w:val="001B6C5D"/>
    <w:rsid w:val="001B6F24"/>
    <w:rsid w:val="001B7D8C"/>
    <w:rsid w:val="001C00A6"/>
    <w:rsid w:val="001C02E9"/>
    <w:rsid w:val="001C0386"/>
    <w:rsid w:val="001C0909"/>
    <w:rsid w:val="001C0BF2"/>
    <w:rsid w:val="001C0C51"/>
    <w:rsid w:val="001C125F"/>
    <w:rsid w:val="001C12C1"/>
    <w:rsid w:val="001C13B6"/>
    <w:rsid w:val="001C14D8"/>
    <w:rsid w:val="001C1AA4"/>
    <w:rsid w:val="001C1BD2"/>
    <w:rsid w:val="001C1D03"/>
    <w:rsid w:val="001C1E9C"/>
    <w:rsid w:val="001C20D8"/>
    <w:rsid w:val="001C210B"/>
    <w:rsid w:val="001C23A0"/>
    <w:rsid w:val="001C23E7"/>
    <w:rsid w:val="001C2410"/>
    <w:rsid w:val="001C373A"/>
    <w:rsid w:val="001C37AA"/>
    <w:rsid w:val="001C3840"/>
    <w:rsid w:val="001C3DDE"/>
    <w:rsid w:val="001C3E7F"/>
    <w:rsid w:val="001C4B03"/>
    <w:rsid w:val="001C50FA"/>
    <w:rsid w:val="001C56E2"/>
    <w:rsid w:val="001C57AB"/>
    <w:rsid w:val="001C5AAA"/>
    <w:rsid w:val="001C5C0C"/>
    <w:rsid w:val="001C5D85"/>
    <w:rsid w:val="001C5DCB"/>
    <w:rsid w:val="001C5EB2"/>
    <w:rsid w:val="001C5F16"/>
    <w:rsid w:val="001C6660"/>
    <w:rsid w:val="001C714D"/>
    <w:rsid w:val="001C7CDC"/>
    <w:rsid w:val="001D040C"/>
    <w:rsid w:val="001D0424"/>
    <w:rsid w:val="001D082A"/>
    <w:rsid w:val="001D0C4A"/>
    <w:rsid w:val="001D0DD7"/>
    <w:rsid w:val="001D0F54"/>
    <w:rsid w:val="001D15FB"/>
    <w:rsid w:val="001D1CF8"/>
    <w:rsid w:val="001D1E48"/>
    <w:rsid w:val="001D280D"/>
    <w:rsid w:val="001D2BAB"/>
    <w:rsid w:val="001D30D3"/>
    <w:rsid w:val="001D3102"/>
    <w:rsid w:val="001D31A8"/>
    <w:rsid w:val="001D40C0"/>
    <w:rsid w:val="001D43A0"/>
    <w:rsid w:val="001D4A11"/>
    <w:rsid w:val="001D4E68"/>
    <w:rsid w:val="001D4FB3"/>
    <w:rsid w:val="001D5644"/>
    <w:rsid w:val="001D5D22"/>
    <w:rsid w:val="001D70ED"/>
    <w:rsid w:val="001D7CA0"/>
    <w:rsid w:val="001E00A6"/>
    <w:rsid w:val="001E0254"/>
    <w:rsid w:val="001E0706"/>
    <w:rsid w:val="001E1289"/>
    <w:rsid w:val="001E13EB"/>
    <w:rsid w:val="001E1B2F"/>
    <w:rsid w:val="001E1E05"/>
    <w:rsid w:val="001E1E53"/>
    <w:rsid w:val="001E29FF"/>
    <w:rsid w:val="001E2D10"/>
    <w:rsid w:val="001E3072"/>
    <w:rsid w:val="001E370C"/>
    <w:rsid w:val="001E38E7"/>
    <w:rsid w:val="001E3B4A"/>
    <w:rsid w:val="001E3C8F"/>
    <w:rsid w:val="001E4A6B"/>
    <w:rsid w:val="001E4A9C"/>
    <w:rsid w:val="001E4D2B"/>
    <w:rsid w:val="001E4E48"/>
    <w:rsid w:val="001E5177"/>
    <w:rsid w:val="001E56C2"/>
    <w:rsid w:val="001E5920"/>
    <w:rsid w:val="001E5B45"/>
    <w:rsid w:val="001E65DA"/>
    <w:rsid w:val="001E6693"/>
    <w:rsid w:val="001E6709"/>
    <w:rsid w:val="001E70E0"/>
    <w:rsid w:val="001E730E"/>
    <w:rsid w:val="001E7A28"/>
    <w:rsid w:val="001E7A5F"/>
    <w:rsid w:val="001E7C62"/>
    <w:rsid w:val="001E7D50"/>
    <w:rsid w:val="001E7D8C"/>
    <w:rsid w:val="001F0482"/>
    <w:rsid w:val="001F0519"/>
    <w:rsid w:val="001F07C5"/>
    <w:rsid w:val="001F0C72"/>
    <w:rsid w:val="001F11B1"/>
    <w:rsid w:val="001F12EB"/>
    <w:rsid w:val="001F2075"/>
    <w:rsid w:val="001F222A"/>
    <w:rsid w:val="001F22C8"/>
    <w:rsid w:val="001F2611"/>
    <w:rsid w:val="001F28C2"/>
    <w:rsid w:val="001F28CD"/>
    <w:rsid w:val="001F2AE7"/>
    <w:rsid w:val="001F31AD"/>
    <w:rsid w:val="001F3DD9"/>
    <w:rsid w:val="001F3F9D"/>
    <w:rsid w:val="001F4925"/>
    <w:rsid w:val="001F4F98"/>
    <w:rsid w:val="001F506F"/>
    <w:rsid w:val="001F50D1"/>
    <w:rsid w:val="001F55DA"/>
    <w:rsid w:val="001F57D4"/>
    <w:rsid w:val="001F592D"/>
    <w:rsid w:val="001F60B7"/>
    <w:rsid w:val="001F6C5A"/>
    <w:rsid w:val="001F6CFA"/>
    <w:rsid w:val="001F7055"/>
    <w:rsid w:val="001F7788"/>
    <w:rsid w:val="001F789F"/>
    <w:rsid w:val="001F79BE"/>
    <w:rsid w:val="00201545"/>
    <w:rsid w:val="00201AE8"/>
    <w:rsid w:val="00201FA7"/>
    <w:rsid w:val="00202BF4"/>
    <w:rsid w:val="002030AD"/>
    <w:rsid w:val="002031A3"/>
    <w:rsid w:val="002037AE"/>
    <w:rsid w:val="00204168"/>
    <w:rsid w:val="00205439"/>
    <w:rsid w:val="00205810"/>
    <w:rsid w:val="00205CC6"/>
    <w:rsid w:val="00206080"/>
    <w:rsid w:val="00206351"/>
    <w:rsid w:val="00206582"/>
    <w:rsid w:val="002067FC"/>
    <w:rsid w:val="002068AB"/>
    <w:rsid w:val="00206A4D"/>
    <w:rsid w:val="00206BA8"/>
    <w:rsid w:val="00207123"/>
    <w:rsid w:val="002073B2"/>
    <w:rsid w:val="002101C3"/>
    <w:rsid w:val="002101F5"/>
    <w:rsid w:val="002108D5"/>
    <w:rsid w:val="00211147"/>
    <w:rsid w:val="002116B8"/>
    <w:rsid w:val="00211AE9"/>
    <w:rsid w:val="00211C8D"/>
    <w:rsid w:val="002138FC"/>
    <w:rsid w:val="00213AD0"/>
    <w:rsid w:val="00213BBF"/>
    <w:rsid w:val="00213C0D"/>
    <w:rsid w:val="00213C46"/>
    <w:rsid w:val="00213E5B"/>
    <w:rsid w:val="00214EC8"/>
    <w:rsid w:val="00215186"/>
    <w:rsid w:val="0021553D"/>
    <w:rsid w:val="002155BB"/>
    <w:rsid w:val="00215A6E"/>
    <w:rsid w:val="00215C2B"/>
    <w:rsid w:val="00215FC6"/>
    <w:rsid w:val="002161B4"/>
    <w:rsid w:val="00216D34"/>
    <w:rsid w:val="002171B9"/>
    <w:rsid w:val="00217356"/>
    <w:rsid w:val="002175D4"/>
    <w:rsid w:val="00220241"/>
    <w:rsid w:val="00220345"/>
    <w:rsid w:val="0022076E"/>
    <w:rsid w:val="00220ECD"/>
    <w:rsid w:val="002212F7"/>
    <w:rsid w:val="0022145C"/>
    <w:rsid w:val="002215A7"/>
    <w:rsid w:val="0022179E"/>
    <w:rsid w:val="00221E68"/>
    <w:rsid w:val="002225F6"/>
    <w:rsid w:val="002230DB"/>
    <w:rsid w:val="002231F9"/>
    <w:rsid w:val="0022324C"/>
    <w:rsid w:val="00223442"/>
    <w:rsid w:val="002237B5"/>
    <w:rsid w:val="00223C6A"/>
    <w:rsid w:val="00224236"/>
    <w:rsid w:val="00224738"/>
    <w:rsid w:val="002247F1"/>
    <w:rsid w:val="0022498B"/>
    <w:rsid w:val="0022512E"/>
    <w:rsid w:val="002258E1"/>
    <w:rsid w:val="00225963"/>
    <w:rsid w:val="00225DF7"/>
    <w:rsid w:val="0022653D"/>
    <w:rsid w:val="00226840"/>
    <w:rsid w:val="002268DD"/>
    <w:rsid w:val="00226D71"/>
    <w:rsid w:val="002270AF"/>
    <w:rsid w:val="00227533"/>
    <w:rsid w:val="00227AB4"/>
    <w:rsid w:val="002300A1"/>
    <w:rsid w:val="002300CF"/>
    <w:rsid w:val="00230CE0"/>
    <w:rsid w:val="00230D13"/>
    <w:rsid w:val="002315DA"/>
    <w:rsid w:val="002324D6"/>
    <w:rsid w:val="00232D94"/>
    <w:rsid w:val="00232DBF"/>
    <w:rsid w:val="00233962"/>
    <w:rsid w:val="0023420C"/>
    <w:rsid w:val="00234429"/>
    <w:rsid w:val="0023487C"/>
    <w:rsid w:val="00234B65"/>
    <w:rsid w:val="00234CE0"/>
    <w:rsid w:val="002351D6"/>
    <w:rsid w:val="0023571B"/>
    <w:rsid w:val="002357CB"/>
    <w:rsid w:val="00235FB4"/>
    <w:rsid w:val="00236725"/>
    <w:rsid w:val="00236831"/>
    <w:rsid w:val="00236DED"/>
    <w:rsid w:val="00236E5A"/>
    <w:rsid w:val="00237268"/>
    <w:rsid w:val="002373AD"/>
    <w:rsid w:val="00237570"/>
    <w:rsid w:val="002377A7"/>
    <w:rsid w:val="00237967"/>
    <w:rsid w:val="00237A6C"/>
    <w:rsid w:val="00237F75"/>
    <w:rsid w:val="0024028F"/>
    <w:rsid w:val="00240B13"/>
    <w:rsid w:val="00240E74"/>
    <w:rsid w:val="00240EA8"/>
    <w:rsid w:val="00241378"/>
    <w:rsid w:val="00241453"/>
    <w:rsid w:val="002418B0"/>
    <w:rsid w:val="00241B4D"/>
    <w:rsid w:val="00243404"/>
    <w:rsid w:val="00243BD9"/>
    <w:rsid w:val="00243D7E"/>
    <w:rsid w:val="00243DB3"/>
    <w:rsid w:val="00243DEA"/>
    <w:rsid w:val="00244A94"/>
    <w:rsid w:val="00244CA8"/>
    <w:rsid w:val="00245C4D"/>
    <w:rsid w:val="00245DA7"/>
    <w:rsid w:val="00245DD9"/>
    <w:rsid w:val="0024603F"/>
    <w:rsid w:val="00246056"/>
    <w:rsid w:val="00246791"/>
    <w:rsid w:val="00246815"/>
    <w:rsid w:val="00246C01"/>
    <w:rsid w:val="00246DC0"/>
    <w:rsid w:val="002478DB"/>
    <w:rsid w:val="00247A28"/>
    <w:rsid w:val="00250F51"/>
    <w:rsid w:val="00251521"/>
    <w:rsid w:val="0025176A"/>
    <w:rsid w:val="002518E2"/>
    <w:rsid w:val="00251941"/>
    <w:rsid w:val="00251DCC"/>
    <w:rsid w:val="00251EDA"/>
    <w:rsid w:val="00252612"/>
    <w:rsid w:val="00252CEB"/>
    <w:rsid w:val="0025375E"/>
    <w:rsid w:val="0025421F"/>
    <w:rsid w:val="0025477B"/>
    <w:rsid w:val="00254A69"/>
    <w:rsid w:val="00254C2C"/>
    <w:rsid w:val="00254EF0"/>
    <w:rsid w:val="002556A0"/>
    <w:rsid w:val="0025598E"/>
    <w:rsid w:val="002559B2"/>
    <w:rsid w:val="002563F9"/>
    <w:rsid w:val="002564F7"/>
    <w:rsid w:val="00256E2E"/>
    <w:rsid w:val="0025700E"/>
    <w:rsid w:val="00257241"/>
    <w:rsid w:val="002572B4"/>
    <w:rsid w:val="002573CF"/>
    <w:rsid w:val="002576D8"/>
    <w:rsid w:val="00257AB9"/>
    <w:rsid w:val="00257E0D"/>
    <w:rsid w:val="00257EF8"/>
    <w:rsid w:val="00261617"/>
    <w:rsid w:val="00261657"/>
    <w:rsid w:val="00261AB0"/>
    <w:rsid w:val="00261DD6"/>
    <w:rsid w:val="002626CB"/>
    <w:rsid w:val="00263045"/>
    <w:rsid w:val="00263A0E"/>
    <w:rsid w:val="00264B0C"/>
    <w:rsid w:val="00264F49"/>
    <w:rsid w:val="00264FAB"/>
    <w:rsid w:val="00265234"/>
    <w:rsid w:val="00265247"/>
    <w:rsid w:val="00265258"/>
    <w:rsid w:val="00265674"/>
    <w:rsid w:val="00265966"/>
    <w:rsid w:val="00265F8B"/>
    <w:rsid w:val="0026625E"/>
    <w:rsid w:val="00266279"/>
    <w:rsid w:val="00266367"/>
    <w:rsid w:val="0026655E"/>
    <w:rsid w:val="00266942"/>
    <w:rsid w:val="00266A16"/>
    <w:rsid w:val="00266A43"/>
    <w:rsid w:val="002670A4"/>
    <w:rsid w:val="002672C3"/>
    <w:rsid w:val="00267A03"/>
    <w:rsid w:val="00267BED"/>
    <w:rsid w:val="00267F88"/>
    <w:rsid w:val="002707ED"/>
    <w:rsid w:val="00270CE6"/>
    <w:rsid w:val="002712DD"/>
    <w:rsid w:val="00271327"/>
    <w:rsid w:val="0027175F"/>
    <w:rsid w:val="00272381"/>
    <w:rsid w:val="002726B4"/>
    <w:rsid w:val="002731F8"/>
    <w:rsid w:val="0027321D"/>
    <w:rsid w:val="0027354D"/>
    <w:rsid w:val="002738B1"/>
    <w:rsid w:val="002747A1"/>
    <w:rsid w:val="00274908"/>
    <w:rsid w:val="002750FB"/>
    <w:rsid w:val="00275339"/>
    <w:rsid w:val="00275B4D"/>
    <w:rsid w:val="00276146"/>
    <w:rsid w:val="0027650C"/>
    <w:rsid w:val="002766EF"/>
    <w:rsid w:val="00276CF0"/>
    <w:rsid w:val="002775AA"/>
    <w:rsid w:val="002778E6"/>
    <w:rsid w:val="0028002E"/>
    <w:rsid w:val="00280599"/>
    <w:rsid w:val="00280FBB"/>
    <w:rsid w:val="0028100A"/>
    <w:rsid w:val="00281C66"/>
    <w:rsid w:val="002833F4"/>
    <w:rsid w:val="002836CE"/>
    <w:rsid w:val="00283A59"/>
    <w:rsid w:val="00283C75"/>
    <w:rsid w:val="00283D58"/>
    <w:rsid w:val="00283EFD"/>
    <w:rsid w:val="002841C0"/>
    <w:rsid w:val="0028569C"/>
    <w:rsid w:val="002858E4"/>
    <w:rsid w:val="0028597F"/>
    <w:rsid w:val="00285D53"/>
    <w:rsid w:val="00286A6E"/>
    <w:rsid w:val="00286D9A"/>
    <w:rsid w:val="00287861"/>
    <w:rsid w:val="00287A73"/>
    <w:rsid w:val="00287C4D"/>
    <w:rsid w:val="00290B58"/>
    <w:rsid w:val="00290C31"/>
    <w:rsid w:val="00291A79"/>
    <w:rsid w:val="00291C79"/>
    <w:rsid w:val="00291D7E"/>
    <w:rsid w:val="00292087"/>
    <w:rsid w:val="00292137"/>
    <w:rsid w:val="0029213A"/>
    <w:rsid w:val="00292337"/>
    <w:rsid w:val="002925F6"/>
    <w:rsid w:val="00292A8B"/>
    <w:rsid w:val="002935CB"/>
    <w:rsid w:val="00293817"/>
    <w:rsid w:val="00293C86"/>
    <w:rsid w:val="00293E47"/>
    <w:rsid w:val="00293EDF"/>
    <w:rsid w:val="002940B9"/>
    <w:rsid w:val="00294215"/>
    <w:rsid w:val="002948FE"/>
    <w:rsid w:val="00294CD9"/>
    <w:rsid w:val="00294ED0"/>
    <w:rsid w:val="0029501D"/>
    <w:rsid w:val="00295358"/>
    <w:rsid w:val="00295766"/>
    <w:rsid w:val="00295CF7"/>
    <w:rsid w:val="002966A6"/>
    <w:rsid w:val="00296C17"/>
    <w:rsid w:val="002973EC"/>
    <w:rsid w:val="00297763"/>
    <w:rsid w:val="00297AB1"/>
    <w:rsid w:val="00297F9E"/>
    <w:rsid w:val="002A021C"/>
    <w:rsid w:val="002A03EA"/>
    <w:rsid w:val="002A0E8C"/>
    <w:rsid w:val="002A154D"/>
    <w:rsid w:val="002A182D"/>
    <w:rsid w:val="002A1AEC"/>
    <w:rsid w:val="002A2071"/>
    <w:rsid w:val="002A227B"/>
    <w:rsid w:val="002A235E"/>
    <w:rsid w:val="002A2472"/>
    <w:rsid w:val="002A27B4"/>
    <w:rsid w:val="002A298D"/>
    <w:rsid w:val="002A3320"/>
    <w:rsid w:val="002A36E4"/>
    <w:rsid w:val="002A3769"/>
    <w:rsid w:val="002A41AB"/>
    <w:rsid w:val="002A41FE"/>
    <w:rsid w:val="002A4794"/>
    <w:rsid w:val="002A4BF0"/>
    <w:rsid w:val="002A4CEE"/>
    <w:rsid w:val="002A4DFD"/>
    <w:rsid w:val="002A4F9D"/>
    <w:rsid w:val="002A5067"/>
    <w:rsid w:val="002A50DE"/>
    <w:rsid w:val="002A5474"/>
    <w:rsid w:val="002A58EF"/>
    <w:rsid w:val="002A5BB2"/>
    <w:rsid w:val="002A5D43"/>
    <w:rsid w:val="002A6474"/>
    <w:rsid w:val="002A68E1"/>
    <w:rsid w:val="002A705E"/>
    <w:rsid w:val="002B011A"/>
    <w:rsid w:val="002B17F7"/>
    <w:rsid w:val="002B19A5"/>
    <w:rsid w:val="002B1DD2"/>
    <w:rsid w:val="002B23B5"/>
    <w:rsid w:val="002B27E2"/>
    <w:rsid w:val="002B27F7"/>
    <w:rsid w:val="002B2E50"/>
    <w:rsid w:val="002B2FFA"/>
    <w:rsid w:val="002B35F3"/>
    <w:rsid w:val="002B3726"/>
    <w:rsid w:val="002B3A46"/>
    <w:rsid w:val="002B3D8C"/>
    <w:rsid w:val="002B400F"/>
    <w:rsid w:val="002B4530"/>
    <w:rsid w:val="002B47EC"/>
    <w:rsid w:val="002B4CC3"/>
    <w:rsid w:val="002B5205"/>
    <w:rsid w:val="002B5874"/>
    <w:rsid w:val="002B591F"/>
    <w:rsid w:val="002B667A"/>
    <w:rsid w:val="002B69E4"/>
    <w:rsid w:val="002B6AD5"/>
    <w:rsid w:val="002B71E3"/>
    <w:rsid w:val="002B736F"/>
    <w:rsid w:val="002B74DA"/>
    <w:rsid w:val="002B7BE5"/>
    <w:rsid w:val="002C0F81"/>
    <w:rsid w:val="002C1835"/>
    <w:rsid w:val="002C1DE6"/>
    <w:rsid w:val="002C2439"/>
    <w:rsid w:val="002C2CCB"/>
    <w:rsid w:val="002C35CD"/>
    <w:rsid w:val="002C36F3"/>
    <w:rsid w:val="002C3CC2"/>
    <w:rsid w:val="002C4CCE"/>
    <w:rsid w:val="002C4D6D"/>
    <w:rsid w:val="002C5383"/>
    <w:rsid w:val="002C6534"/>
    <w:rsid w:val="002C6C5C"/>
    <w:rsid w:val="002C6CF3"/>
    <w:rsid w:val="002C6ECC"/>
    <w:rsid w:val="002C71BB"/>
    <w:rsid w:val="002C73E4"/>
    <w:rsid w:val="002C74A4"/>
    <w:rsid w:val="002C75B5"/>
    <w:rsid w:val="002C7626"/>
    <w:rsid w:val="002C7784"/>
    <w:rsid w:val="002D04BC"/>
    <w:rsid w:val="002D0DF5"/>
    <w:rsid w:val="002D1362"/>
    <w:rsid w:val="002D1675"/>
    <w:rsid w:val="002D16AA"/>
    <w:rsid w:val="002D27F2"/>
    <w:rsid w:val="002D284A"/>
    <w:rsid w:val="002D33A2"/>
    <w:rsid w:val="002D34C3"/>
    <w:rsid w:val="002D36B3"/>
    <w:rsid w:val="002D3A27"/>
    <w:rsid w:val="002D3C5B"/>
    <w:rsid w:val="002D3FA3"/>
    <w:rsid w:val="002D431A"/>
    <w:rsid w:val="002D4794"/>
    <w:rsid w:val="002D4A74"/>
    <w:rsid w:val="002D4B19"/>
    <w:rsid w:val="002D4BF3"/>
    <w:rsid w:val="002D5085"/>
    <w:rsid w:val="002D547D"/>
    <w:rsid w:val="002D553C"/>
    <w:rsid w:val="002D5563"/>
    <w:rsid w:val="002D5D56"/>
    <w:rsid w:val="002D5FE4"/>
    <w:rsid w:val="002D6337"/>
    <w:rsid w:val="002D68DF"/>
    <w:rsid w:val="002D6914"/>
    <w:rsid w:val="002D69EA"/>
    <w:rsid w:val="002D6B86"/>
    <w:rsid w:val="002D6C7D"/>
    <w:rsid w:val="002D6FE2"/>
    <w:rsid w:val="002D7126"/>
    <w:rsid w:val="002D762E"/>
    <w:rsid w:val="002D7696"/>
    <w:rsid w:val="002D7946"/>
    <w:rsid w:val="002D7C22"/>
    <w:rsid w:val="002D7E02"/>
    <w:rsid w:val="002D7EB0"/>
    <w:rsid w:val="002E00B8"/>
    <w:rsid w:val="002E00EF"/>
    <w:rsid w:val="002E059E"/>
    <w:rsid w:val="002E0A88"/>
    <w:rsid w:val="002E0C54"/>
    <w:rsid w:val="002E0E7A"/>
    <w:rsid w:val="002E135A"/>
    <w:rsid w:val="002E1743"/>
    <w:rsid w:val="002E1923"/>
    <w:rsid w:val="002E1CA3"/>
    <w:rsid w:val="002E200C"/>
    <w:rsid w:val="002E281A"/>
    <w:rsid w:val="002E2CD9"/>
    <w:rsid w:val="002E2D31"/>
    <w:rsid w:val="002E3306"/>
    <w:rsid w:val="002E3330"/>
    <w:rsid w:val="002E338E"/>
    <w:rsid w:val="002E33F8"/>
    <w:rsid w:val="002E3621"/>
    <w:rsid w:val="002E3AF8"/>
    <w:rsid w:val="002E4154"/>
    <w:rsid w:val="002E41E6"/>
    <w:rsid w:val="002E44CB"/>
    <w:rsid w:val="002E4892"/>
    <w:rsid w:val="002E4E49"/>
    <w:rsid w:val="002E5087"/>
    <w:rsid w:val="002E52EA"/>
    <w:rsid w:val="002E54C2"/>
    <w:rsid w:val="002E5973"/>
    <w:rsid w:val="002E5D06"/>
    <w:rsid w:val="002E5F37"/>
    <w:rsid w:val="002E6B8F"/>
    <w:rsid w:val="002E7059"/>
    <w:rsid w:val="002E7201"/>
    <w:rsid w:val="002E746F"/>
    <w:rsid w:val="002E7C43"/>
    <w:rsid w:val="002F1771"/>
    <w:rsid w:val="002F1AF7"/>
    <w:rsid w:val="002F1CFC"/>
    <w:rsid w:val="002F2661"/>
    <w:rsid w:val="002F2662"/>
    <w:rsid w:val="002F2859"/>
    <w:rsid w:val="002F2CCA"/>
    <w:rsid w:val="002F3187"/>
    <w:rsid w:val="002F3E44"/>
    <w:rsid w:val="002F3E74"/>
    <w:rsid w:val="002F42A5"/>
    <w:rsid w:val="002F4A2F"/>
    <w:rsid w:val="002F4E15"/>
    <w:rsid w:val="002F4E16"/>
    <w:rsid w:val="002F53F2"/>
    <w:rsid w:val="002F58CD"/>
    <w:rsid w:val="002F602D"/>
    <w:rsid w:val="002F639F"/>
    <w:rsid w:val="002F6B44"/>
    <w:rsid w:val="002F6C57"/>
    <w:rsid w:val="002F6F87"/>
    <w:rsid w:val="002F707E"/>
    <w:rsid w:val="002F7226"/>
    <w:rsid w:val="002F7721"/>
    <w:rsid w:val="0030049A"/>
    <w:rsid w:val="0030079B"/>
    <w:rsid w:val="00300F42"/>
    <w:rsid w:val="00300FDB"/>
    <w:rsid w:val="003010AB"/>
    <w:rsid w:val="003015F2"/>
    <w:rsid w:val="003019B0"/>
    <w:rsid w:val="0030237E"/>
    <w:rsid w:val="003025ED"/>
    <w:rsid w:val="00302794"/>
    <w:rsid w:val="00303192"/>
    <w:rsid w:val="00303881"/>
    <w:rsid w:val="00304919"/>
    <w:rsid w:val="00304E81"/>
    <w:rsid w:val="00305248"/>
    <w:rsid w:val="003055E8"/>
    <w:rsid w:val="00305AE4"/>
    <w:rsid w:val="00305B56"/>
    <w:rsid w:val="00305CAF"/>
    <w:rsid w:val="0030609C"/>
    <w:rsid w:val="00306763"/>
    <w:rsid w:val="00306A54"/>
    <w:rsid w:val="00306DDC"/>
    <w:rsid w:val="00306E76"/>
    <w:rsid w:val="003077BF"/>
    <w:rsid w:val="003079E5"/>
    <w:rsid w:val="00307A8C"/>
    <w:rsid w:val="003103E0"/>
    <w:rsid w:val="00310593"/>
    <w:rsid w:val="00310626"/>
    <w:rsid w:val="00310DE0"/>
    <w:rsid w:val="00311204"/>
    <w:rsid w:val="00311EBD"/>
    <w:rsid w:val="00312A7E"/>
    <w:rsid w:val="00312EC9"/>
    <w:rsid w:val="00312F3C"/>
    <w:rsid w:val="003135B3"/>
    <w:rsid w:val="0031422F"/>
    <w:rsid w:val="00314570"/>
    <w:rsid w:val="00314C44"/>
    <w:rsid w:val="0031517A"/>
    <w:rsid w:val="003151F4"/>
    <w:rsid w:val="0031531F"/>
    <w:rsid w:val="003166EE"/>
    <w:rsid w:val="003168A6"/>
    <w:rsid w:val="00316BB3"/>
    <w:rsid w:val="00317A82"/>
    <w:rsid w:val="00317BCC"/>
    <w:rsid w:val="003201C0"/>
    <w:rsid w:val="00320816"/>
    <w:rsid w:val="00320874"/>
    <w:rsid w:val="003210E0"/>
    <w:rsid w:val="003210F0"/>
    <w:rsid w:val="00321497"/>
    <w:rsid w:val="00321628"/>
    <w:rsid w:val="00321872"/>
    <w:rsid w:val="00321C4C"/>
    <w:rsid w:val="003224E5"/>
    <w:rsid w:val="003226D3"/>
    <w:rsid w:val="003226E3"/>
    <w:rsid w:val="00322B6C"/>
    <w:rsid w:val="00322CF0"/>
    <w:rsid w:val="00322E24"/>
    <w:rsid w:val="00323668"/>
    <w:rsid w:val="0032382A"/>
    <w:rsid w:val="00323B7B"/>
    <w:rsid w:val="0032486D"/>
    <w:rsid w:val="003249DF"/>
    <w:rsid w:val="00325360"/>
    <w:rsid w:val="003255DC"/>
    <w:rsid w:val="003257CB"/>
    <w:rsid w:val="00325A41"/>
    <w:rsid w:val="00325BAB"/>
    <w:rsid w:val="0032648E"/>
    <w:rsid w:val="00326575"/>
    <w:rsid w:val="00326E46"/>
    <w:rsid w:val="00330356"/>
    <w:rsid w:val="00330BB1"/>
    <w:rsid w:val="00330D1C"/>
    <w:rsid w:val="003312AC"/>
    <w:rsid w:val="003314A1"/>
    <w:rsid w:val="0033165C"/>
    <w:rsid w:val="00331BA7"/>
    <w:rsid w:val="00331DF7"/>
    <w:rsid w:val="00332880"/>
    <w:rsid w:val="00332902"/>
    <w:rsid w:val="00333111"/>
    <w:rsid w:val="003331C8"/>
    <w:rsid w:val="0033367D"/>
    <w:rsid w:val="003337F4"/>
    <w:rsid w:val="00333833"/>
    <w:rsid w:val="0033416F"/>
    <w:rsid w:val="00334B3F"/>
    <w:rsid w:val="00334EA2"/>
    <w:rsid w:val="003351B9"/>
    <w:rsid w:val="00335384"/>
    <w:rsid w:val="003358D0"/>
    <w:rsid w:val="00336288"/>
    <w:rsid w:val="00336623"/>
    <w:rsid w:val="00336D0C"/>
    <w:rsid w:val="0033740E"/>
    <w:rsid w:val="003375D8"/>
    <w:rsid w:val="003376A0"/>
    <w:rsid w:val="00337A93"/>
    <w:rsid w:val="00337D94"/>
    <w:rsid w:val="00340122"/>
    <w:rsid w:val="003408AF"/>
    <w:rsid w:val="00340D8F"/>
    <w:rsid w:val="003410AF"/>
    <w:rsid w:val="0034132A"/>
    <w:rsid w:val="0034193C"/>
    <w:rsid w:val="00342069"/>
    <w:rsid w:val="003422C8"/>
    <w:rsid w:val="00342640"/>
    <w:rsid w:val="00342951"/>
    <w:rsid w:val="00342AD1"/>
    <w:rsid w:val="00342CEE"/>
    <w:rsid w:val="0034322B"/>
    <w:rsid w:val="003433C5"/>
    <w:rsid w:val="00343909"/>
    <w:rsid w:val="00343AD6"/>
    <w:rsid w:val="00343F2A"/>
    <w:rsid w:val="003444D7"/>
    <w:rsid w:val="00344655"/>
    <w:rsid w:val="00344902"/>
    <w:rsid w:val="00344E15"/>
    <w:rsid w:val="0034511A"/>
    <w:rsid w:val="0034526D"/>
    <w:rsid w:val="003453A0"/>
    <w:rsid w:val="00345809"/>
    <w:rsid w:val="00346842"/>
    <w:rsid w:val="00346A32"/>
    <w:rsid w:val="00346D16"/>
    <w:rsid w:val="00346EA1"/>
    <w:rsid w:val="003500BC"/>
    <w:rsid w:val="003504E5"/>
    <w:rsid w:val="00350ECC"/>
    <w:rsid w:val="003510A0"/>
    <w:rsid w:val="0035129E"/>
    <w:rsid w:val="0035156A"/>
    <w:rsid w:val="00351618"/>
    <w:rsid w:val="003520E1"/>
    <w:rsid w:val="0035248C"/>
    <w:rsid w:val="003524A0"/>
    <w:rsid w:val="0035291E"/>
    <w:rsid w:val="00352967"/>
    <w:rsid w:val="003532E4"/>
    <w:rsid w:val="00353EA2"/>
    <w:rsid w:val="00354069"/>
    <w:rsid w:val="00354152"/>
    <w:rsid w:val="00355BB0"/>
    <w:rsid w:val="0035649C"/>
    <w:rsid w:val="0035671C"/>
    <w:rsid w:val="003568A4"/>
    <w:rsid w:val="00356BFA"/>
    <w:rsid w:val="00357486"/>
    <w:rsid w:val="00357B8A"/>
    <w:rsid w:val="00357C76"/>
    <w:rsid w:val="00357ED5"/>
    <w:rsid w:val="0036073B"/>
    <w:rsid w:val="0036076D"/>
    <w:rsid w:val="00360ADC"/>
    <w:rsid w:val="00360C5C"/>
    <w:rsid w:val="003620A2"/>
    <w:rsid w:val="0036247D"/>
    <w:rsid w:val="00362711"/>
    <w:rsid w:val="003627F1"/>
    <w:rsid w:val="00362895"/>
    <w:rsid w:val="003635A2"/>
    <w:rsid w:val="00363A65"/>
    <w:rsid w:val="00363B6A"/>
    <w:rsid w:val="00363E06"/>
    <w:rsid w:val="00363F1D"/>
    <w:rsid w:val="0036412D"/>
    <w:rsid w:val="00364369"/>
    <w:rsid w:val="003643F7"/>
    <w:rsid w:val="00365A0C"/>
    <w:rsid w:val="00365AA9"/>
    <w:rsid w:val="00365AF1"/>
    <w:rsid w:val="00365CA7"/>
    <w:rsid w:val="00365EBB"/>
    <w:rsid w:val="00366003"/>
    <w:rsid w:val="003670E3"/>
    <w:rsid w:val="00367368"/>
    <w:rsid w:val="003675A9"/>
    <w:rsid w:val="0036785E"/>
    <w:rsid w:val="003678F3"/>
    <w:rsid w:val="00367C17"/>
    <w:rsid w:val="00367DDB"/>
    <w:rsid w:val="00367EAA"/>
    <w:rsid w:val="00370222"/>
    <w:rsid w:val="00370A90"/>
    <w:rsid w:val="00370DA2"/>
    <w:rsid w:val="00370DD9"/>
    <w:rsid w:val="00370E39"/>
    <w:rsid w:val="00371417"/>
    <w:rsid w:val="00371999"/>
    <w:rsid w:val="003719B6"/>
    <w:rsid w:val="00371E2C"/>
    <w:rsid w:val="00371E51"/>
    <w:rsid w:val="00371F84"/>
    <w:rsid w:val="00371FB3"/>
    <w:rsid w:val="003723DC"/>
    <w:rsid w:val="00372A5E"/>
    <w:rsid w:val="0037438C"/>
    <w:rsid w:val="003743FE"/>
    <w:rsid w:val="00374448"/>
    <w:rsid w:val="00374592"/>
    <w:rsid w:val="00374E87"/>
    <w:rsid w:val="0037578D"/>
    <w:rsid w:val="003760BD"/>
    <w:rsid w:val="003761D9"/>
    <w:rsid w:val="003769AC"/>
    <w:rsid w:val="00376E9B"/>
    <w:rsid w:val="003770E4"/>
    <w:rsid w:val="003773EC"/>
    <w:rsid w:val="003776C3"/>
    <w:rsid w:val="00380203"/>
    <w:rsid w:val="003804EF"/>
    <w:rsid w:val="00380782"/>
    <w:rsid w:val="003808B9"/>
    <w:rsid w:val="00381452"/>
    <w:rsid w:val="003817D9"/>
    <w:rsid w:val="00381DB6"/>
    <w:rsid w:val="0038229F"/>
    <w:rsid w:val="00382644"/>
    <w:rsid w:val="00382A59"/>
    <w:rsid w:val="00382AF2"/>
    <w:rsid w:val="00383065"/>
    <w:rsid w:val="00383193"/>
    <w:rsid w:val="0038373D"/>
    <w:rsid w:val="00384399"/>
    <w:rsid w:val="00384A6C"/>
    <w:rsid w:val="00385587"/>
    <w:rsid w:val="00385833"/>
    <w:rsid w:val="00385D8F"/>
    <w:rsid w:val="0038622B"/>
    <w:rsid w:val="00386669"/>
    <w:rsid w:val="00386895"/>
    <w:rsid w:val="00386B8F"/>
    <w:rsid w:val="00386CFC"/>
    <w:rsid w:val="00387FFC"/>
    <w:rsid w:val="00390E73"/>
    <w:rsid w:val="003915F8"/>
    <w:rsid w:val="003919A2"/>
    <w:rsid w:val="00391A13"/>
    <w:rsid w:val="00391FEA"/>
    <w:rsid w:val="00392632"/>
    <w:rsid w:val="00392F48"/>
    <w:rsid w:val="00393127"/>
    <w:rsid w:val="0039349D"/>
    <w:rsid w:val="00393B15"/>
    <w:rsid w:val="00394801"/>
    <w:rsid w:val="0039480C"/>
    <w:rsid w:val="003948B0"/>
    <w:rsid w:val="00394A11"/>
    <w:rsid w:val="00394B2C"/>
    <w:rsid w:val="00394D08"/>
    <w:rsid w:val="00395174"/>
    <w:rsid w:val="00395329"/>
    <w:rsid w:val="00395993"/>
    <w:rsid w:val="00395BCD"/>
    <w:rsid w:val="00395CA1"/>
    <w:rsid w:val="00395FF7"/>
    <w:rsid w:val="00396CDD"/>
    <w:rsid w:val="003A0025"/>
    <w:rsid w:val="003A0224"/>
    <w:rsid w:val="003A039E"/>
    <w:rsid w:val="003A082D"/>
    <w:rsid w:val="003A0950"/>
    <w:rsid w:val="003A0C12"/>
    <w:rsid w:val="003A1215"/>
    <w:rsid w:val="003A13DB"/>
    <w:rsid w:val="003A1572"/>
    <w:rsid w:val="003A1BDA"/>
    <w:rsid w:val="003A1D96"/>
    <w:rsid w:val="003A2508"/>
    <w:rsid w:val="003A25A1"/>
    <w:rsid w:val="003A2E6D"/>
    <w:rsid w:val="003A3101"/>
    <w:rsid w:val="003A36E3"/>
    <w:rsid w:val="003A37F0"/>
    <w:rsid w:val="003A4D1D"/>
    <w:rsid w:val="003A4DA8"/>
    <w:rsid w:val="003A4FC3"/>
    <w:rsid w:val="003A5AB1"/>
    <w:rsid w:val="003A5BAB"/>
    <w:rsid w:val="003A6664"/>
    <w:rsid w:val="003A780D"/>
    <w:rsid w:val="003B0615"/>
    <w:rsid w:val="003B1A1D"/>
    <w:rsid w:val="003B1FCB"/>
    <w:rsid w:val="003B250F"/>
    <w:rsid w:val="003B272F"/>
    <w:rsid w:val="003B2825"/>
    <w:rsid w:val="003B283F"/>
    <w:rsid w:val="003B2958"/>
    <w:rsid w:val="003B335F"/>
    <w:rsid w:val="003B3520"/>
    <w:rsid w:val="003B356B"/>
    <w:rsid w:val="003B3609"/>
    <w:rsid w:val="003B456C"/>
    <w:rsid w:val="003B45CC"/>
    <w:rsid w:val="003B4C2B"/>
    <w:rsid w:val="003B59B2"/>
    <w:rsid w:val="003B5DA5"/>
    <w:rsid w:val="003B61B4"/>
    <w:rsid w:val="003B63AA"/>
    <w:rsid w:val="003B684B"/>
    <w:rsid w:val="003B744C"/>
    <w:rsid w:val="003B7C81"/>
    <w:rsid w:val="003B7F8A"/>
    <w:rsid w:val="003C0C07"/>
    <w:rsid w:val="003C274F"/>
    <w:rsid w:val="003C2C90"/>
    <w:rsid w:val="003C34FD"/>
    <w:rsid w:val="003C3D3A"/>
    <w:rsid w:val="003C4B17"/>
    <w:rsid w:val="003C4E62"/>
    <w:rsid w:val="003C5672"/>
    <w:rsid w:val="003C5675"/>
    <w:rsid w:val="003C5956"/>
    <w:rsid w:val="003C5ED3"/>
    <w:rsid w:val="003C6299"/>
    <w:rsid w:val="003C66A0"/>
    <w:rsid w:val="003C6717"/>
    <w:rsid w:val="003C68D5"/>
    <w:rsid w:val="003C71E0"/>
    <w:rsid w:val="003C79A5"/>
    <w:rsid w:val="003D0077"/>
    <w:rsid w:val="003D0098"/>
    <w:rsid w:val="003D05A4"/>
    <w:rsid w:val="003D07E4"/>
    <w:rsid w:val="003D0850"/>
    <w:rsid w:val="003D08AE"/>
    <w:rsid w:val="003D09DB"/>
    <w:rsid w:val="003D10CE"/>
    <w:rsid w:val="003D1E70"/>
    <w:rsid w:val="003D1EED"/>
    <w:rsid w:val="003D1FE2"/>
    <w:rsid w:val="003D2231"/>
    <w:rsid w:val="003D2521"/>
    <w:rsid w:val="003D2527"/>
    <w:rsid w:val="003D256F"/>
    <w:rsid w:val="003D2677"/>
    <w:rsid w:val="003D2933"/>
    <w:rsid w:val="003D299A"/>
    <w:rsid w:val="003D29D3"/>
    <w:rsid w:val="003D2BAA"/>
    <w:rsid w:val="003D2E6D"/>
    <w:rsid w:val="003D3130"/>
    <w:rsid w:val="003D3354"/>
    <w:rsid w:val="003D3457"/>
    <w:rsid w:val="003D3489"/>
    <w:rsid w:val="003D3DB7"/>
    <w:rsid w:val="003D403C"/>
    <w:rsid w:val="003D4537"/>
    <w:rsid w:val="003D46D0"/>
    <w:rsid w:val="003D585C"/>
    <w:rsid w:val="003D5A29"/>
    <w:rsid w:val="003D5B05"/>
    <w:rsid w:val="003D5D3A"/>
    <w:rsid w:val="003D6A7E"/>
    <w:rsid w:val="003D6E8A"/>
    <w:rsid w:val="003D769F"/>
    <w:rsid w:val="003E09F3"/>
    <w:rsid w:val="003E0AAC"/>
    <w:rsid w:val="003E0CE5"/>
    <w:rsid w:val="003E1297"/>
    <w:rsid w:val="003E1B0C"/>
    <w:rsid w:val="003E1B2D"/>
    <w:rsid w:val="003E21FF"/>
    <w:rsid w:val="003E2259"/>
    <w:rsid w:val="003E2748"/>
    <w:rsid w:val="003E2A1B"/>
    <w:rsid w:val="003E2B92"/>
    <w:rsid w:val="003E3313"/>
    <w:rsid w:val="003E34C8"/>
    <w:rsid w:val="003E3869"/>
    <w:rsid w:val="003E3A05"/>
    <w:rsid w:val="003E3ACF"/>
    <w:rsid w:val="003E3D86"/>
    <w:rsid w:val="003E4AE1"/>
    <w:rsid w:val="003E4B3A"/>
    <w:rsid w:val="003E5228"/>
    <w:rsid w:val="003E53C0"/>
    <w:rsid w:val="003E5535"/>
    <w:rsid w:val="003E5DB8"/>
    <w:rsid w:val="003E6C0E"/>
    <w:rsid w:val="003E70ED"/>
    <w:rsid w:val="003E7862"/>
    <w:rsid w:val="003E7D0D"/>
    <w:rsid w:val="003E7F52"/>
    <w:rsid w:val="003E7FFE"/>
    <w:rsid w:val="003F06DF"/>
    <w:rsid w:val="003F081A"/>
    <w:rsid w:val="003F095F"/>
    <w:rsid w:val="003F2AE2"/>
    <w:rsid w:val="003F32A9"/>
    <w:rsid w:val="003F37F6"/>
    <w:rsid w:val="003F3A48"/>
    <w:rsid w:val="003F4DE6"/>
    <w:rsid w:val="003F4ED2"/>
    <w:rsid w:val="003F54C3"/>
    <w:rsid w:val="003F578A"/>
    <w:rsid w:val="003F59E0"/>
    <w:rsid w:val="003F5F14"/>
    <w:rsid w:val="003F69E1"/>
    <w:rsid w:val="003F717C"/>
    <w:rsid w:val="003F743D"/>
    <w:rsid w:val="003F79BE"/>
    <w:rsid w:val="003F7B08"/>
    <w:rsid w:val="004000CE"/>
    <w:rsid w:val="004002C8"/>
    <w:rsid w:val="0040060C"/>
    <w:rsid w:val="00400745"/>
    <w:rsid w:val="0040083C"/>
    <w:rsid w:val="00401C55"/>
    <w:rsid w:val="00402368"/>
    <w:rsid w:val="0040287B"/>
    <w:rsid w:val="004029CC"/>
    <w:rsid w:val="00402B10"/>
    <w:rsid w:val="00402BB8"/>
    <w:rsid w:val="004030C5"/>
    <w:rsid w:val="00403202"/>
    <w:rsid w:val="004039CB"/>
    <w:rsid w:val="004042A1"/>
    <w:rsid w:val="00404389"/>
    <w:rsid w:val="0040463D"/>
    <w:rsid w:val="00404807"/>
    <w:rsid w:val="00404D56"/>
    <w:rsid w:val="00405412"/>
    <w:rsid w:val="00405644"/>
    <w:rsid w:val="00405855"/>
    <w:rsid w:val="00405C88"/>
    <w:rsid w:val="0040619C"/>
    <w:rsid w:val="0040632E"/>
    <w:rsid w:val="004067D3"/>
    <w:rsid w:val="00406932"/>
    <w:rsid w:val="00406BBB"/>
    <w:rsid w:val="0040715A"/>
    <w:rsid w:val="00407C3A"/>
    <w:rsid w:val="004100AC"/>
    <w:rsid w:val="004125FD"/>
    <w:rsid w:val="0041283F"/>
    <w:rsid w:val="00412BF7"/>
    <w:rsid w:val="00412EBC"/>
    <w:rsid w:val="004137B1"/>
    <w:rsid w:val="00414606"/>
    <w:rsid w:val="00414AF9"/>
    <w:rsid w:val="0041596C"/>
    <w:rsid w:val="00415D2D"/>
    <w:rsid w:val="004162CE"/>
    <w:rsid w:val="00416864"/>
    <w:rsid w:val="00416DF6"/>
    <w:rsid w:val="0041791C"/>
    <w:rsid w:val="004179D5"/>
    <w:rsid w:val="00420297"/>
    <w:rsid w:val="004207B5"/>
    <w:rsid w:val="00421152"/>
    <w:rsid w:val="0042177F"/>
    <w:rsid w:val="00421B0F"/>
    <w:rsid w:val="00421BD7"/>
    <w:rsid w:val="00422049"/>
    <w:rsid w:val="0042227D"/>
    <w:rsid w:val="00422F89"/>
    <w:rsid w:val="00423838"/>
    <w:rsid w:val="00423B6D"/>
    <w:rsid w:val="00423C07"/>
    <w:rsid w:val="004247FB"/>
    <w:rsid w:val="00424BA1"/>
    <w:rsid w:val="00424D30"/>
    <w:rsid w:val="00425FCB"/>
    <w:rsid w:val="004264F0"/>
    <w:rsid w:val="004272A4"/>
    <w:rsid w:val="004272C7"/>
    <w:rsid w:val="004302DF"/>
    <w:rsid w:val="0043047A"/>
    <w:rsid w:val="0043047E"/>
    <w:rsid w:val="0043071B"/>
    <w:rsid w:val="00430743"/>
    <w:rsid w:val="00430C4F"/>
    <w:rsid w:val="00430E8A"/>
    <w:rsid w:val="00430FEB"/>
    <w:rsid w:val="00431822"/>
    <w:rsid w:val="00431DC2"/>
    <w:rsid w:val="00431F26"/>
    <w:rsid w:val="004323F7"/>
    <w:rsid w:val="0043259C"/>
    <w:rsid w:val="00433059"/>
    <w:rsid w:val="00433144"/>
    <w:rsid w:val="004337B3"/>
    <w:rsid w:val="00433C54"/>
    <w:rsid w:val="00433D09"/>
    <w:rsid w:val="0043409D"/>
    <w:rsid w:val="00435082"/>
    <w:rsid w:val="00435C12"/>
    <w:rsid w:val="00436403"/>
    <w:rsid w:val="00436C8C"/>
    <w:rsid w:val="00436D65"/>
    <w:rsid w:val="00436E03"/>
    <w:rsid w:val="00437605"/>
    <w:rsid w:val="0043795C"/>
    <w:rsid w:val="00437D2E"/>
    <w:rsid w:val="0044062A"/>
    <w:rsid w:val="00440918"/>
    <w:rsid w:val="00442175"/>
    <w:rsid w:val="004425CF"/>
    <w:rsid w:val="00442FEF"/>
    <w:rsid w:val="004438CE"/>
    <w:rsid w:val="00443AD3"/>
    <w:rsid w:val="0044567F"/>
    <w:rsid w:val="004458E5"/>
    <w:rsid w:val="00445AA0"/>
    <w:rsid w:val="00445DBF"/>
    <w:rsid w:val="00446270"/>
    <w:rsid w:val="0044673C"/>
    <w:rsid w:val="00446BD3"/>
    <w:rsid w:val="00446D79"/>
    <w:rsid w:val="00446DB1"/>
    <w:rsid w:val="00447114"/>
    <w:rsid w:val="004472F4"/>
    <w:rsid w:val="00447BBA"/>
    <w:rsid w:val="00447D40"/>
    <w:rsid w:val="00447EB0"/>
    <w:rsid w:val="00451065"/>
    <w:rsid w:val="00451896"/>
    <w:rsid w:val="00451C02"/>
    <w:rsid w:val="00451FAE"/>
    <w:rsid w:val="004524AF"/>
    <w:rsid w:val="00452808"/>
    <w:rsid w:val="00452FB0"/>
    <w:rsid w:val="0045305C"/>
    <w:rsid w:val="00453076"/>
    <w:rsid w:val="00453083"/>
    <w:rsid w:val="00453466"/>
    <w:rsid w:val="00453621"/>
    <w:rsid w:val="0045375C"/>
    <w:rsid w:val="00453C5F"/>
    <w:rsid w:val="00454221"/>
    <w:rsid w:val="004547EF"/>
    <w:rsid w:val="00454DFF"/>
    <w:rsid w:val="00455300"/>
    <w:rsid w:val="004553E6"/>
    <w:rsid w:val="00455A0C"/>
    <w:rsid w:val="00455CCC"/>
    <w:rsid w:val="00455D65"/>
    <w:rsid w:val="00455E53"/>
    <w:rsid w:val="004572EA"/>
    <w:rsid w:val="004614CF"/>
    <w:rsid w:val="004615A4"/>
    <w:rsid w:val="0046176F"/>
    <w:rsid w:val="004618B5"/>
    <w:rsid w:val="00461B62"/>
    <w:rsid w:val="0046221B"/>
    <w:rsid w:val="004625F8"/>
    <w:rsid w:val="0046272B"/>
    <w:rsid w:val="004629AD"/>
    <w:rsid w:val="00462B60"/>
    <w:rsid w:val="00462DA3"/>
    <w:rsid w:val="00463293"/>
    <w:rsid w:val="00463374"/>
    <w:rsid w:val="004636FD"/>
    <w:rsid w:val="00463867"/>
    <w:rsid w:val="00463C14"/>
    <w:rsid w:val="00464006"/>
    <w:rsid w:val="00464D64"/>
    <w:rsid w:val="0046574B"/>
    <w:rsid w:val="004659F6"/>
    <w:rsid w:val="00465C19"/>
    <w:rsid w:val="00465E7E"/>
    <w:rsid w:val="00465F87"/>
    <w:rsid w:val="00466433"/>
    <w:rsid w:val="0046643D"/>
    <w:rsid w:val="00466B1D"/>
    <w:rsid w:val="004708BA"/>
    <w:rsid w:val="004711DD"/>
    <w:rsid w:val="00471798"/>
    <w:rsid w:val="00471A36"/>
    <w:rsid w:val="0047208B"/>
    <w:rsid w:val="004721BD"/>
    <w:rsid w:val="004721D9"/>
    <w:rsid w:val="00472682"/>
    <w:rsid w:val="004736AD"/>
    <w:rsid w:val="00473BC1"/>
    <w:rsid w:val="00474205"/>
    <w:rsid w:val="004743DC"/>
    <w:rsid w:val="00474B71"/>
    <w:rsid w:val="004750E1"/>
    <w:rsid w:val="00475312"/>
    <w:rsid w:val="004753C8"/>
    <w:rsid w:val="00475681"/>
    <w:rsid w:val="0047606E"/>
    <w:rsid w:val="004760AD"/>
    <w:rsid w:val="004766AD"/>
    <w:rsid w:val="00477123"/>
    <w:rsid w:val="00477B1D"/>
    <w:rsid w:val="00477FD9"/>
    <w:rsid w:val="00480FFA"/>
    <w:rsid w:val="0048174D"/>
    <w:rsid w:val="0048189E"/>
    <w:rsid w:val="00481B68"/>
    <w:rsid w:val="00481EBF"/>
    <w:rsid w:val="00482400"/>
    <w:rsid w:val="0048242B"/>
    <w:rsid w:val="00482452"/>
    <w:rsid w:val="00482D1A"/>
    <w:rsid w:val="00483B8A"/>
    <w:rsid w:val="00483BC7"/>
    <w:rsid w:val="00483C28"/>
    <w:rsid w:val="00483E1B"/>
    <w:rsid w:val="00483F8C"/>
    <w:rsid w:val="00484180"/>
    <w:rsid w:val="00484183"/>
    <w:rsid w:val="00484CC5"/>
    <w:rsid w:val="0048513D"/>
    <w:rsid w:val="00485650"/>
    <w:rsid w:val="00485927"/>
    <w:rsid w:val="00485C65"/>
    <w:rsid w:val="00486149"/>
    <w:rsid w:val="0048694A"/>
    <w:rsid w:val="004869E5"/>
    <w:rsid w:val="00486E22"/>
    <w:rsid w:val="004879B8"/>
    <w:rsid w:val="00487B27"/>
    <w:rsid w:val="0049000A"/>
    <w:rsid w:val="00490404"/>
    <w:rsid w:val="004904BC"/>
    <w:rsid w:val="004908D5"/>
    <w:rsid w:val="00490B52"/>
    <w:rsid w:val="00490DA4"/>
    <w:rsid w:val="00491159"/>
    <w:rsid w:val="004914C7"/>
    <w:rsid w:val="0049157F"/>
    <w:rsid w:val="0049161F"/>
    <w:rsid w:val="00492624"/>
    <w:rsid w:val="004930C1"/>
    <w:rsid w:val="00493288"/>
    <w:rsid w:val="00493AF3"/>
    <w:rsid w:val="0049424B"/>
    <w:rsid w:val="00494713"/>
    <w:rsid w:val="004959D0"/>
    <w:rsid w:val="00495C9C"/>
    <w:rsid w:val="00495FF0"/>
    <w:rsid w:val="00496195"/>
    <w:rsid w:val="00496A26"/>
    <w:rsid w:val="00496C21"/>
    <w:rsid w:val="004973C9"/>
    <w:rsid w:val="00497B01"/>
    <w:rsid w:val="00497BCF"/>
    <w:rsid w:val="00497EBD"/>
    <w:rsid w:val="004A03C2"/>
    <w:rsid w:val="004A0704"/>
    <w:rsid w:val="004A09C2"/>
    <w:rsid w:val="004A0D7D"/>
    <w:rsid w:val="004A150D"/>
    <w:rsid w:val="004A15D3"/>
    <w:rsid w:val="004A1C50"/>
    <w:rsid w:val="004A20CF"/>
    <w:rsid w:val="004A27AC"/>
    <w:rsid w:val="004A2C02"/>
    <w:rsid w:val="004A2F13"/>
    <w:rsid w:val="004A336E"/>
    <w:rsid w:val="004A3C90"/>
    <w:rsid w:val="004A431E"/>
    <w:rsid w:val="004A43B8"/>
    <w:rsid w:val="004A4692"/>
    <w:rsid w:val="004A4C05"/>
    <w:rsid w:val="004A4F0B"/>
    <w:rsid w:val="004A5112"/>
    <w:rsid w:val="004A56C0"/>
    <w:rsid w:val="004A57C3"/>
    <w:rsid w:val="004A6388"/>
    <w:rsid w:val="004A68EA"/>
    <w:rsid w:val="004A6E20"/>
    <w:rsid w:val="004A6FEF"/>
    <w:rsid w:val="004A70FF"/>
    <w:rsid w:val="004A75BE"/>
    <w:rsid w:val="004A7B58"/>
    <w:rsid w:val="004B0139"/>
    <w:rsid w:val="004B0762"/>
    <w:rsid w:val="004B10B8"/>
    <w:rsid w:val="004B23D9"/>
    <w:rsid w:val="004B27F7"/>
    <w:rsid w:val="004B2B09"/>
    <w:rsid w:val="004B2C65"/>
    <w:rsid w:val="004B32BE"/>
    <w:rsid w:val="004B3683"/>
    <w:rsid w:val="004B3892"/>
    <w:rsid w:val="004B3BCA"/>
    <w:rsid w:val="004B3C6F"/>
    <w:rsid w:val="004B3EB0"/>
    <w:rsid w:val="004B520B"/>
    <w:rsid w:val="004B529C"/>
    <w:rsid w:val="004B5494"/>
    <w:rsid w:val="004B5B05"/>
    <w:rsid w:val="004B5F02"/>
    <w:rsid w:val="004B627C"/>
    <w:rsid w:val="004B6B2E"/>
    <w:rsid w:val="004B6D11"/>
    <w:rsid w:val="004B7C8B"/>
    <w:rsid w:val="004B7E1C"/>
    <w:rsid w:val="004C0185"/>
    <w:rsid w:val="004C0F2A"/>
    <w:rsid w:val="004C0F39"/>
    <w:rsid w:val="004C1634"/>
    <w:rsid w:val="004C1A83"/>
    <w:rsid w:val="004C1B77"/>
    <w:rsid w:val="004C1F3A"/>
    <w:rsid w:val="004C1F63"/>
    <w:rsid w:val="004C2238"/>
    <w:rsid w:val="004C22CE"/>
    <w:rsid w:val="004C27F0"/>
    <w:rsid w:val="004C2A4C"/>
    <w:rsid w:val="004C3172"/>
    <w:rsid w:val="004C3970"/>
    <w:rsid w:val="004C3E32"/>
    <w:rsid w:val="004C596D"/>
    <w:rsid w:val="004C5C45"/>
    <w:rsid w:val="004C5E64"/>
    <w:rsid w:val="004C5FBB"/>
    <w:rsid w:val="004C68BA"/>
    <w:rsid w:val="004C6A8F"/>
    <w:rsid w:val="004C7306"/>
    <w:rsid w:val="004C7581"/>
    <w:rsid w:val="004C777A"/>
    <w:rsid w:val="004C7B28"/>
    <w:rsid w:val="004D0322"/>
    <w:rsid w:val="004D048E"/>
    <w:rsid w:val="004D0FA1"/>
    <w:rsid w:val="004D12CA"/>
    <w:rsid w:val="004D12FF"/>
    <w:rsid w:val="004D1335"/>
    <w:rsid w:val="004D2B7E"/>
    <w:rsid w:val="004D391B"/>
    <w:rsid w:val="004D4439"/>
    <w:rsid w:val="004D4BA6"/>
    <w:rsid w:val="004D4D9C"/>
    <w:rsid w:val="004D4F5A"/>
    <w:rsid w:val="004D5210"/>
    <w:rsid w:val="004D5AB2"/>
    <w:rsid w:val="004D5AB8"/>
    <w:rsid w:val="004D5B02"/>
    <w:rsid w:val="004D694C"/>
    <w:rsid w:val="004D6AC7"/>
    <w:rsid w:val="004D72FE"/>
    <w:rsid w:val="004D7319"/>
    <w:rsid w:val="004D73BD"/>
    <w:rsid w:val="004D75DF"/>
    <w:rsid w:val="004D762D"/>
    <w:rsid w:val="004D78E2"/>
    <w:rsid w:val="004E03F6"/>
    <w:rsid w:val="004E07A6"/>
    <w:rsid w:val="004E0A7E"/>
    <w:rsid w:val="004E0B23"/>
    <w:rsid w:val="004E1282"/>
    <w:rsid w:val="004E13B7"/>
    <w:rsid w:val="004E1FE2"/>
    <w:rsid w:val="004E20F1"/>
    <w:rsid w:val="004E28A7"/>
    <w:rsid w:val="004E3051"/>
    <w:rsid w:val="004E35F8"/>
    <w:rsid w:val="004E4749"/>
    <w:rsid w:val="004E4CB4"/>
    <w:rsid w:val="004E53CF"/>
    <w:rsid w:val="004E5634"/>
    <w:rsid w:val="004E572C"/>
    <w:rsid w:val="004E5B39"/>
    <w:rsid w:val="004E65C2"/>
    <w:rsid w:val="004E6792"/>
    <w:rsid w:val="004E6814"/>
    <w:rsid w:val="004E6D40"/>
    <w:rsid w:val="004E71C2"/>
    <w:rsid w:val="004E7D12"/>
    <w:rsid w:val="004F13CD"/>
    <w:rsid w:val="004F1669"/>
    <w:rsid w:val="004F267F"/>
    <w:rsid w:val="004F2700"/>
    <w:rsid w:val="004F2C7E"/>
    <w:rsid w:val="004F34D7"/>
    <w:rsid w:val="004F3F0A"/>
    <w:rsid w:val="004F47CD"/>
    <w:rsid w:val="004F4935"/>
    <w:rsid w:val="004F49CE"/>
    <w:rsid w:val="004F5145"/>
    <w:rsid w:val="004F53F0"/>
    <w:rsid w:val="004F59BE"/>
    <w:rsid w:val="004F5C87"/>
    <w:rsid w:val="004F5D2B"/>
    <w:rsid w:val="004F5E53"/>
    <w:rsid w:val="004F5EEF"/>
    <w:rsid w:val="004F6439"/>
    <w:rsid w:val="004F6DFD"/>
    <w:rsid w:val="004F6EC9"/>
    <w:rsid w:val="004F6F95"/>
    <w:rsid w:val="004F7B70"/>
    <w:rsid w:val="005009D6"/>
    <w:rsid w:val="00500E00"/>
    <w:rsid w:val="00500FF4"/>
    <w:rsid w:val="00501AB6"/>
    <w:rsid w:val="005020EF"/>
    <w:rsid w:val="005034CF"/>
    <w:rsid w:val="00503B28"/>
    <w:rsid w:val="00503C43"/>
    <w:rsid w:val="00503EDF"/>
    <w:rsid w:val="00504249"/>
    <w:rsid w:val="00504673"/>
    <w:rsid w:val="00504967"/>
    <w:rsid w:val="00504BCC"/>
    <w:rsid w:val="00504CD6"/>
    <w:rsid w:val="00504E5B"/>
    <w:rsid w:val="00504F0E"/>
    <w:rsid w:val="0050546B"/>
    <w:rsid w:val="00505793"/>
    <w:rsid w:val="0050595A"/>
    <w:rsid w:val="00505B97"/>
    <w:rsid w:val="00505CBF"/>
    <w:rsid w:val="00505F31"/>
    <w:rsid w:val="0050638F"/>
    <w:rsid w:val="00506B44"/>
    <w:rsid w:val="00507225"/>
    <w:rsid w:val="00510074"/>
    <w:rsid w:val="005103D6"/>
    <w:rsid w:val="0051089B"/>
    <w:rsid w:val="00510BC3"/>
    <w:rsid w:val="00510EAA"/>
    <w:rsid w:val="005115D4"/>
    <w:rsid w:val="005122D9"/>
    <w:rsid w:val="005124B0"/>
    <w:rsid w:val="00512B6A"/>
    <w:rsid w:val="00512C69"/>
    <w:rsid w:val="00512D4D"/>
    <w:rsid w:val="00513230"/>
    <w:rsid w:val="00513290"/>
    <w:rsid w:val="00513584"/>
    <w:rsid w:val="005139CD"/>
    <w:rsid w:val="0051428A"/>
    <w:rsid w:val="00514732"/>
    <w:rsid w:val="00514B86"/>
    <w:rsid w:val="005152D0"/>
    <w:rsid w:val="005154CB"/>
    <w:rsid w:val="00515B26"/>
    <w:rsid w:val="00515CBE"/>
    <w:rsid w:val="00516324"/>
    <w:rsid w:val="005165A4"/>
    <w:rsid w:val="00516ABD"/>
    <w:rsid w:val="005171FD"/>
    <w:rsid w:val="005172FA"/>
    <w:rsid w:val="0051768A"/>
    <w:rsid w:val="00520213"/>
    <w:rsid w:val="00520877"/>
    <w:rsid w:val="00520A28"/>
    <w:rsid w:val="00520DA6"/>
    <w:rsid w:val="005213F6"/>
    <w:rsid w:val="00521776"/>
    <w:rsid w:val="005219F9"/>
    <w:rsid w:val="00521A4E"/>
    <w:rsid w:val="00521AD2"/>
    <w:rsid w:val="00521C3D"/>
    <w:rsid w:val="00522725"/>
    <w:rsid w:val="0052282F"/>
    <w:rsid w:val="00522A1A"/>
    <w:rsid w:val="00522B3D"/>
    <w:rsid w:val="00523261"/>
    <w:rsid w:val="00523340"/>
    <w:rsid w:val="00523C23"/>
    <w:rsid w:val="00523EF6"/>
    <w:rsid w:val="005240B4"/>
    <w:rsid w:val="0052474B"/>
    <w:rsid w:val="00524CA0"/>
    <w:rsid w:val="0052575B"/>
    <w:rsid w:val="00525AA9"/>
    <w:rsid w:val="00526508"/>
    <w:rsid w:val="00526DBB"/>
    <w:rsid w:val="00526E8F"/>
    <w:rsid w:val="00527347"/>
    <w:rsid w:val="00530049"/>
    <w:rsid w:val="00530139"/>
    <w:rsid w:val="005306DE"/>
    <w:rsid w:val="0053086E"/>
    <w:rsid w:val="00530A34"/>
    <w:rsid w:val="00531103"/>
    <w:rsid w:val="0053111C"/>
    <w:rsid w:val="00531A1D"/>
    <w:rsid w:val="00531D0B"/>
    <w:rsid w:val="00532250"/>
    <w:rsid w:val="005325FD"/>
    <w:rsid w:val="00532784"/>
    <w:rsid w:val="005329EA"/>
    <w:rsid w:val="00532C03"/>
    <w:rsid w:val="00532C2C"/>
    <w:rsid w:val="00532F4F"/>
    <w:rsid w:val="00533DC2"/>
    <w:rsid w:val="00534621"/>
    <w:rsid w:val="0053476D"/>
    <w:rsid w:val="00535483"/>
    <w:rsid w:val="00535615"/>
    <w:rsid w:val="0053564B"/>
    <w:rsid w:val="00536048"/>
    <w:rsid w:val="00536326"/>
    <w:rsid w:val="00537101"/>
    <w:rsid w:val="00537440"/>
    <w:rsid w:val="005376E5"/>
    <w:rsid w:val="005377DB"/>
    <w:rsid w:val="005408C6"/>
    <w:rsid w:val="00541128"/>
    <w:rsid w:val="00541B46"/>
    <w:rsid w:val="00542094"/>
    <w:rsid w:val="00542134"/>
    <w:rsid w:val="005421E1"/>
    <w:rsid w:val="005423BC"/>
    <w:rsid w:val="00542705"/>
    <w:rsid w:val="005427F1"/>
    <w:rsid w:val="00542E83"/>
    <w:rsid w:val="00542FA5"/>
    <w:rsid w:val="005433B9"/>
    <w:rsid w:val="005437DF"/>
    <w:rsid w:val="005438CF"/>
    <w:rsid w:val="00543B4F"/>
    <w:rsid w:val="00544BAE"/>
    <w:rsid w:val="00545105"/>
    <w:rsid w:val="00545372"/>
    <w:rsid w:val="0054602B"/>
    <w:rsid w:val="005463CD"/>
    <w:rsid w:val="005464E9"/>
    <w:rsid w:val="00546E15"/>
    <w:rsid w:val="00546EC8"/>
    <w:rsid w:val="00546FD5"/>
    <w:rsid w:val="00547212"/>
    <w:rsid w:val="00547CC0"/>
    <w:rsid w:val="00550224"/>
    <w:rsid w:val="005503D6"/>
    <w:rsid w:val="00551B50"/>
    <w:rsid w:val="005522B7"/>
    <w:rsid w:val="005527DE"/>
    <w:rsid w:val="005529AF"/>
    <w:rsid w:val="00552B0A"/>
    <w:rsid w:val="005530E0"/>
    <w:rsid w:val="00553166"/>
    <w:rsid w:val="0055317B"/>
    <w:rsid w:val="005535B3"/>
    <w:rsid w:val="005538A3"/>
    <w:rsid w:val="005539AD"/>
    <w:rsid w:val="0055455E"/>
    <w:rsid w:val="00554802"/>
    <w:rsid w:val="0055499A"/>
    <w:rsid w:val="00554A21"/>
    <w:rsid w:val="00554C55"/>
    <w:rsid w:val="00554CC0"/>
    <w:rsid w:val="005558C1"/>
    <w:rsid w:val="00555E2A"/>
    <w:rsid w:val="00555F2C"/>
    <w:rsid w:val="00556349"/>
    <w:rsid w:val="0055635A"/>
    <w:rsid w:val="005566CE"/>
    <w:rsid w:val="0055720E"/>
    <w:rsid w:val="00557810"/>
    <w:rsid w:val="00557D12"/>
    <w:rsid w:val="00557D51"/>
    <w:rsid w:val="005604E4"/>
    <w:rsid w:val="00560D34"/>
    <w:rsid w:val="00561F20"/>
    <w:rsid w:val="005625B8"/>
    <w:rsid w:val="00562AA9"/>
    <w:rsid w:val="00562F66"/>
    <w:rsid w:val="005633D6"/>
    <w:rsid w:val="00563779"/>
    <w:rsid w:val="0056394E"/>
    <w:rsid w:val="00563AE3"/>
    <w:rsid w:val="005651B7"/>
    <w:rsid w:val="00565397"/>
    <w:rsid w:val="0056637F"/>
    <w:rsid w:val="005667B4"/>
    <w:rsid w:val="005671F5"/>
    <w:rsid w:val="005675F6"/>
    <w:rsid w:val="0057164E"/>
    <w:rsid w:val="00571802"/>
    <w:rsid w:val="00572023"/>
    <w:rsid w:val="0057231B"/>
    <w:rsid w:val="0057257A"/>
    <w:rsid w:val="00572DD4"/>
    <w:rsid w:val="00572E4B"/>
    <w:rsid w:val="005737E4"/>
    <w:rsid w:val="0057381D"/>
    <w:rsid w:val="00573824"/>
    <w:rsid w:val="005745A2"/>
    <w:rsid w:val="00574724"/>
    <w:rsid w:val="0057548A"/>
    <w:rsid w:val="005754A3"/>
    <w:rsid w:val="005762EF"/>
    <w:rsid w:val="0057633D"/>
    <w:rsid w:val="00576369"/>
    <w:rsid w:val="00576462"/>
    <w:rsid w:val="0057683F"/>
    <w:rsid w:val="00576B7F"/>
    <w:rsid w:val="00576ED4"/>
    <w:rsid w:val="005771D2"/>
    <w:rsid w:val="00577C9E"/>
    <w:rsid w:val="00577CA5"/>
    <w:rsid w:val="0058000D"/>
    <w:rsid w:val="005801C8"/>
    <w:rsid w:val="005807E7"/>
    <w:rsid w:val="0058080F"/>
    <w:rsid w:val="00580B34"/>
    <w:rsid w:val="00580B47"/>
    <w:rsid w:val="00580F35"/>
    <w:rsid w:val="00581860"/>
    <w:rsid w:val="005818C6"/>
    <w:rsid w:val="005818E5"/>
    <w:rsid w:val="00582184"/>
    <w:rsid w:val="0058372F"/>
    <w:rsid w:val="005838FE"/>
    <w:rsid w:val="00584152"/>
    <w:rsid w:val="005847F4"/>
    <w:rsid w:val="00584B41"/>
    <w:rsid w:val="00586116"/>
    <w:rsid w:val="005869D8"/>
    <w:rsid w:val="00586B5A"/>
    <w:rsid w:val="005872BF"/>
    <w:rsid w:val="005872CD"/>
    <w:rsid w:val="00587692"/>
    <w:rsid w:val="0059051D"/>
    <w:rsid w:val="00590939"/>
    <w:rsid w:val="00590BBC"/>
    <w:rsid w:val="00590BE8"/>
    <w:rsid w:val="00590DC8"/>
    <w:rsid w:val="00590E87"/>
    <w:rsid w:val="00590F82"/>
    <w:rsid w:val="00591305"/>
    <w:rsid w:val="0059136B"/>
    <w:rsid w:val="005918A1"/>
    <w:rsid w:val="00591985"/>
    <w:rsid w:val="0059275B"/>
    <w:rsid w:val="0059354F"/>
    <w:rsid w:val="00593B2D"/>
    <w:rsid w:val="00593F1F"/>
    <w:rsid w:val="00594051"/>
    <w:rsid w:val="00594342"/>
    <w:rsid w:val="00594395"/>
    <w:rsid w:val="005944C4"/>
    <w:rsid w:val="00594739"/>
    <w:rsid w:val="00594F73"/>
    <w:rsid w:val="005957B8"/>
    <w:rsid w:val="00595D51"/>
    <w:rsid w:val="005970FE"/>
    <w:rsid w:val="005971E7"/>
    <w:rsid w:val="00597810"/>
    <w:rsid w:val="00597F5C"/>
    <w:rsid w:val="005A00C0"/>
    <w:rsid w:val="005A201F"/>
    <w:rsid w:val="005A2A7A"/>
    <w:rsid w:val="005A2C22"/>
    <w:rsid w:val="005A2CD4"/>
    <w:rsid w:val="005A309E"/>
    <w:rsid w:val="005A32E1"/>
    <w:rsid w:val="005A3B05"/>
    <w:rsid w:val="005A3C45"/>
    <w:rsid w:val="005A48CE"/>
    <w:rsid w:val="005A50B8"/>
    <w:rsid w:val="005A53E1"/>
    <w:rsid w:val="005A5C15"/>
    <w:rsid w:val="005A5F50"/>
    <w:rsid w:val="005A6408"/>
    <w:rsid w:val="005A6968"/>
    <w:rsid w:val="005A6F2A"/>
    <w:rsid w:val="005A70BB"/>
    <w:rsid w:val="005A76E7"/>
    <w:rsid w:val="005A7BFF"/>
    <w:rsid w:val="005A7CA8"/>
    <w:rsid w:val="005B09D4"/>
    <w:rsid w:val="005B0AF0"/>
    <w:rsid w:val="005B0C69"/>
    <w:rsid w:val="005B0DF1"/>
    <w:rsid w:val="005B0F94"/>
    <w:rsid w:val="005B1147"/>
    <w:rsid w:val="005B1F82"/>
    <w:rsid w:val="005B20D4"/>
    <w:rsid w:val="005B2837"/>
    <w:rsid w:val="005B2DF0"/>
    <w:rsid w:val="005B34F3"/>
    <w:rsid w:val="005B3A08"/>
    <w:rsid w:val="005B3B42"/>
    <w:rsid w:val="005B3C73"/>
    <w:rsid w:val="005B4132"/>
    <w:rsid w:val="005B4632"/>
    <w:rsid w:val="005B4977"/>
    <w:rsid w:val="005B5224"/>
    <w:rsid w:val="005B5B9E"/>
    <w:rsid w:val="005B5D1A"/>
    <w:rsid w:val="005B66DA"/>
    <w:rsid w:val="005B6C41"/>
    <w:rsid w:val="005B7533"/>
    <w:rsid w:val="005B7907"/>
    <w:rsid w:val="005B7F61"/>
    <w:rsid w:val="005C04FD"/>
    <w:rsid w:val="005C0D1D"/>
    <w:rsid w:val="005C1761"/>
    <w:rsid w:val="005C1F5D"/>
    <w:rsid w:val="005C27E2"/>
    <w:rsid w:val="005C2E77"/>
    <w:rsid w:val="005C3A8A"/>
    <w:rsid w:val="005C50B2"/>
    <w:rsid w:val="005C52F4"/>
    <w:rsid w:val="005C5468"/>
    <w:rsid w:val="005C5662"/>
    <w:rsid w:val="005C5AA1"/>
    <w:rsid w:val="005C5E13"/>
    <w:rsid w:val="005C6034"/>
    <w:rsid w:val="005C625B"/>
    <w:rsid w:val="005C6B7C"/>
    <w:rsid w:val="005C7295"/>
    <w:rsid w:val="005C72BA"/>
    <w:rsid w:val="005C76F2"/>
    <w:rsid w:val="005C7764"/>
    <w:rsid w:val="005C7917"/>
    <w:rsid w:val="005D00B8"/>
    <w:rsid w:val="005D0A18"/>
    <w:rsid w:val="005D198C"/>
    <w:rsid w:val="005D2707"/>
    <w:rsid w:val="005D27FF"/>
    <w:rsid w:val="005D2F52"/>
    <w:rsid w:val="005D36CA"/>
    <w:rsid w:val="005D3A2B"/>
    <w:rsid w:val="005D3A56"/>
    <w:rsid w:val="005D4131"/>
    <w:rsid w:val="005D473D"/>
    <w:rsid w:val="005D4A2F"/>
    <w:rsid w:val="005D502A"/>
    <w:rsid w:val="005D529C"/>
    <w:rsid w:val="005D55FC"/>
    <w:rsid w:val="005D5CC0"/>
    <w:rsid w:val="005D62F2"/>
    <w:rsid w:val="005D7039"/>
    <w:rsid w:val="005D7508"/>
    <w:rsid w:val="005D7644"/>
    <w:rsid w:val="005D7A7B"/>
    <w:rsid w:val="005D7CCF"/>
    <w:rsid w:val="005D7E44"/>
    <w:rsid w:val="005D7EB2"/>
    <w:rsid w:val="005E0813"/>
    <w:rsid w:val="005E08D7"/>
    <w:rsid w:val="005E0B1C"/>
    <w:rsid w:val="005E11CA"/>
    <w:rsid w:val="005E2FD0"/>
    <w:rsid w:val="005E3906"/>
    <w:rsid w:val="005E3BF5"/>
    <w:rsid w:val="005E447E"/>
    <w:rsid w:val="005E4B0A"/>
    <w:rsid w:val="005E4D8D"/>
    <w:rsid w:val="005E5174"/>
    <w:rsid w:val="005E520E"/>
    <w:rsid w:val="005E5705"/>
    <w:rsid w:val="005E5C11"/>
    <w:rsid w:val="005E5C5A"/>
    <w:rsid w:val="005E5D06"/>
    <w:rsid w:val="005E6007"/>
    <w:rsid w:val="005E6056"/>
    <w:rsid w:val="005E652B"/>
    <w:rsid w:val="005E6EA9"/>
    <w:rsid w:val="005E718B"/>
    <w:rsid w:val="005E741D"/>
    <w:rsid w:val="005F0260"/>
    <w:rsid w:val="005F0733"/>
    <w:rsid w:val="005F0A72"/>
    <w:rsid w:val="005F2552"/>
    <w:rsid w:val="005F2621"/>
    <w:rsid w:val="005F2DEE"/>
    <w:rsid w:val="005F30F2"/>
    <w:rsid w:val="005F34A3"/>
    <w:rsid w:val="005F3E3B"/>
    <w:rsid w:val="005F4191"/>
    <w:rsid w:val="005F4B13"/>
    <w:rsid w:val="005F4F68"/>
    <w:rsid w:val="005F530B"/>
    <w:rsid w:val="005F59A7"/>
    <w:rsid w:val="005F59D7"/>
    <w:rsid w:val="005F5E23"/>
    <w:rsid w:val="005F6269"/>
    <w:rsid w:val="005F63D5"/>
    <w:rsid w:val="005F6407"/>
    <w:rsid w:val="005F649E"/>
    <w:rsid w:val="005F6776"/>
    <w:rsid w:val="005F6970"/>
    <w:rsid w:val="005F6D49"/>
    <w:rsid w:val="005F7057"/>
    <w:rsid w:val="005F70EC"/>
    <w:rsid w:val="005F7545"/>
    <w:rsid w:val="005F7D03"/>
    <w:rsid w:val="005F7E20"/>
    <w:rsid w:val="00601078"/>
    <w:rsid w:val="006016B9"/>
    <w:rsid w:val="00601C98"/>
    <w:rsid w:val="00601E10"/>
    <w:rsid w:val="00602426"/>
    <w:rsid w:val="00602665"/>
    <w:rsid w:val="0060267E"/>
    <w:rsid w:val="00602944"/>
    <w:rsid w:val="00602E78"/>
    <w:rsid w:val="00603B3F"/>
    <w:rsid w:val="00603C67"/>
    <w:rsid w:val="00603EF9"/>
    <w:rsid w:val="006049E0"/>
    <w:rsid w:val="00604BD4"/>
    <w:rsid w:val="00604DBF"/>
    <w:rsid w:val="00604E3E"/>
    <w:rsid w:val="00604E93"/>
    <w:rsid w:val="0060558D"/>
    <w:rsid w:val="006055CE"/>
    <w:rsid w:val="006055FD"/>
    <w:rsid w:val="0060561A"/>
    <w:rsid w:val="006056ED"/>
    <w:rsid w:val="00605D90"/>
    <w:rsid w:val="00605FE9"/>
    <w:rsid w:val="00606149"/>
    <w:rsid w:val="006064FE"/>
    <w:rsid w:val="00606576"/>
    <w:rsid w:val="00607172"/>
    <w:rsid w:val="00607254"/>
    <w:rsid w:val="006076FE"/>
    <w:rsid w:val="00607B70"/>
    <w:rsid w:val="00607CF9"/>
    <w:rsid w:val="00607F48"/>
    <w:rsid w:val="006101D5"/>
    <w:rsid w:val="00610BA3"/>
    <w:rsid w:val="00610C53"/>
    <w:rsid w:val="00610D49"/>
    <w:rsid w:val="0061135B"/>
    <w:rsid w:val="00611AB3"/>
    <w:rsid w:val="00611C9A"/>
    <w:rsid w:val="00611E7C"/>
    <w:rsid w:val="00612FEE"/>
    <w:rsid w:val="0061307E"/>
    <w:rsid w:val="0061322D"/>
    <w:rsid w:val="00613396"/>
    <w:rsid w:val="00613AC2"/>
    <w:rsid w:val="00613D8D"/>
    <w:rsid w:val="00614422"/>
    <w:rsid w:val="0061465D"/>
    <w:rsid w:val="006154E1"/>
    <w:rsid w:val="00615538"/>
    <w:rsid w:val="0061584E"/>
    <w:rsid w:val="00615E8C"/>
    <w:rsid w:val="00615EA0"/>
    <w:rsid w:val="006165D9"/>
    <w:rsid w:val="006166C6"/>
    <w:rsid w:val="00616DE2"/>
    <w:rsid w:val="00617C59"/>
    <w:rsid w:val="00620A72"/>
    <w:rsid w:val="0062163B"/>
    <w:rsid w:val="00621772"/>
    <w:rsid w:val="00621A9E"/>
    <w:rsid w:val="00621B88"/>
    <w:rsid w:val="00622216"/>
    <w:rsid w:val="0062375F"/>
    <w:rsid w:val="006238BF"/>
    <w:rsid w:val="00623A9A"/>
    <w:rsid w:val="00623D52"/>
    <w:rsid w:val="0062449B"/>
    <w:rsid w:val="006248B2"/>
    <w:rsid w:val="00624945"/>
    <w:rsid w:val="00624D20"/>
    <w:rsid w:val="00624DC0"/>
    <w:rsid w:val="006254F1"/>
    <w:rsid w:val="00625D7B"/>
    <w:rsid w:val="00626021"/>
    <w:rsid w:val="006260CB"/>
    <w:rsid w:val="006266AE"/>
    <w:rsid w:val="00627332"/>
    <w:rsid w:val="00627B51"/>
    <w:rsid w:val="00627B84"/>
    <w:rsid w:val="00627F38"/>
    <w:rsid w:val="006300CB"/>
    <w:rsid w:val="0063023B"/>
    <w:rsid w:val="00630269"/>
    <w:rsid w:val="00630367"/>
    <w:rsid w:val="0063057B"/>
    <w:rsid w:val="00630817"/>
    <w:rsid w:val="00631446"/>
    <w:rsid w:val="00631680"/>
    <w:rsid w:val="00631C80"/>
    <w:rsid w:val="00632A41"/>
    <w:rsid w:val="00633F37"/>
    <w:rsid w:val="0063405E"/>
    <w:rsid w:val="006345DE"/>
    <w:rsid w:val="00634C4E"/>
    <w:rsid w:val="00634CC2"/>
    <w:rsid w:val="00635028"/>
    <w:rsid w:val="0063620A"/>
    <w:rsid w:val="0063641B"/>
    <w:rsid w:val="0063700F"/>
    <w:rsid w:val="006376C5"/>
    <w:rsid w:val="00640836"/>
    <w:rsid w:val="00640892"/>
    <w:rsid w:val="0064096B"/>
    <w:rsid w:val="0064100A"/>
    <w:rsid w:val="0064160A"/>
    <w:rsid w:val="0064181E"/>
    <w:rsid w:val="0064199B"/>
    <w:rsid w:val="0064216A"/>
    <w:rsid w:val="006422B8"/>
    <w:rsid w:val="0064267E"/>
    <w:rsid w:val="00642764"/>
    <w:rsid w:val="006430FE"/>
    <w:rsid w:val="006431DD"/>
    <w:rsid w:val="00643BF2"/>
    <w:rsid w:val="006442E9"/>
    <w:rsid w:val="006443B5"/>
    <w:rsid w:val="006444C3"/>
    <w:rsid w:val="00644D6E"/>
    <w:rsid w:val="00644E03"/>
    <w:rsid w:val="00644E2E"/>
    <w:rsid w:val="00645794"/>
    <w:rsid w:val="00645C15"/>
    <w:rsid w:val="00646334"/>
    <w:rsid w:val="00646848"/>
    <w:rsid w:val="00646928"/>
    <w:rsid w:val="00646D26"/>
    <w:rsid w:val="00647181"/>
    <w:rsid w:val="00647BA3"/>
    <w:rsid w:val="00651911"/>
    <w:rsid w:val="00652114"/>
    <w:rsid w:val="00652652"/>
    <w:rsid w:val="006526A8"/>
    <w:rsid w:val="0065297D"/>
    <w:rsid w:val="00652E48"/>
    <w:rsid w:val="006535B5"/>
    <w:rsid w:val="00654329"/>
    <w:rsid w:val="006546E9"/>
    <w:rsid w:val="006549F3"/>
    <w:rsid w:val="00654E2F"/>
    <w:rsid w:val="006556C0"/>
    <w:rsid w:val="006556C6"/>
    <w:rsid w:val="00655BD0"/>
    <w:rsid w:val="00655D59"/>
    <w:rsid w:val="00656199"/>
    <w:rsid w:val="00656E26"/>
    <w:rsid w:val="006570FB"/>
    <w:rsid w:val="00657605"/>
    <w:rsid w:val="00657885"/>
    <w:rsid w:val="006604B8"/>
    <w:rsid w:val="00660583"/>
    <w:rsid w:val="00660DF2"/>
    <w:rsid w:val="00660F4F"/>
    <w:rsid w:val="00661BAF"/>
    <w:rsid w:val="00661DB0"/>
    <w:rsid w:val="00661F84"/>
    <w:rsid w:val="006620C0"/>
    <w:rsid w:val="00662212"/>
    <w:rsid w:val="00662B6C"/>
    <w:rsid w:val="00663161"/>
    <w:rsid w:val="00663568"/>
    <w:rsid w:val="00664196"/>
    <w:rsid w:val="006644DC"/>
    <w:rsid w:val="0066489E"/>
    <w:rsid w:val="0066566F"/>
    <w:rsid w:val="00665B15"/>
    <w:rsid w:val="00666EEB"/>
    <w:rsid w:val="00667C8C"/>
    <w:rsid w:val="00670065"/>
    <w:rsid w:val="006718B1"/>
    <w:rsid w:val="00671A97"/>
    <w:rsid w:val="00671D10"/>
    <w:rsid w:val="00671EF5"/>
    <w:rsid w:val="00671F3C"/>
    <w:rsid w:val="006720DB"/>
    <w:rsid w:val="00672343"/>
    <w:rsid w:val="006727ED"/>
    <w:rsid w:val="006728F9"/>
    <w:rsid w:val="00672A1F"/>
    <w:rsid w:val="00672B9C"/>
    <w:rsid w:val="00672C96"/>
    <w:rsid w:val="00672CAC"/>
    <w:rsid w:val="00672EF2"/>
    <w:rsid w:val="00672F4F"/>
    <w:rsid w:val="00672FB1"/>
    <w:rsid w:val="00673276"/>
    <w:rsid w:val="00673632"/>
    <w:rsid w:val="006741A7"/>
    <w:rsid w:val="006745AE"/>
    <w:rsid w:val="006746B9"/>
    <w:rsid w:val="00675028"/>
    <w:rsid w:val="006751C4"/>
    <w:rsid w:val="006751F7"/>
    <w:rsid w:val="00675668"/>
    <w:rsid w:val="006756ED"/>
    <w:rsid w:val="00675D8E"/>
    <w:rsid w:val="00675F08"/>
    <w:rsid w:val="00676094"/>
    <w:rsid w:val="00676F86"/>
    <w:rsid w:val="00680183"/>
    <w:rsid w:val="006805C3"/>
    <w:rsid w:val="00680A80"/>
    <w:rsid w:val="00681894"/>
    <w:rsid w:val="00681F77"/>
    <w:rsid w:val="006820F2"/>
    <w:rsid w:val="0068292D"/>
    <w:rsid w:val="006829B8"/>
    <w:rsid w:val="00682FF6"/>
    <w:rsid w:val="006838CA"/>
    <w:rsid w:val="00684399"/>
    <w:rsid w:val="0068588E"/>
    <w:rsid w:val="006859AD"/>
    <w:rsid w:val="00685BFF"/>
    <w:rsid w:val="00685CA4"/>
    <w:rsid w:val="00685CD1"/>
    <w:rsid w:val="00685F24"/>
    <w:rsid w:val="00686945"/>
    <w:rsid w:val="00686C41"/>
    <w:rsid w:val="006875B1"/>
    <w:rsid w:val="0068786A"/>
    <w:rsid w:val="00687A20"/>
    <w:rsid w:val="00687C68"/>
    <w:rsid w:val="0069006C"/>
    <w:rsid w:val="00690B7C"/>
    <w:rsid w:val="0069112A"/>
    <w:rsid w:val="006914C6"/>
    <w:rsid w:val="00691714"/>
    <w:rsid w:val="00691B11"/>
    <w:rsid w:val="006934C6"/>
    <w:rsid w:val="0069445A"/>
    <w:rsid w:val="00694BC3"/>
    <w:rsid w:val="00694C7D"/>
    <w:rsid w:val="0069520C"/>
    <w:rsid w:val="006967B2"/>
    <w:rsid w:val="00696F15"/>
    <w:rsid w:val="00696F85"/>
    <w:rsid w:val="00697685"/>
    <w:rsid w:val="00697FE9"/>
    <w:rsid w:val="006A0229"/>
    <w:rsid w:val="006A075E"/>
    <w:rsid w:val="006A0B0A"/>
    <w:rsid w:val="006A1020"/>
    <w:rsid w:val="006A1693"/>
    <w:rsid w:val="006A19D1"/>
    <w:rsid w:val="006A2F43"/>
    <w:rsid w:val="006A323D"/>
    <w:rsid w:val="006A3294"/>
    <w:rsid w:val="006A3481"/>
    <w:rsid w:val="006A4960"/>
    <w:rsid w:val="006A4995"/>
    <w:rsid w:val="006A4BD1"/>
    <w:rsid w:val="006A4BE4"/>
    <w:rsid w:val="006A4CD1"/>
    <w:rsid w:val="006A588B"/>
    <w:rsid w:val="006A5935"/>
    <w:rsid w:val="006A5AF3"/>
    <w:rsid w:val="006A6132"/>
    <w:rsid w:val="006A614B"/>
    <w:rsid w:val="006A6380"/>
    <w:rsid w:val="006A63C9"/>
    <w:rsid w:val="006A6C66"/>
    <w:rsid w:val="006A77F7"/>
    <w:rsid w:val="006B0BFA"/>
    <w:rsid w:val="006B0D73"/>
    <w:rsid w:val="006B11D9"/>
    <w:rsid w:val="006B11E6"/>
    <w:rsid w:val="006B12CF"/>
    <w:rsid w:val="006B1401"/>
    <w:rsid w:val="006B1919"/>
    <w:rsid w:val="006B1E20"/>
    <w:rsid w:val="006B2734"/>
    <w:rsid w:val="006B2ABD"/>
    <w:rsid w:val="006B31A8"/>
    <w:rsid w:val="006B3E29"/>
    <w:rsid w:val="006B3FE6"/>
    <w:rsid w:val="006B49EF"/>
    <w:rsid w:val="006B4E89"/>
    <w:rsid w:val="006B530F"/>
    <w:rsid w:val="006B5CEC"/>
    <w:rsid w:val="006B6256"/>
    <w:rsid w:val="006B62AE"/>
    <w:rsid w:val="006B643C"/>
    <w:rsid w:val="006B67EB"/>
    <w:rsid w:val="006B6AE4"/>
    <w:rsid w:val="006B6EC5"/>
    <w:rsid w:val="006B6F6D"/>
    <w:rsid w:val="006C0306"/>
    <w:rsid w:val="006C05E3"/>
    <w:rsid w:val="006C1159"/>
    <w:rsid w:val="006C15C6"/>
    <w:rsid w:val="006C1EF1"/>
    <w:rsid w:val="006C2244"/>
    <w:rsid w:val="006C2761"/>
    <w:rsid w:val="006C2BDF"/>
    <w:rsid w:val="006C2CB4"/>
    <w:rsid w:val="006C3202"/>
    <w:rsid w:val="006C327A"/>
    <w:rsid w:val="006C40D8"/>
    <w:rsid w:val="006C4725"/>
    <w:rsid w:val="006C49BB"/>
    <w:rsid w:val="006C4CC3"/>
    <w:rsid w:val="006C5B31"/>
    <w:rsid w:val="006C5B86"/>
    <w:rsid w:val="006C5BDC"/>
    <w:rsid w:val="006C5C30"/>
    <w:rsid w:val="006C646F"/>
    <w:rsid w:val="006C672D"/>
    <w:rsid w:val="006C6DB7"/>
    <w:rsid w:val="006C6E1D"/>
    <w:rsid w:val="006C6EF7"/>
    <w:rsid w:val="006C7275"/>
    <w:rsid w:val="006C74BB"/>
    <w:rsid w:val="006C758C"/>
    <w:rsid w:val="006D0101"/>
    <w:rsid w:val="006D059A"/>
    <w:rsid w:val="006D0653"/>
    <w:rsid w:val="006D0891"/>
    <w:rsid w:val="006D0BDC"/>
    <w:rsid w:val="006D0E56"/>
    <w:rsid w:val="006D12F8"/>
    <w:rsid w:val="006D14BB"/>
    <w:rsid w:val="006D1896"/>
    <w:rsid w:val="006D1E59"/>
    <w:rsid w:val="006D1F78"/>
    <w:rsid w:val="006D2523"/>
    <w:rsid w:val="006D2827"/>
    <w:rsid w:val="006D2C54"/>
    <w:rsid w:val="006D3092"/>
    <w:rsid w:val="006D34E1"/>
    <w:rsid w:val="006D3541"/>
    <w:rsid w:val="006D3881"/>
    <w:rsid w:val="006D3AC6"/>
    <w:rsid w:val="006D525A"/>
    <w:rsid w:val="006D561A"/>
    <w:rsid w:val="006D59E6"/>
    <w:rsid w:val="006D5C39"/>
    <w:rsid w:val="006D5D68"/>
    <w:rsid w:val="006D5E5B"/>
    <w:rsid w:val="006D6759"/>
    <w:rsid w:val="006D67B2"/>
    <w:rsid w:val="006D69ED"/>
    <w:rsid w:val="006D6A8A"/>
    <w:rsid w:val="006D70EA"/>
    <w:rsid w:val="006E00AA"/>
    <w:rsid w:val="006E0105"/>
    <w:rsid w:val="006E0909"/>
    <w:rsid w:val="006E0971"/>
    <w:rsid w:val="006E0DC3"/>
    <w:rsid w:val="006E14E7"/>
    <w:rsid w:val="006E181C"/>
    <w:rsid w:val="006E1A42"/>
    <w:rsid w:val="006E1B38"/>
    <w:rsid w:val="006E1B78"/>
    <w:rsid w:val="006E1F38"/>
    <w:rsid w:val="006E33DE"/>
    <w:rsid w:val="006E3D26"/>
    <w:rsid w:val="006E4506"/>
    <w:rsid w:val="006E4A04"/>
    <w:rsid w:val="006E59EC"/>
    <w:rsid w:val="006E5DFF"/>
    <w:rsid w:val="006E5F6C"/>
    <w:rsid w:val="006E60BF"/>
    <w:rsid w:val="006E6840"/>
    <w:rsid w:val="006E6BEF"/>
    <w:rsid w:val="006E704D"/>
    <w:rsid w:val="006E70C1"/>
    <w:rsid w:val="006F0030"/>
    <w:rsid w:val="006F0093"/>
    <w:rsid w:val="006F029D"/>
    <w:rsid w:val="006F03D9"/>
    <w:rsid w:val="006F0760"/>
    <w:rsid w:val="006F0DA1"/>
    <w:rsid w:val="006F104D"/>
    <w:rsid w:val="006F14CF"/>
    <w:rsid w:val="006F17CE"/>
    <w:rsid w:val="006F18F2"/>
    <w:rsid w:val="006F1D45"/>
    <w:rsid w:val="006F2025"/>
    <w:rsid w:val="006F25D1"/>
    <w:rsid w:val="006F2641"/>
    <w:rsid w:val="006F273B"/>
    <w:rsid w:val="006F327B"/>
    <w:rsid w:val="006F3313"/>
    <w:rsid w:val="006F3C38"/>
    <w:rsid w:val="006F422E"/>
    <w:rsid w:val="006F423E"/>
    <w:rsid w:val="006F447A"/>
    <w:rsid w:val="006F4681"/>
    <w:rsid w:val="006F5121"/>
    <w:rsid w:val="006F57D8"/>
    <w:rsid w:val="006F599F"/>
    <w:rsid w:val="006F5D8D"/>
    <w:rsid w:val="006F6066"/>
    <w:rsid w:val="006F60E0"/>
    <w:rsid w:val="006F6506"/>
    <w:rsid w:val="006F6BF0"/>
    <w:rsid w:val="006F6F0E"/>
    <w:rsid w:val="006F70E6"/>
    <w:rsid w:val="006F79E0"/>
    <w:rsid w:val="006F7BA9"/>
    <w:rsid w:val="00700DE0"/>
    <w:rsid w:val="0070142C"/>
    <w:rsid w:val="00702470"/>
    <w:rsid w:val="00702645"/>
    <w:rsid w:val="00702860"/>
    <w:rsid w:val="00702B85"/>
    <w:rsid w:val="00702C0E"/>
    <w:rsid w:val="00702FDC"/>
    <w:rsid w:val="007031D5"/>
    <w:rsid w:val="00703335"/>
    <w:rsid w:val="00703B53"/>
    <w:rsid w:val="00704038"/>
    <w:rsid w:val="00704544"/>
    <w:rsid w:val="00704881"/>
    <w:rsid w:val="0070489D"/>
    <w:rsid w:val="007054FE"/>
    <w:rsid w:val="00705822"/>
    <w:rsid w:val="0070586E"/>
    <w:rsid w:val="007059D4"/>
    <w:rsid w:val="00705C8F"/>
    <w:rsid w:val="00705E65"/>
    <w:rsid w:val="00705EDD"/>
    <w:rsid w:val="00706132"/>
    <w:rsid w:val="00706168"/>
    <w:rsid w:val="00706BCD"/>
    <w:rsid w:val="00706D52"/>
    <w:rsid w:val="007072A5"/>
    <w:rsid w:val="00707B82"/>
    <w:rsid w:val="00707FDE"/>
    <w:rsid w:val="00710C35"/>
    <w:rsid w:val="0071112F"/>
    <w:rsid w:val="007111D9"/>
    <w:rsid w:val="0071157D"/>
    <w:rsid w:val="0071165D"/>
    <w:rsid w:val="007121ED"/>
    <w:rsid w:val="007124F9"/>
    <w:rsid w:val="0071281F"/>
    <w:rsid w:val="00712DB6"/>
    <w:rsid w:val="00713255"/>
    <w:rsid w:val="00713318"/>
    <w:rsid w:val="007138A3"/>
    <w:rsid w:val="00713DBC"/>
    <w:rsid w:val="00713F51"/>
    <w:rsid w:val="00713F71"/>
    <w:rsid w:val="007140D4"/>
    <w:rsid w:val="0071470F"/>
    <w:rsid w:val="00714CE7"/>
    <w:rsid w:val="0071575C"/>
    <w:rsid w:val="00715AE0"/>
    <w:rsid w:val="00716208"/>
    <w:rsid w:val="00716448"/>
    <w:rsid w:val="0071657F"/>
    <w:rsid w:val="00716809"/>
    <w:rsid w:val="00716816"/>
    <w:rsid w:val="00716EE5"/>
    <w:rsid w:val="00717EF5"/>
    <w:rsid w:val="00717FF9"/>
    <w:rsid w:val="0072016E"/>
    <w:rsid w:val="00720644"/>
    <w:rsid w:val="007207A1"/>
    <w:rsid w:val="007216C6"/>
    <w:rsid w:val="00721D98"/>
    <w:rsid w:val="007224C1"/>
    <w:rsid w:val="00722A6C"/>
    <w:rsid w:val="007235D7"/>
    <w:rsid w:val="00723E09"/>
    <w:rsid w:val="007245E3"/>
    <w:rsid w:val="0072493E"/>
    <w:rsid w:val="00724CD7"/>
    <w:rsid w:val="00724F32"/>
    <w:rsid w:val="007264AA"/>
    <w:rsid w:val="00726667"/>
    <w:rsid w:val="007266CB"/>
    <w:rsid w:val="007271D4"/>
    <w:rsid w:val="007273C0"/>
    <w:rsid w:val="00727486"/>
    <w:rsid w:val="0072762F"/>
    <w:rsid w:val="00727BC3"/>
    <w:rsid w:val="0073041F"/>
    <w:rsid w:val="007305D2"/>
    <w:rsid w:val="00731093"/>
    <w:rsid w:val="00731518"/>
    <w:rsid w:val="007319B3"/>
    <w:rsid w:val="00732D20"/>
    <w:rsid w:val="0073337F"/>
    <w:rsid w:val="00733453"/>
    <w:rsid w:val="00733476"/>
    <w:rsid w:val="00733726"/>
    <w:rsid w:val="00733AD0"/>
    <w:rsid w:val="00733AFF"/>
    <w:rsid w:val="00734354"/>
    <w:rsid w:val="0073449F"/>
    <w:rsid w:val="00734618"/>
    <w:rsid w:val="00734D70"/>
    <w:rsid w:val="0073513D"/>
    <w:rsid w:val="007353D7"/>
    <w:rsid w:val="00735892"/>
    <w:rsid w:val="00735AB1"/>
    <w:rsid w:val="0073608E"/>
    <w:rsid w:val="007369C5"/>
    <w:rsid w:val="00736B03"/>
    <w:rsid w:val="00736D11"/>
    <w:rsid w:val="00737011"/>
    <w:rsid w:val="007374CF"/>
    <w:rsid w:val="007378A1"/>
    <w:rsid w:val="0073794B"/>
    <w:rsid w:val="00737F4B"/>
    <w:rsid w:val="007402E4"/>
    <w:rsid w:val="00740BBB"/>
    <w:rsid w:val="00741897"/>
    <w:rsid w:val="00741A7A"/>
    <w:rsid w:val="00742382"/>
    <w:rsid w:val="00742E82"/>
    <w:rsid w:val="00743D5F"/>
    <w:rsid w:val="00743E5F"/>
    <w:rsid w:val="00744101"/>
    <w:rsid w:val="00744457"/>
    <w:rsid w:val="00744DB1"/>
    <w:rsid w:val="00744EB4"/>
    <w:rsid w:val="00745236"/>
    <w:rsid w:val="00745407"/>
    <w:rsid w:val="00745439"/>
    <w:rsid w:val="007456EC"/>
    <w:rsid w:val="007458F7"/>
    <w:rsid w:val="00745B22"/>
    <w:rsid w:val="00745CE0"/>
    <w:rsid w:val="0074618E"/>
    <w:rsid w:val="007467A2"/>
    <w:rsid w:val="0074684A"/>
    <w:rsid w:val="00746907"/>
    <w:rsid w:val="00747046"/>
    <w:rsid w:val="00747515"/>
    <w:rsid w:val="00747DDB"/>
    <w:rsid w:val="00747FAF"/>
    <w:rsid w:val="00750021"/>
    <w:rsid w:val="007503EE"/>
    <w:rsid w:val="00750ADE"/>
    <w:rsid w:val="007510A0"/>
    <w:rsid w:val="007511C7"/>
    <w:rsid w:val="007515EE"/>
    <w:rsid w:val="00751B37"/>
    <w:rsid w:val="00751EF1"/>
    <w:rsid w:val="007525F7"/>
    <w:rsid w:val="00752E87"/>
    <w:rsid w:val="00753000"/>
    <w:rsid w:val="007536BE"/>
    <w:rsid w:val="00753969"/>
    <w:rsid w:val="00754A78"/>
    <w:rsid w:val="0075500D"/>
    <w:rsid w:val="0075501C"/>
    <w:rsid w:val="0075508F"/>
    <w:rsid w:val="00755134"/>
    <w:rsid w:val="007556A8"/>
    <w:rsid w:val="00755946"/>
    <w:rsid w:val="00755CA2"/>
    <w:rsid w:val="007565EF"/>
    <w:rsid w:val="0075706E"/>
    <w:rsid w:val="007576A5"/>
    <w:rsid w:val="00757742"/>
    <w:rsid w:val="00757FBC"/>
    <w:rsid w:val="00760064"/>
    <w:rsid w:val="0076118B"/>
    <w:rsid w:val="007613EF"/>
    <w:rsid w:val="00761B11"/>
    <w:rsid w:val="00761BD2"/>
    <w:rsid w:val="00762629"/>
    <w:rsid w:val="00762A03"/>
    <w:rsid w:val="00762BF5"/>
    <w:rsid w:val="00762E9D"/>
    <w:rsid w:val="00763670"/>
    <w:rsid w:val="007640FC"/>
    <w:rsid w:val="007641B2"/>
    <w:rsid w:val="007646A9"/>
    <w:rsid w:val="00764702"/>
    <w:rsid w:val="00764D59"/>
    <w:rsid w:val="00764D83"/>
    <w:rsid w:val="0076517E"/>
    <w:rsid w:val="0076522B"/>
    <w:rsid w:val="007654EF"/>
    <w:rsid w:val="00765759"/>
    <w:rsid w:val="00765976"/>
    <w:rsid w:val="00765C83"/>
    <w:rsid w:val="00765CEC"/>
    <w:rsid w:val="00766376"/>
    <w:rsid w:val="00766EB4"/>
    <w:rsid w:val="0076762E"/>
    <w:rsid w:val="007679D6"/>
    <w:rsid w:val="00767AE0"/>
    <w:rsid w:val="00767DD4"/>
    <w:rsid w:val="00770F41"/>
    <w:rsid w:val="00771485"/>
    <w:rsid w:val="007715C1"/>
    <w:rsid w:val="0077186B"/>
    <w:rsid w:val="00771AB6"/>
    <w:rsid w:val="00771FF6"/>
    <w:rsid w:val="007720F1"/>
    <w:rsid w:val="00772CD8"/>
    <w:rsid w:val="00772FEA"/>
    <w:rsid w:val="0077330F"/>
    <w:rsid w:val="007737CD"/>
    <w:rsid w:val="00773965"/>
    <w:rsid w:val="00773B39"/>
    <w:rsid w:val="007743E4"/>
    <w:rsid w:val="00774591"/>
    <w:rsid w:val="00774C15"/>
    <w:rsid w:val="00774CBD"/>
    <w:rsid w:val="00774EF3"/>
    <w:rsid w:val="00774F77"/>
    <w:rsid w:val="00775534"/>
    <w:rsid w:val="00775B83"/>
    <w:rsid w:val="00776333"/>
    <w:rsid w:val="00776813"/>
    <w:rsid w:val="007768AA"/>
    <w:rsid w:val="0077719A"/>
    <w:rsid w:val="00777253"/>
    <w:rsid w:val="00777326"/>
    <w:rsid w:val="00777361"/>
    <w:rsid w:val="00777427"/>
    <w:rsid w:val="007775B6"/>
    <w:rsid w:val="007779E4"/>
    <w:rsid w:val="00777EA4"/>
    <w:rsid w:val="00780201"/>
    <w:rsid w:val="007804B4"/>
    <w:rsid w:val="00780568"/>
    <w:rsid w:val="00781D8F"/>
    <w:rsid w:val="0078239B"/>
    <w:rsid w:val="007824A2"/>
    <w:rsid w:val="00782A9D"/>
    <w:rsid w:val="00783397"/>
    <w:rsid w:val="007835EF"/>
    <w:rsid w:val="00783744"/>
    <w:rsid w:val="00783A04"/>
    <w:rsid w:val="00783E1D"/>
    <w:rsid w:val="00783ED2"/>
    <w:rsid w:val="007841D2"/>
    <w:rsid w:val="007848A5"/>
    <w:rsid w:val="00784BBF"/>
    <w:rsid w:val="00784E8D"/>
    <w:rsid w:val="007851F0"/>
    <w:rsid w:val="00785368"/>
    <w:rsid w:val="00785589"/>
    <w:rsid w:val="00785607"/>
    <w:rsid w:val="00785D61"/>
    <w:rsid w:val="00785EC0"/>
    <w:rsid w:val="007860CD"/>
    <w:rsid w:val="0078611C"/>
    <w:rsid w:val="007865C5"/>
    <w:rsid w:val="0078667C"/>
    <w:rsid w:val="0078751F"/>
    <w:rsid w:val="00787628"/>
    <w:rsid w:val="00787AA3"/>
    <w:rsid w:val="00787B59"/>
    <w:rsid w:val="00790AA3"/>
    <w:rsid w:val="00791525"/>
    <w:rsid w:val="00791D53"/>
    <w:rsid w:val="00791F84"/>
    <w:rsid w:val="00792730"/>
    <w:rsid w:val="0079290F"/>
    <w:rsid w:val="007929C4"/>
    <w:rsid w:val="00792E78"/>
    <w:rsid w:val="00792EB2"/>
    <w:rsid w:val="007935C0"/>
    <w:rsid w:val="0079378D"/>
    <w:rsid w:val="007939D8"/>
    <w:rsid w:val="00794463"/>
    <w:rsid w:val="00794C89"/>
    <w:rsid w:val="00795475"/>
    <w:rsid w:val="0079552B"/>
    <w:rsid w:val="007957C4"/>
    <w:rsid w:val="007958D6"/>
    <w:rsid w:val="00795DF6"/>
    <w:rsid w:val="00796A78"/>
    <w:rsid w:val="00796EBA"/>
    <w:rsid w:val="007971EF"/>
    <w:rsid w:val="0079747A"/>
    <w:rsid w:val="0079766D"/>
    <w:rsid w:val="00797892"/>
    <w:rsid w:val="00797DAA"/>
    <w:rsid w:val="007A00B0"/>
    <w:rsid w:val="007A00EA"/>
    <w:rsid w:val="007A06AD"/>
    <w:rsid w:val="007A06CE"/>
    <w:rsid w:val="007A0A38"/>
    <w:rsid w:val="007A0BC6"/>
    <w:rsid w:val="007A0C9E"/>
    <w:rsid w:val="007A0EE1"/>
    <w:rsid w:val="007A1139"/>
    <w:rsid w:val="007A144F"/>
    <w:rsid w:val="007A146B"/>
    <w:rsid w:val="007A2F56"/>
    <w:rsid w:val="007A30D3"/>
    <w:rsid w:val="007A31E6"/>
    <w:rsid w:val="007A3985"/>
    <w:rsid w:val="007A4374"/>
    <w:rsid w:val="007A4713"/>
    <w:rsid w:val="007A4C23"/>
    <w:rsid w:val="007A50F2"/>
    <w:rsid w:val="007A520D"/>
    <w:rsid w:val="007A544A"/>
    <w:rsid w:val="007A5DB0"/>
    <w:rsid w:val="007A5FA9"/>
    <w:rsid w:val="007A6F56"/>
    <w:rsid w:val="007A7564"/>
    <w:rsid w:val="007A794E"/>
    <w:rsid w:val="007A7DAE"/>
    <w:rsid w:val="007A7E1F"/>
    <w:rsid w:val="007A7FBF"/>
    <w:rsid w:val="007A7FCF"/>
    <w:rsid w:val="007B03EB"/>
    <w:rsid w:val="007B0537"/>
    <w:rsid w:val="007B060E"/>
    <w:rsid w:val="007B066C"/>
    <w:rsid w:val="007B0899"/>
    <w:rsid w:val="007B0C45"/>
    <w:rsid w:val="007B188C"/>
    <w:rsid w:val="007B1A2B"/>
    <w:rsid w:val="007B1AD1"/>
    <w:rsid w:val="007B1BC2"/>
    <w:rsid w:val="007B1E2D"/>
    <w:rsid w:val="007B28FF"/>
    <w:rsid w:val="007B2B4C"/>
    <w:rsid w:val="007B3965"/>
    <w:rsid w:val="007B40B6"/>
    <w:rsid w:val="007B40CD"/>
    <w:rsid w:val="007B4680"/>
    <w:rsid w:val="007B4A5A"/>
    <w:rsid w:val="007B4CCC"/>
    <w:rsid w:val="007B532D"/>
    <w:rsid w:val="007B53ED"/>
    <w:rsid w:val="007B57DB"/>
    <w:rsid w:val="007B59A6"/>
    <w:rsid w:val="007B6C99"/>
    <w:rsid w:val="007B6DE1"/>
    <w:rsid w:val="007B769B"/>
    <w:rsid w:val="007B7975"/>
    <w:rsid w:val="007B7A5D"/>
    <w:rsid w:val="007B7DF9"/>
    <w:rsid w:val="007C07D1"/>
    <w:rsid w:val="007C0CAE"/>
    <w:rsid w:val="007C1481"/>
    <w:rsid w:val="007C1C69"/>
    <w:rsid w:val="007C211D"/>
    <w:rsid w:val="007C23C8"/>
    <w:rsid w:val="007C2449"/>
    <w:rsid w:val="007C3295"/>
    <w:rsid w:val="007C36B9"/>
    <w:rsid w:val="007C3BF4"/>
    <w:rsid w:val="007C3D2A"/>
    <w:rsid w:val="007C4158"/>
    <w:rsid w:val="007C4F91"/>
    <w:rsid w:val="007C5B5A"/>
    <w:rsid w:val="007C6208"/>
    <w:rsid w:val="007C6873"/>
    <w:rsid w:val="007C6C45"/>
    <w:rsid w:val="007C718E"/>
    <w:rsid w:val="007C74C2"/>
    <w:rsid w:val="007C77E5"/>
    <w:rsid w:val="007C7949"/>
    <w:rsid w:val="007C7AD9"/>
    <w:rsid w:val="007D00E7"/>
    <w:rsid w:val="007D07FE"/>
    <w:rsid w:val="007D0971"/>
    <w:rsid w:val="007D09DA"/>
    <w:rsid w:val="007D0A20"/>
    <w:rsid w:val="007D1168"/>
    <w:rsid w:val="007D12E5"/>
    <w:rsid w:val="007D1EAA"/>
    <w:rsid w:val="007D1F77"/>
    <w:rsid w:val="007D2316"/>
    <w:rsid w:val="007D232A"/>
    <w:rsid w:val="007D276D"/>
    <w:rsid w:val="007D2949"/>
    <w:rsid w:val="007D2A49"/>
    <w:rsid w:val="007D36C5"/>
    <w:rsid w:val="007D450E"/>
    <w:rsid w:val="007D496D"/>
    <w:rsid w:val="007D4E98"/>
    <w:rsid w:val="007D551E"/>
    <w:rsid w:val="007D5F5A"/>
    <w:rsid w:val="007D6315"/>
    <w:rsid w:val="007D6521"/>
    <w:rsid w:val="007D686C"/>
    <w:rsid w:val="007D6C76"/>
    <w:rsid w:val="007D6CB6"/>
    <w:rsid w:val="007D6F74"/>
    <w:rsid w:val="007D7601"/>
    <w:rsid w:val="007D7AA2"/>
    <w:rsid w:val="007E04A9"/>
    <w:rsid w:val="007E07D2"/>
    <w:rsid w:val="007E10EF"/>
    <w:rsid w:val="007E138A"/>
    <w:rsid w:val="007E15FF"/>
    <w:rsid w:val="007E1FAA"/>
    <w:rsid w:val="007E216A"/>
    <w:rsid w:val="007E25F5"/>
    <w:rsid w:val="007E2B3A"/>
    <w:rsid w:val="007E2D4D"/>
    <w:rsid w:val="007E304E"/>
    <w:rsid w:val="007E351E"/>
    <w:rsid w:val="007E3AEB"/>
    <w:rsid w:val="007E3CA0"/>
    <w:rsid w:val="007E3DBA"/>
    <w:rsid w:val="007E3EDF"/>
    <w:rsid w:val="007E50AD"/>
    <w:rsid w:val="007E51EC"/>
    <w:rsid w:val="007E5743"/>
    <w:rsid w:val="007E5873"/>
    <w:rsid w:val="007E5933"/>
    <w:rsid w:val="007E59DB"/>
    <w:rsid w:val="007E5A16"/>
    <w:rsid w:val="007E5FEC"/>
    <w:rsid w:val="007E6160"/>
    <w:rsid w:val="007E6173"/>
    <w:rsid w:val="007E77BF"/>
    <w:rsid w:val="007E7A58"/>
    <w:rsid w:val="007E7FCD"/>
    <w:rsid w:val="007F00EB"/>
    <w:rsid w:val="007F0797"/>
    <w:rsid w:val="007F0990"/>
    <w:rsid w:val="007F0E01"/>
    <w:rsid w:val="007F183B"/>
    <w:rsid w:val="007F1C9A"/>
    <w:rsid w:val="007F2258"/>
    <w:rsid w:val="007F22F2"/>
    <w:rsid w:val="007F24D1"/>
    <w:rsid w:val="007F2F40"/>
    <w:rsid w:val="007F3187"/>
    <w:rsid w:val="007F32DB"/>
    <w:rsid w:val="007F3F50"/>
    <w:rsid w:val="007F426D"/>
    <w:rsid w:val="007F46BA"/>
    <w:rsid w:val="007F4A67"/>
    <w:rsid w:val="007F4AF5"/>
    <w:rsid w:val="007F4DB3"/>
    <w:rsid w:val="007F5139"/>
    <w:rsid w:val="007F528B"/>
    <w:rsid w:val="007F6031"/>
    <w:rsid w:val="007F607D"/>
    <w:rsid w:val="007F68D6"/>
    <w:rsid w:val="007F719D"/>
    <w:rsid w:val="007F736D"/>
    <w:rsid w:val="007F7387"/>
    <w:rsid w:val="007F77E7"/>
    <w:rsid w:val="007F79DB"/>
    <w:rsid w:val="007F7A24"/>
    <w:rsid w:val="008006F4"/>
    <w:rsid w:val="00800769"/>
    <w:rsid w:val="00800C34"/>
    <w:rsid w:val="00801485"/>
    <w:rsid w:val="0080153D"/>
    <w:rsid w:val="00801843"/>
    <w:rsid w:val="00801A06"/>
    <w:rsid w:val="00801A99"/>
    <w:rsid w:val="00801E2B"/>
    <w:rsid w:val="008022A3"/>
    <w:rsid w:val="00802784"/>
    <w:rsid w:val="00802A05"/>
    <w:rsid w:val="00802A46"/>
    <w:rsid w:val="00802C26"/>
    <w:rsid w:val="00802FDC"/>
    <w:rsid w:val="00803235"/>
    <w:rsid w:val="008033CE"/>
    <w:rsid w:val="00803E14"/>
    <w:rsid w:val="00803F5B"/>
    <w:rsid w:val="0080435D"/>
    <w:rsid w:val="00804BFE"/>
    <w:rsid w:val="008059BC"/>
    <w:rsid w:val="00805EDF"/>
    <w:rsid w:val="00805EFF"/>
    <w:rsid w:val="008067F0"/>
    <w:rsid w:val="008068F4"/>
    <w:rsid w:val="00807048"/>
    <w:rsid w:val="00807270"/>
    <w:rsid w:val="008073CF"/>
    <w:rsid w:val="0080776B"/>
    <w:rsid w:val="008078C5"/>
    <w:rsid w:val="00807954"/>
    <w:rsid w:val="00807C6A"/>
    <w:rsid w:val="00807E89"/>
    <w:rsid w:val="00810A68"/>
    <w:rsid w:val="00810AC4"/>
    <w:rsid w:val="00810E77"/>
    <w:rsid w:val="00810F37"/>
    <w:rsid w:val="0081130B"/>
    <w:rsid w:val="008114C2"/>
    <w:rsid w:val="00811672"/>
    <w:rsid w:val="00811F79"/>
    <w:rsid w:val="008120F8"/>
    <w:rsid w:val="008122F5"/>
    <w:rsid w:val="00812383"/>
    <w:rsid w:val="00812F73"/>
    <w:rsid w:val="00813259"/>
    <w:rsid w:val="0081409C"/>
    <w:rsid w:val="0081410B"/>
    <w:rsid w:val="00814E60"/>
    <w:rsid w:val="00815B71"/>
    <w:rsid w:val="008162D9"/>
    <w:rsid w:val="0081630B"/>
    <w:rsid w:val="0081652A"/>
    <w:rsid w:val="00816802"/>
    <w:rsid w:val="00817033"/>
    <w:rsid w:val="0081792C"/>
    <w:rsid w:val="00820200"/>
    <w:rsid w:val="00820236"/>
    <w:rsid w:val="00820286"/>
    <w:rsid w:val="0082111E"/>
    <w:rsid w:val="0082149E"/>
    <w:rsid w:val="0082169E"/>
    <w:rsid w:val="00822462"/>
    <w:rsid w:val="00822F09"/>
    <w:rsid w:val="00823120"/>
    <w:rsid w:val="008236D4"/>
    <w:rsid w:val="00823CA2"/>
    <w:rsid w:val="008240E1"/>
    <w:rsid w:val="008245DE"/>
    <w:rsid w:val="0082512C"/>
    <w:rsid w:val="00825317"/>
    <w:rsid w:val="00825D5D"/>
    <w:rsid w:val="00826301"/>
    <w:rsid w:val="00826824"/>
    <w:rsid w:val="00826D3D"/>
    <w:rsid w:val="00826FFE"/>
    <w:rsid w:val="0082721A"/>
    <w:rsid w:val="00827831"/>
    <w:rsid w:val="00827B0B"/>
    <w:rsid w:val="00827B1C"/>
    <w:rsid w:val="0083021E"/>
    <w:rsid w:val="00830223"/>
    <w:rsid w:val="00830B36"/>
    <w:rsid w:val="00830B87"/>
    <w:rsid w:val="00830C1A"/>
    <w:rsid w:val="00830CFB"/>
    <w:rsid w:val="00830D15"/>
    <w:rsid w:val="00831803"/>
    <w:rsid w:val="008319AD"/>
    <w:rsid w:val="00831B0B"/>
    <w:rsid w:val="008323D6"/>
    <w:rsid w:val="00832EBC"/>
    <w:rsid w:val="00832F32"/>
    <w:rsid w:val="00832F33"/>
    <w:rsid w:val="00833237"/>
    <w:rsid w:val="00833645"/>
    <w:rsid w:val="008337A3"/>
    <w:rsid w:val="00833A0F"/>
    <w:rsid w:val="00833AA0"/>
    <w:rsid w:val="00833B76"/>
    <w:rsid w:val="00833BB1"/>
    <w:rsid w:val="00833D2E"/>
    <w:rsid w:val="00834829"/>
    <w:rsid w:val="00834B93"/>
    <w:rsid w:val="00834D57"/>
    <w:rsid w:val="008362D0"/>
    <w:rsid w:val="00836317"/>
    <w:rsid w:val="008367C9"/>
    <w:rsid w:val="008368D6"/>
    <w:rsid w:val="00836B66"/>
    <w:rsid w:val="00837E35"/>
    <w:rsid w:val="00840402"/>
    <w:rsid w:val="00840838"/>
    <w:rsid w:val="00840F50"/>
    <w:rsid w:val="00841032"/>
    <w:rsid w:val="008414A8"/>
    <w:rsid w:val="00841694"/>
    <w:rsid w:val="00841BA4"/>
    <w:rsid w:val="0084324D"/>
    <w:rsid w:val="00843589"/>
    <w:rsid w:val="00843ABD"/>
    <w:rsid w:val="00843FAF"/>
    <w:rsid w:val="00843FFC"/>
    <w:rsid w:val="00844218"/>
    <w:rsid w:val="00844448"/>
    <w:rsid w:val="00844638"/>
    <w:rsid w:val="00845071"/>
    <w:rsid w:val="008460C5"/>
    <w:rsid w:val="00846EB7"/>
    <w:rsid w:val="0084789E"/>
    <w:rsid w:val="008478BE"/>
    <w:rsid w:val="00847A39"/>
    <w:rsid w:val="00847F87"/>
    <w:rsid w:val="00851195"/>
    <w:rsid w:val="0085142B"/>
    <w:rsid w:val="0085154D"/>
    <w:rsid w:val="00851AB2"/>
    <w:rsid w:val="0085213B"/>
    <w:rsid w:val="00852691"/>
    <w:rsid w:val="00852B33"/>
    <w:rsid w:val="00852BE9"/>
    <w:rsid w:val="00853F0E"/>
    <w:rsid w:val="0085408F"/>
    <w:rsid w:val="00854137"/>
    <w:rsid w:val="0085471C"/>
    <w:rsid w:val="008548AD"/>
    <w:rsid w:val="00854B62"/>
    <w:rsid w:val="008555A5"/>
    <w:rsid w:val="00855D22"/>
    <w:rsid w:val="0085624E"/>
    <w:rsid w:val="008562C9"/>
    <w:rsid w:val="00856872"/>
    <w:rsid w:val="00856B5E"/>
    <w:rsid w:val="00856CCF"/>
    <w:rsid w:val="00857847"/>
    <w:rsid w:val="0086037F"/>
    <w:rsid w:val="00860DF4"/>
    <w:rsid w:val="00861505"/>
    <w:rsid w:val="00861D83"/>
    <w:rsid w:val="008621D6"/>
    <w:rsid w:val="008623FD"/>
    <w:rsid w:val="008639F6"/>
    <w:rsid w:val="008646B3"/>
    <w:rsid w:val="008658FD"/>
    <w:rsid w:val="00865B6F"/>
    <w:rsid w:val="00865BE5"/>
    <w:rsid w:val="00865F40"/>
    <w:rsid w:val="008666F3"/>
    <w:rsid w:val="00866F1C"/>
    <w:rsid w:val="00867637"/>
    <w:rsid w:val="00867EA4"/>
    <w:rsid w:val="00870416"/>
    <w:rsid w:val="00870497"/>
    <w:rsid w:val="00870AEC"/>
    <w:rsid w:val="00870CB7"/>
    <w:rsid w:val="00870FAF"/>
    <w:rsid w:val="00871643"/>
    <w:rsid w:val="008718A5"/>
    <w:rsid w:val="00871BFC"/>
    <w:rsid w:val="00872031"/>
    <w:rsid w:val="008726C0"/>
    <w:rsid w:val="00872CC3"/>
    <w:rsid w:val="008730A6"/>
    <w:rsid w:val="00873219"/>
    <w:rsid w:val="0087376E"/>
    <w:rsid w:val="00873801"/>
    <w:rsid w:val="00873A3A"/>
    <w:rsid w:val="0087428A"/>
    <w:rsid w:val="00874659"/>
    <w:rsid w:val="008746D7"/>
    <w:rsid w:val="008747D6"/>
    <w:rsid w:val="008748D1"/>
    <w:rsid w:val="00874F64"/>
    <w:rsid w:val="00875722"/>
    <w:rsid w:val="008758FE"/>
    <w:rsid w:val="008763FA"/>
    <w:rsid w:val="0087642E"/>
    <w:rsid w:val="0087654D"/>
    <w:rsid w:val="00876C7C"/>
    <w:rsid w:val="00877180"/>
    <w:rsid w:val="00877196"/>
    <w:rsid w:val="00880B75"/>
    <w:rsid w:val="00880CCA"/>
    <w:rsid w:val="0088107F"/>
    <w:rsid w:val="00881BBD"/>
    <w:rsid w:val="00881FA7"/>
    <w:rsid w:val="008822F7"/>
    <w:rsid w:val="00882416"/>
    <w:rsid w:val="00882522"/>
    <w:rsid w:val="0088359C"/>
    <w:rsid w:val="008836D9"/>
    <w:rsid w:val="00883807"/>
    <w:rsid w:val="00883B4A"/>
    <w:rsid w:val="00883DAA"/>
    <w:rsid w:val="00883F0C"/>
    <w:rsid w:val="008840B1"/>
    <w:rsid w:val="0088414F"/>
    <w:rsid w:val="00884399"/>
    <w:rsid w:val="0088475E"/>
    <w:rsid w:val="00884E84"/>
    <w:rsid w:val="00885579"/>
    <w:rsid w:val="00885949"/>
    <w:rsid w:val="00885997"/>
    <w:rsid w:val="00885CFD"/>
    <w:rsid w:val="00887BCB"/>
    <w:rsid w:val="00887D2E"/>
    <w:rsid w:val="00890211"/>
    <w:rsid w:val="0089062F"/>
    <w:rsid w:val="0089076A"/>
    <w:rsid w:val="00890814"/>
    <w:rsid w:val="00890E30"/>
    <w:rsid w:val="00890E6F"/>
    <w:rsid w:val="008911AE"/>
    <w:rsid w:val="00891998"/>
    <w:rsid w:val="00891B1B"/>
    <w:rsid w:val="00891BC7"/>
    <w:rsid w:val="00891E8A"/>
    <w:rsid w:val="00891F5C"/>
    <w:rsid w:val="00892A8D"/>
    <w:rsid w:val="00892EC5"/>
    <w:rsid w:val="00893078"/>
    <w:rsid w:val="0089326D"/>
    <w:rsid w:val="0089359D"/>
    <w:rsid w:val="00893A52"/>
    <w:rsid w:val="00893D91"/>
    <w:rsid w:val="00893E8C"/>
    <w:rsid w:val="00894841"/>
    <w:rsid w:val="00894BCD"/>
    <w:rsid w:val="00895164"/>
    <w:rsid w:val="0089560C"/>
    <w:rsid w:val="00895AB3"/>
    <w:rsid w:val="00895CBA"/>
    <w:rsid w:val="00895D2F"/>
    <w:rsid w:val="00895F94"/>
    <w:rsid w:val="0089608E"/>
    <w:rsid w:val="008966A9"/>
    <w:rsid w:val="0089729D"/>
    <w:rsid w:val="008978A1"/>
    <w:rsid w:val="00897EE4"/>
    <w:rsid w:val="008A036C"/>
    <w:rsid w:val="008A0ED8"/>
    <w:rsid w:val="008A147A"/>
    <w:rsid w:val="008A14BD"/>
    <w:rsid w:val="008A16AC"/>
    <w:rsid w:val="008A1AFE"/>
    <w:rsid w:val="008A2541"/>
    <w:rsid w:val="008A2A05"/>
    <w:rsid w:val="008A36A2"/>
    <w:rsid w:val="008A3FC4"/>
    <w:rsid w:val="008A45A8"/>
    <w:rsid w:val="008A4905"/>
    <w:rsid w:val="008A4972"/>
    <w:rsid w:val="008A4A94"/>
    <w:rsid w:val="008A4C55"/>
    <w:rsid w:val="008A5E87"/>
    <w:rsid w:val="008A6071"/>
    <w:rsid w:val="008A60E2"/>
    <w:rsid w:val="008A6669"/>
    <w:rsid w:val="008A68F2"/>
    <w:rsid w:val="008A693E"/>
    <w:rsid w:val="008A6B01"/>
    <w:rsid w:val="008A6D00"/>
    <w:rsid w:val="008A7E29"/>
    <w:rsid w:val="008A7E90"/>
    <w:rsid w:val="008B0867"/>
    <w:rsid w:val="008B0A36"/>
    <w:rsid w:val="008B11AC"/>
    <w:rsid w:val="008B15BA"/>
    <w:rsid w:val="008B1A96"/>
    <w:rsid w:val="008B1AF2"/>
    <w:rsid w:val="008B1CC1"/>
    <w:rsid w:val="008B1CC2"/>
    <w:rsid w:val="008B1E66"/>
    <w:rsid w:val="008B1EBF"/>
    <w:rsid w:val="008B219D"/>
    <w:rsid w:val="008B2556"/>
    <w:rsid w:val="008B2ABE"/>
    <w:rsid w:val="008B3A2D"/>
    <w:rsid w:val="008B3B61"/>
    <w:rsid w:val="008B4828"/>
    <w:rsid w:val="008B4C3C"/>
    <w:rsid w:val="008B4C7A"/>
    <w:rsid w:val="008B4CDC"/>
    <w:rsid w:val="008B4DD6"/>
    <w:rsid w:val="008B508A"/>
    <w:rsid w:val="008B52F6"/>
    <w:rsid w:val="008B532E"/>
    <w:rsid w:val="008B566F"/>
    <w:rsid w:val="008B61C9"/>
    <w:rsid w:val="008B63C4"/>
    <w:rsid w:val="008B6ACC"/>
    <w:rsid w:val="008B6B0D"/>
    <w:rsid w:val="008B6CC6"/>
    <w:rsid w:val="008B7452"/>
    <w:rsid w:val="008B74CB"/>
    <w:rsid w:val="008B74D6"/>
    <w:rsid w:val="008B7524"/>
    <w:rsid w:val="008B75BE"/>
    <w:rsid w:val="008C09FB"/>
    <w:rsid w:val="008C0D74"/>
    <w:rsid w:val="008C0F12"/>
    <w:rsid w:val="008C12B9"/>
    <w:rsid w:val="008C13D9"/>
    <w:rsid w:val="008C1478"/>
    <w:rsid w:val="008C1C67"/>
    <w:rsid w:val="008C1F8D"/>
    <w:rsid w:val="008C2ED8"/>
    <w:rsid w:val="008C3DEB"/>
    <w:rsid w:val="008C48A0"/>
    <w:rsid w:val="008C4E0C"/>
    <w:rsid w:val="008C5399"/>
    <w:rsid w:val="008C53FC"/>
    <w:rsid w:val="008C55A0"/>
    <w:rsid w:val="008C5CDD"/>
    <w:rsid w:val="008C60AE"/>
    <w:rsid w:val="008C6D4F"/>
    <w:rsid w:val="008C6EDB"/>
    <w:rsid w:val="008C6F07"/>
    <w:rsid w:val="008C7200"/>
    <w:rsid w:val="008C72E6"/>
    <w:rsid w:val="008C7BAF"/>
    <w:rsid w:val="008D0037"/>
    <w:rsid w:val="008D0225"/>
    <w:rsid w:val="008D08A1"/>
    <w:rsid w:val="008D107F"/>
    <w:rsid w:val="008D1138"/>
    <w:rsid w:val="008D1E50"/>
    <w:rsid w:val="008D27A9"/>
    <w:rsid w:val="008D3089"/>
    <w:rsid w:val="008D32C0"/>
    <w:rsid w:val="008D3C9B"/>
    <w:rsid w:val="008D403B"/>
    <w:rsid w:val="008D512D"/>
    <w:rsid w:val="008D5991"/>
    <w:rsid w:val="008D5E4A"/>
    <w:rsid w:val="008D5F89"/>
    <w:rsid w:val="008D61EF"/>
    <w:rsid w:val="008D65B7"/>
    <w:rsid w:val="008D66B2"/>
    <w:rsid w:val="008D68BA"/>
    <w:rsid w:val="008D6A67"/>
    <w:rsid w:val="008D6CBD"/>
    <w:rsid w:val="008D6E08"/>
    <w:rsid w:val="008D6FDD"/>
    <w:rsid w:val="008D71EC"/>
    <w:rsid w:val="008D7553"/>
    <w:rsid w:val="008D7A6A"/>
    <w:rsid w:val="008D7B14"/>
    <w:rsid w:val="008E0120"/>
    <w:rsid w:val="008E014B"/>
    <w:rsid w:val="008E0312"/>
    <w:rsid w:val="008E0813"/>
    <w:rsid w:val="008E133E"/>
    <w:rsid w:val="008E1790"/>
    <w:rsid w:val="008E23C4"/>
    <w:rsid w:val="008E24A9"/>
    <w:rsid w:val="008E24C2"/>
    <w:rsid w:val="008E2792"/>
    <w:rsid w:val="008E2FDA"/>
    <w:rsid w:val="008E3645"/>
    <w:rsid w:val="008E3F70"/>
    <w:rsid w:val="008E3F91"/>
    <w:rsid w:val="008E45BD"/>
    <w:rsid w:val="008E4CFA"/>
    <w:rsid w:val="008E4F19"/>
    <w:rsid w:val="008E5609"/>
    <w:rsid w:val="008E591E"/>
    <w:rsid w:val="008E5F54"/>
    <w:rsid w:val="008E6A92"/>
    <w:rsid w:val="008E7012"/>
    <w:rsid w:val="008E7074"/>
    <w:rsid w:val="008E7357"/>
    <w:rsid w:val="008E7489"/>
    <w:rsid w:val="008E7955"/>
    <w:rsid w:val="008E7B99"/>
    <w:rsid w:val="008F00AF"/>
    <w:rsid w:val="008F0324"/>
    <w:rsid w:val="008F03B0"/>
    <w:rsid w:val="008F107E"/>
    <w:rsid w:val="008F14C8"/>
    <w:rsid w:val="008F16A1"/>
    <w:rsid w:val="008F1842"/>
    <w:rsid w:val="008F189B"/>
    <w:rsid w:val="008F18B5"/>
    <w:rsid w:val="008F1AF6"/>
    <w:rsid w:val="008F2B4C"/>
    <w:rsid w:val="008F39D5"/>
    <w:rsid w:val="008F3CDC"/>
    <w:rsid w:val="008F3E3D"/>
    <w:rsid w:val="008F4400"/>
    <w:rsid w:val="008F4E62"/>
    <w:rsid w:val="008F509C"/>
    <w:rsid w:val="008F575A"/>
    <w:rsid w:val="008F6152"/>
    <w:rsid w:val="008F6292"/>
    <w:rsid w:val="008F6383"/>
    <w:rsid w:val="008F68A2"/>
    <w:rsid w:val="008F68B1"/>
    <w:rsid w:val="008F6BD9"/>
    <w:rsid w:val="008F7828"/>
    <w:rsid w:val="008F78C8"/>
    <w:rsid w:val="008F7AA6"/>
    <w:rsid w:val="008F7DEF"/>
    <w:rsid w:val="009007E9"/>
    <w:rsid w:val="00900B4F"/>
    <w:rsid w:val="00900D7E"/>
    <w:rsid w:val="00901314"/>
    <w:rsid w:val="00901319"/>
    <w:rsid w:val="009014D7"/>
    <w:rsid w:val="009014E6"/>
    <w:rsid w:val="00901B2F"/>
    <w:rsid w:val="00901EF3"/>
    <w:rsid w:val="00902FDA"/>
    <w:rsid w:val="009032F9"/>
    <w:rsid w:val="00903872"/>
    <w:rsid w:val="00903883"/>
    <w:rsid w:val="0090566E"/>
    <w:rsid w:val="00905D7F"/>
    <w:rsid w:val="00906AE8"/>
    <w:rsid w:val="009072C8"/>
    <w:rsid w:val="009075AF"/>
    <w:rsid w:val="00907744"/>
    <w:rsid w:val="00907E36"/>
    <w:rsid w:val="009108EC"/>
    <w:rsid w:val="00910976"/>
    <w:rsid w:val="00910C4B"/>
    <w:rsid w:val="00910E1C"/>
    <w:rsid w:val="009113F3"/>
    <w:rsid w:val="00911917"/>
    <w:rsid w:val="00911A92"/>
    <w:rsid w:val="00911E9E"/>
    <w:rsid w:val="009124E1"/>
    <w:rsid w:val="009126E3"/>
    <w:rsid w:val="0091273F"/>
    <w:rsid w:val="00912DB3"/>
    <w:rsid w:val="00912F96"/>
    <w:rsid w:val="00913193"/>
    <w:rsid w:val="00913594"/>
    <w:rsid w:val="00913600"/>
    <w:rsid w:val="0091377B"/>
    <w:rsid w:val="009139F4"/>
    <w:rsid w:val="00913C2E"/>
    <w:rsid w:val="00913C8E"/>
    <w:rsid w:val="00914394"/>
    <w:rsid w:val="0091471A"/>
    <w:rsid w:val="00914C3B"/>
    <w:rsid w:val="00915309"/>
    <w:rsid w:val="00915515"/>
    <w:rsid w:val="00915A1C"/>
    <w:rsid w:val="009160B4"/>
    <w:rsid w:val="009165A8"/>
    <w:rsid w:val="00917101"/>
    <w:rsid w:val="00917154"/>
    <w:rsid w:val="009175D8"/>
    <w:rsid w:val="00920153"/>
    <w:rsid w:val="00920FBB"/>
    <w:rsid w:val="00921147"/>
    <w:rsid w:val="00921174"/>
    <w:rsid w:val="00921199"/>
    <w:rsid w:val="009211DB"/>
    <w:rsid w:val="00921277"/>
    <w:rsid w:val="009219E1"/>
    <w:rsid w:val="0092217D"/>
    <w:rsid w:val="009223C2"/>
    <w:rsid w:val="00922BF8"/>
    <w:rsid w:val="009230BB"/>
    <w:rsid w:val="0092363D"/>
    <w:rsid w:val="00923A28"/>
    <w:rsid w:val="009245DF"/>
    <w:rsid w:val="00924745"/>
    <w:rsid w:val="00924F1D"/>
    <w:rsid w:val="009251B6"/>
    <w:rsid w:val="00925485"/>
    <w:rsid w:val="00925D94"/>
    <w:rsid w:val="00925DEF"/>
    <w:rsid w:val="00925FB7"/>
    <w:rsid w:val="009262EA"/>
    <w:rsid w:val="00926553"/>
    <w:rsid w:val="0092682E"/>
    <w:rsid w:val="00926C8D"/>
    <w:rsid w:val="009270CD"/>
    <w:rsid w:val="009274D8"/>
    <w:rsid w:val="00927625"/>
    <w:rsid w:val="00927E91"/>
    <w:rsid w:val="00930152"/>
    <w:rsid w:val="009303FB"/>
    <w:rsid w:val="00930D3F"/>
    <w:rsid w:val="00930FAD"/>
    <w:rsid w:val="00931544"/>
    <w:rsid w:val="009316F3"/>
    <w:rsid w:val="0093174D"/>
    <w:rsid w:val="00931986"/>
    <w:rsid w:val="00932A64"/>
    <w:rsid w:val="00932DCB"/>
    <w:rsid w:val="00932DE2"/>
    <w:rsid w:val="00932FA7"/>
    <w:rsid w:val="00933C37"/>
    <w:rsid w:val="009351D8"/>
    <w:rsid w:val="0093544E"/>
    <w:rsid w:val="00935C66"/>
    <w:rsid w:val="00935CC8"/>
    <w:rsid w:val="00936E76"/>
    <w:rsid w:val="00936F37"/>
    <w:rsid w:val="009370A8"/>
    <w:rsid w:val="00937D54"/>
    <w:rsid w:val="00937DA5"/>
    <w:rsid w:val="00937E77"/>
    <w:rsid w:val="00940D01"/>
    <w:rsid w:val="00940E7A"/>
    <w:rsid w:val="00940EC7"/>
    <w:rsid w:val="0094134F"/>
    <w:rsid w:val="00941631"/>
    <w:rsid w:val="00941B94"/>
    <w:rsid w:val="00942061"/>
    <w:rsid w:val="00942B55"/>
    <w:rsid w:val="00942FF5"/>
    <w:rsid w:val="0094308F"/>
    <w:rsid w:val="00943A4B"/>
    <w:rsid w:val="00943E67"/>
    <w:rsid w:val="009453DA"/>
    <w:rsid w:val="009454BC"/>
    <w:rsid w:val="00945AC6"/>
    <w:rsid w:val="00945D95"/>
    <w:rsid w:val="00946515"/>
    <w:rsid w:val="009469B6"/>
    <w:rsid w:val="00946DEF"/>
    <w:rsid w:val="00946F33"/>
    <w:rsid w:val="00947334"/>
    <w:rsid w:val="00947A31"/>
    <w:rsid w:val="00947D29"/>
    <w:rsid w:val="00947E38"/>
    <w:rsid w:val="00950373"/>
    <w:rsid w:val="009507CA"/>
    <w:rsid w:val="00950AC1"/>
    <w:rsid w:val="00950B00"/>
    <w:rsid w:val="00950D1E"/>
    <w:rsid w:val="00950DA8"/>
    <w:rsid w:val="0095127D"/>
    <w:rsid w:val="00951293"/>
    <w:rsid w:val="009516FC"/>
    <w:rsid w:val="0095260F"/>
    <w:rsid w:val="00952A1B"/>
    <w:rsid w:val="00952C12"/>
    <w:rsid w:val="0095310E"/>
    <w:rsid w:val="009531A0"/>
    <w:rsid w:val="009531B9"/>
    <w:rsid w:val="00953620"/>
    <w:rsid w:val="00953C1F"/>
    <w:rsid w:val="00954276"/>
    <w:rsid w:val="0095444C"/>
    <w:rsid w:val="009548CC"/>
    <w:rsid w:val="0095490E"/>
    <w:rsid w:val="009549D9"/>
    <w:rsid w:val="00954B1E"/>
    <w:rsid w:val="00955CE4"/>
    <w:rsid w:val="00955E17"/>
    <w:rsid w:val="009563F9"/>
    <w:rsid w:val="00956935"/>
    <w:rsid w:val="00956EBF"/>
    <w:rsid w:val="00957014"/>
    <w:rsid w:val="0095754E"/>
    <w:rsid w:val="009578F3"/>
    <w:rsid w:val="00957EAA"/>
    <w:rsid w:val="009610B4"/>
    <w:rsid w:val="0096113B"/>
    <w:rsid w:val="0096136D"/>
    <w:rsid w:val="00961459"/>
    <w:rsid w:val="00962DCC"/>
    <w:rsid w:val="00962F4F"/>
    <w:rsid w:val="00963008"/>
    <w:rsid w:val="0096344D"/>
    <w:rsid w:val="0096352C"/>
    <w:rsid w:val="009643D7"/>
    <w:rsid w:val="00964605"/>
    <w:rsid w:val="00964861"/>
    <w:rsid w:val="009657E7"/>
    <w:rsid w:val="00965802"/>
    <w:rsid w:val="00965FB2"/>
    <w:rsid w:val="00965FBB"/>
    <w:rsid w:val="00966046"/>
    <w:rsid w:val="00966211"/>
    <w:rsid w:val="0096647A"/>
    <w:rsid w:val="00966490"/>
    <w:rsid w:val="00966826"/>
    <w:rsid w:val="00966C50"/>
    <w:rsid w:val="00967096"/>
    <w:rsid w:val="009671FE"/>
    <w:rsid w:val="009674F1"/>
    <w:rsid w:val="00967D05"/>
    <w:rsid w:val="0097028A"/>
    <w:rsid w:val="0097034A"/>
    <w:rsid w:val="00971450"/>
    <w:rsid w:val="00971D64"/>
    <w:rsid w:val="00972062"/>
    <w:rsid w:val="00972421"/>
    <w:rsid w:val="00973087"/>
    <w:rsid w:val="0097318C"/>
    <w:rsid w:val="0097325C"/>
    <w:rsid w:val="0097382D"/>
    <w:rsid w:val="00973BE7"/>
    <w:rsid w:val="00973C18"/>
    <w:rsid w:val="00973C5A"/>
    <w:rsid w:val="00974713"/>
    <w:rsid w:val="00974E2E"/>
    <w:rsid w:val="00974E97"/>
    <w:rsid w:val="00974FA0"/>
    <w:rsid w:val="00975571"/>
    <w:rsid w:val="00975871"/>
    <w:rsid w:val="009759D7"/>
    <w:rsid w:val="00975E5B"/>
    <w:rsid w:val="009766FD"/>
    <w:rsid w:val="009767B7"/>
    <w:rsid w:val="009769A8"/>
    <w:rsid w:val="009775B1"/>
    <w:rsid w:val="009775EF"/>
    <w:rsid w:val="009807E4"/>
    <w:rsid w:val="00980A3A"/>
    <w:rsid w:val="00980C99"/>
    <w:rsid w:val="00981591"/>
    <w:rsid w:val="00981DDD"/>
    <w:rsid w:val="00981ECD"/>
    <w:rsid w:val="00982536"/>
    <w:rsid w:val="00982554"/>
    <w:rsid w:val="009828E7"/>
    <w:rsid w:val="0098359B"/>
    <w:rsid w:val="0098382C"/>
    <w:rsid w:val="00984AA8"/>
    <w:rsid w:val="00984C13"/>
    <w:rsid w:val="0098556D"/>
    <w:rsid w:val="00985698"/>
    <w:rsid w:val="00985728"/>
    <w:rsid w:val="00985970"/>
    <w:rsid w:val="009865E3"/>
    <w:rsid w:val="00986D80"/>
    <w:rsid w:val="00986F09"/>
    <w:rsid w:val="009872DD"/>
    <w:rsid w:val="009900C9"/>
    <w:rsid w:val="00990439"/>
    <w:rsid w:val="00990A07"/>
    <w:rsid w:val="00990B9D"/>
    <w:rsid w:val="00990CB1"/>
    <w:rsid w:val="00990EBA"/>
    <w:rsid w:val="009910E8"/>
    <w:rsid w:val="00991200"/>
    <w:rsid w:val="00991655"/>
    <w:rsid w:val="00991D06"/>
    <w:rsid w:val="00991D80"/>
    <w:rsid w:val="0099233B"/>
    <w:rsid w:val="00992768"/>
    <w:rsid w:val="009927DB"/>
    <w:rsid w:val="00992DB4"/>
    <w:rsid w:val="0099316A"/>
    <w:rsid w:val="00993226"/>
    <w:rsid w:val="00993571"/>
    <w:rsid w:val="00993589"/>
    <w:rsid w:val="0099387E"/>
    <w:rsid w:val="00993D0D"/>
    <w:rsid w:val="009942AC"/>
    <w:rsid w:val="009946EB"/>
    <w:rsid w:val="009953DF"/>
    <w:rsid w:val="009953E3"/>
    <w:rsid w:val="0099579E"/>
    <w:rsid w:val="009960AD"/>
    <w:rsid w:val="0099625C"/>
    <w:rsid w:val="0099640E"/>
    <w:rsid w:val="00996902"/>
    <w:rsid w:val="00997313"/>
    <w:rsid w:val="009976CE"/>
    <w:rsid w:val="0099792B"/>
    <w:rsid w:val="00997A55"/>
    <w:rsid w:val="00997A85"/>
    <w:rsid w:val="009A0B33"/>
    <w:rsid w:val="009A0C8F"/>
    <w:rsid w:val="009A0EA2"/>
    <w:rsid w:val="009A0ED9"/>
    <w:rsid w:val="009A125C"/>
    <w:rsid w:val="009A1332"/>
    <w:rsid w:val="009A1520"/>
    <w:rsid w:val="009A15D6"/>
    <w:rsid w:val="009A1793"/>
    <w:rsid w:val="009A2136"/>
    <w:rsid w:val="009A2217"/>
    <w:rsid w:val="009A2E0C"/>
    <w:rsid w:val="009A3066"/>
    <w:rsid w:val="009A3AE5"/>
    <w:rsid w:val="009A3C5F"/>
    <w:rsid w:val="009A42B4"/>
    <w:rsid w:val="009A42E0"/>
    <w:rsid w:val="009A5037"/>
    <w:rsid w:val="009A5077"/>
    <w:rsid w:val="009A50C3"/>
    <w:rsid w:val="009A557C"/>
    <w:rsid w:val="009A55B5"/>
    <w:rsid w:val="009A55F3"/>
    <w:rsid w:val="009A5797"/>
    <w:rsid w:val="009A5A5A"/>
    <w:rsid w:val="009A6254"/>
    <w:rsid w:val="009A6FC2"/>
    <w:rsid w:val="009A72DD"/>
    <w:rsid w:val="009A76A2"/>
    <w:rsid w:val="009A79F4"/>
    <w:rsid w:val="009A7EFA"/>
    <w:rsid w:val="009B03B3"/>
    <w:rsid w:val="009B0958"/>
    <w:rsid w:val="009B0A89"/>
    <w:rsid w:val="009B10C2"/>
    <w:rsid w:val="009B15B8"/>
    <w:rsid w:val="009B15D1"/>
    <w:rsid w:val="009B1F54"/>
    <w:rsid w:val="009B225A"/>
    <w:rsid w:val="009B272A"/>
    <w:rsid w:val="009B272E"/>
    <w:rsid w:val="009B2AA8"/>
    <w:rsid w:val="009B3204"/>
    <w:rsid w:val="009B3254"/>
    <w:rsid w:val="009B32A9"/>
    <w:rsid w:val="009B3783"/>
    <w:rsid w:val="009B394B"/>
    <w:rsid w:val="009B3A17"/>
    <w:rsid w:val="009B3B10"/>
    <w:rsid w:val="009B43EA"/>
    <w:rsid w:val="009B4641"/>
    <w:rsid w:val="009B46E8"/>
    <w:rsid w:val="009B4919"/>
    <w:rsid w:val="009B51C0"/>
    <w:rsid w:val="009B5DB9"/>
    <w:rsid w:val="009B6210"/>
    <w:rsid w:val="009B6857"/>
    <w:rsid w:val="009B6CA1"/>
    <w:rsid w:val="009B7012"/>
    <w:rsid w:val="009B7D20"/>
    <w:rsid w:val="009C0426"/>
    <w:rsid w:val="009C0AB3"/>
    <w:rsid w:val="009C0D50"/>
    <w:rsid w:val="009C142E"/>
    <w:rsid w:val="009C1BD9"/>
    <w:rsid w:val="009C20E6"/>
    <w:rsid w:val="009C2104"/>
    <w:rsid w:val="009C3869"/>
    <w:rsid w:val="009C3DA5"/>
    <w:rsid w:val="009C3DF7"/>
    <w:rsid w:val="009C3FB9"/>
    <w:rsid w:val="009C4CD7"/>
    <w:rsid w:val="009C53CD"/>
    <w:rsid w:val="009C557C"/>
    <w:rsid w:val="009C63C0"/>
    <w:rsid w:val="009C65F5"/>
    <w:rsid w:val="009C6A74"/>
    <w:rsid w:val="009C6DE9"/>
    <w:rsid w:val="009C7A5D"/>
    <w:rsid w:val="009C7CAC"/>
    <w:rsid w:val="009C7DC5"/>
    <w:rsid w:val="009D0122"/>
    <w:rsid w:val="009D07B4"/>
    <w:rsid w:val="009D0BFA"/>
    <w:rsid w:val="009D0C86"/>
    <w:rsid w:val="009D0CE2"/>
    <w:rsid w:val="009D120F"/>
    <w:rsid w:val="009D176A"/>
    <w:rsid w:val="009D1BDC"/>
    <w:rsid w:val="009D204F"/>
    <w:rsid w:val="009D232E"/>
    <w:rsid w:val="009D2955"/>
    <w:rsid w:val="009D2BBD"/>
    <w:rsid w:val="009D2F0E"/>
    <w:rsid w:val="009D3152"/>
    <w:rsid w:val="009D3B6B"/>
    <w:rsid w:val="009D3B88"/>
    <w:rsid w:val="009D3CE7"/>
    <w:rsid w:val="009D40C1"/>
    <w:rsid w:val="009D4930"/>
    <w:rsid w:val="009D4D5E"/>
    <w:rsid w:val="009D527B"/>
    <w:rsid w:val="009D5303"/>
    <w:rsid w:val="009D5321"/>
    <w:rsid w:val="009D650A"/>
    <w:rsid w:val="009D730B"/>
    <w:rsid w:val="009D7E47"/>
    <w:rsid w:val="009E00C9"/>
    <w:rsid w:val="009E0363"/>
    <w:rsid w:val="009E0864"/>
    <w:rsid w:val="009E294E"/>
    <w:rsid w:val="009E2A33"/>
    <w:rsid w:val="009E34A9"/>
    <w:rsid w:val="009E3617"/>
    <w:rsid w:val="009E3621"/>
    <w:rsid w:val="009E423A"/>
    <w:rsid w:val="009E4C5C"/>
    <w:rsid w:val="009E6607"/>
    <w:rsid w:val="009E66ED"/>
    <w:rsid w:val="009E672D"/>
    <w:rsid w:val="009E6A3B"/>
    <w:rsid w:val="009E6B22"/>
    <w:rsid w:val="009E6B2A"/>
    <w:rsid w:val="009E7066"/>
    <w:rsid w:val="009E7473"/>
    <w:rsid w:val="009E7FAD"/>
    <w:rsid w:val="009F0816"/>
    <w:rsid w:val="009F092F"/>
    <w:rsid w:val="009F095C"/>
    <w:rsid w:val="009F0E0B"/>
    <w:rsid w:val="009F0FD3"/>
    <w:rsid w:val="009F1033"/>
    <w:rsid w:val="009F184F"/>
    <w:rsid w:val="009F18D2"/>
    <w:rsid w:val="009F1B58"/>
    <w:rsid w:val="009F1C22"/>
    <w:rsid w:val="009F21AA"/>
    <w:rsid w:val="009F2E72"/>
    <w:rsid w:val="009F32EF"/>
    <w:rsid w:val="009F358D"/>
    <w:rsid w:val="009F3718"/>
    <w:rsid w:val="009F38B0"/>
    <w:rsid w:val="009F4512"/>
    <w:rsid w:val="009F45BD"/>
    <w:rsid w:val="009F4685"/>
    <w:rsid w:val="009F4FEB"/>
    <w:rsid w:val="009F53A5"/>
    <w:rsid w:val="009F56F6"/>
    <w:rsid w:val="009F586B"/>
    <w:rsid w:val="009F6008"/>
    <w:rsid w:val="009F63FF"/>
    <w:rsid w:val="009F696C"/>
    <w:rsid w:val="009F69FD"/>
    <w:rsid w:val="009F7A5D"/>
    <w:rsid w:val="00A00480"/>
    <w:rsid w:val="00A00825"/>
    <w:rsid w:val="00A0088D"/>
    <w:rsid w:val="00A00961"/>
    <w:rsid w:val="00A00C18"/>
    <w:rsid w:val="00A01680"/>
    <w:rsid w:val="00A01727"/>
    <w:rsid w:val="00A01823"/>
    <w:rsid w:val="00A02339"/>
    <w:rsid w:val="00A024E1"/>
    <w:rsid w:val="00A02AD9"/>
    <w:rsid w:val="00A02BFC"/>
    <w:rsid w:val="00A033AA"/>
    <w:rsid w:val="00A03658"/>
    <w:rsid w:val="00A03B19"/>
    <w:rsid w:val="00A03D8E"/>
    <w:rsid w:val="00A03F89"/>
    <w:rsid w:val="00A04433"/>
    <w:rsid w:val="00A046F3"/>
    <w:rsid w:val="00A0487C"/>
    <w:rsid w:val="00A049A0"/>
    <w:rsid w:val="00A04F20"/>
    <w:rsid w:val="00A05ABC"/>
    <w:rsid w:val="00A05BA7"/>
    <w:rsid w:val="00A05D6D"/>
    <w:rsid w:val="00A0653B"/>
    <w:rsid w:val="00A06852"/>
    <w:rsid w:val="00A07136"/>
    <w:rsid w:val="00A0761D"/>
    <w:rsid w:val="00A076B8"/>
    <w:rsid w:val="00A07CE9"/>
    <w:rsid w:val="00A10C64"/>
    <w:rsid w:val="00A10DE0"/>
    <w:rsid w:val="00A11415"/>
    <w:rsid w:val="00A120C1"/>
    <w:rsid w:val="00A12324"/>
    <w:rsid w:val="00A1243C"/>
    <w:rsid w:val="00A12662"/>
    <w:rsid w:val="00A127CB"/>
    <w:rsid w:val="00A12993"/>
    <w:rsid w:val="00A1306F"/>
    <w:rsid w:val="00A13189"/>
    <w:rsid w:val="00A13576"/>
    <w:rsid w:val="00A13A06"/>
    <w:rsid w:val="00A13C1E"/>
    <w:rsid w:val="00A13D2A"/>
    <w:rsid w:val="00A140C9"/>
    <w:rsid w:val="00A15801"/>
    <w:rsid w:val="00A1638E"/>
    <w:rsid w:val="00A169D3"/>
    <w:rsid w:val="00A17ADB"/>
    <w:rsid w:val="00A17EB3"/>
    <w:rsid w:val="00A207C5"/>
    <w:rsid w:val="00A20A04"/>
    <w:rsid w:val="00A20C44"/>
    <w:rsid w:val="00A20EAC"/>
    <w:rsid w:val="00A21270"/>
    <w:rsid w:val="00A2134D"/>
    <w:rsid w:val="00A21A4C"/>
    <w:rsid w:val="00A22155"/>
    <w:rsid w:val="00A223DD"/>
    <w:rsid w:val="00A22682"/>
    <w:rsid w:val="00A226B9"/>
    <w:rsid w:val="00A22DC3"/>
    <w:rsid w:val="00A22F4B"/>
    <w:rsid w:val="00A23724"/>
    <w:rsid w:val="00A23A80"/>
    <w:rsid w:val="00A23DB8"/>
    <w:rsid w:val="00A23E4F"/>
    <w:rsid w:val="00A25945"/>
    <w:rsid w:val="00A25973"/>
    <w:rsid w:val="00A25ADA"/>
    <w:rsid w:val="00A2668C"/>
    <w:rsid w:val="00A303F3"/>
    <w:rsid w:val="00A30952"/>
    <w:rsid w:val="00A30B6D"/>
    <w:rsid w:val="00A311DA"/>
    <w:rsid w:val="00A31231"/>
    <w:rsid w:val="00A313BD"/>
    <w:rsid w:val="00A317C0"/>
    <w:rsid w:val="00A31E6E"/>
    <w:rsid w:val="00A32982"/>
    <w:rsid w:val="00A32C2D"/>
    <w:rsid w:val="00A32F15"/>
    <w:rsid w:val="00A331BC"/>
    <w:rsid w:val="00A3331C"/>
    <w:rsid w:val="00A33BE5"/>
    <w:rsid w:val="00A34188"/>
    <w:rsid w:val="00A3462D"/>
    <w:rsid w:val="00A34B86"/>
    <w:rsid w:val="00A35157"/>
    <w:rsid w:val="00A353AE"/>
    <w:rsid w:val="00A363D4"/>
    <w:rsid w:val="00A36424"/>
    <w:rsid w:val="00A3661E"/>
    <w:rsid w:val="00A37532"/>
    <w:rsid w:val="00A37900"/>
    <w:rsid w:val="00A4030E"/>
    <w:rsid w:val="00A40530"/>
    <w:rsid w:val="00A407C2"/>
    <w:rsid w:val="00A409DD"/>
    <w:rsid w:val="00A415B7"/>
    <w:rsid w:val="00A4172D"/>
    <w:rsid w:val="00A41D65"/>
    <w:rsid w:val="00A41E2A"/>
    <w:rsid w:val="00A4207E"/>
    <w:rsid w:val="00A428B0"/>
    <w:rsid w:val="00A4386C"/>
    <w:rsid w:val="00A43A8E"/>
    <w:rsid w:val="00A443DA"/>
    <w:rsid w:val="00A44656"/>
    <w:rsid w:val="00A44914"/>
    <w:rsid w:val="00A44B12"/>
    <w:rsid w:val="00A44CC0"/>
    <w:rsid w:val="00A457B4"/>
    <w:rsid w:val="00A45D08"/>
    <w:rsid w:val="00A4676F"/>
    <w:rsid w:val="00A47BB7"/>
    <w:rsid w:val="00A502BE"/>
    <w:rsid w:val="00A5046B"/>
    <w:rsid w:val="00A50788"/>
    <w:rsid w:val="00A50D95"/>
    <w:rsid w:val="00A50DD5"/>
    <w:rsid w:val="00A50FC2"/>
    <w:rsid w:val="00A5109C"/>
    <w:rsid w:val="00A511FD"/>
    <w:rsid w:val="00A51AF6"/>
    <w:rsid w:val="00A51D8A"/>
    <w:rsid w:val="00A521D0"/>
    <w:rsid w:val="00A52222"/>
    <w:rsid w:val="00A522AE"/>
    <w:rsid w:val="00A52385"/>
    <w:rsid w:val="00A532C3"/>
    <w:rsid w:val="00A53954"/>
    <w:rsid w:val="00A53A93"/>
    <w:rsid w:val="00A54595"/>
    <w:rsid w:val="00A545E1"/>
    <w:rsid w:val="00A549D8"/>
    <w:rsid w:val="00A54A93"/>
    <w:rsid w:val="00A55003"/>
    <w:rsid w:val="00A55154"/>
    <w:rsid w:val="00A55F2F"/>
    <w:rsid w:val="00A566F5"/>
    <w:rsid w:val="00A56BB7"/>
    <w:rsid w:val="00A56EEB"/>
    <w:rsid w:val="00A5754F"/>
    <w:rsid w:val="00A577BC"/>
    <w:rsid w:val="00A577EE"/>
    <w:rsid w:val="00A60660"/>
    <w:rsid w:val="00A612FD"/>
    <w:rsid w:val="00A6154A"/>
    <w:rsid w:val="00A61818"/>
    <w:rsid w:val="00A61879"/>
    <w:rsid w:val="00A6211B"/>
    <w:rsid w:val="00A627E0"/>
    <w:rsid w:val="00A6286B"/>
    <w:rsid w:val="00A62DFF"/>
    <w:rsid w:val="00A63319"/>
    <w:rsid w:val="00A63348"/>
    <w:rsid w:val="00A6384A"/>
    <w:rsid w:val="00A63BFC"/>
    <w:rsid w:val="00A63C0F"/>
    <w:rsid w:val="00A6425B"/>
    <w:rsid w:val="00A642B9"/>
    <w:rsid w:val="00A6435C"/>
    <w:rsid w:val="00A648B8"/>
    <w:rsid w:val="00A65B17"/>
    <w:rsid w:val="00A65C12"/>
    <w:rsid w:val="00A663CC"/>
    <w:rsid w:val="00A6649F"/>
    <w:rsid w:val="00A66645"/>
    <w:rsid w:val="00A667A3"/>
    <w:rsid w:val="00A6713D"/>
    <w:rsid w:val="00A67991"/>
    <w:rsid w:val="00A67B6E"/>
    <w:rsid w:val="00A70600"/>
    <w:rsid w:val="00A70967"/>
    <w:rsid w:val="00A709A5"/>
    <w:rsid w:val="00A718E2"/>
    <w:rsid w:val="00A71D45"/>
    <w:rsid w:val="00A7265D"/>
    <w:rsid w:val="00A726EE"/>
    <w:rsid w:val="00A7285B"/>
    <w:rsid w:val="00A7367A"/>
    <w:rsid w:val="00A738ED"/>
    <w:rsid w:val="00A73FA1"/>
    <w:rsid w:val="00A7534E"/>
    <w:rsid w:val="00A754CF"/>
    <w:rsid w:val="00A76175"/>
    <w:rsid w:val="00A766E4"/>
    <w:rsid w:val="00A76C02"/>
    <w:rsid w:val="00A76EA6"/>
    <w:rsid w:val="00A772F3"/>
    <w:rsid w:val="00A77649"/>
    <w:rsid w:val="00A7798B"/>
    <w:rsid w:val="00A77E49"/>
    <w:rsid w:val="00A77EA8"/>
    <w:rsid w:val="00A77F9B"/>
    <w:rsid w:val="00A80F16"/>
    <w:rsid w:val="00A81147"/>
    <w:rsid w:val="00A81452"/>
    <w:rsid w:val="00A8196C"/>
    <w:rsid w:val="00A81C12"/>
    <w:rsid w:val="00A826F8"/>
    <w:rsid w:val="00A82817"/>
    <w:rsid w:val="00A82A1D"/>
    <w:rsid w:val="00A82CAE"/>
    <w:rsid w:val="00A82D5B"/>
    <w:rsid w:val="00A83069"/>
    <w:rsid w:val="00A83453"/>
    <w:rsid w:val="00A83928"/>
    <w:rsid w:val="00A83CF0"/>
    <w:rsid w:val="00A83F62"/>
    <w:rsid w:val="00A8406A"/>
    <w:rsid w:val="00A84241"/>
    <w:rsid w:val="00A84331"/>
    <w:rsid w:val="00A8444B"/>
    <w:rsid w:val="00A8484B"/>
    <w:rsid w:val="00A85C23"/>
    <w:rsid w:val="00A85C5B"/>
    <w:rsid w:val="00A865D7"/>
    <w:rsid w:val="00A866EA"/>
    <w:rsid w:val="00A86D1E"/>
    <w:rsid w:val="00A86F2B"/>
    <w:rsid w:val="00A87140"/>
    <w:rsid w:val="00A874CD"/>
    <w:rsid w:val="00A874E9"/>
    <w:rsid w:val="00A87726"/>
    <w:rsid w:val="00A879C6"/>
    <w:rsid w:val="00A87C30"/>
    <w:rsid w:val="00A90661"/>
    <w:rsid w:val="00A91C68"/>
    <w:rsid w:val="00A92122"/>
    <w:rsid w:val="00A9233A"/>
    <w:rsid w:val="00A92544"/>
    <w:rsid w:val="00A92858"/>
    <w:rsid w:val="00A92FB9"/>
    <w:rsid w:val="00A93032"/>
    <w:rsid w:val="00A936D8"/>
    <w:rsid w:val="00A93882"/>
    <w:rsid w:val="00A93E8C"/>
    <w:rsid w:val="00A940B4"/>
    <w:rsid w:val="00A943FF"/>
    <w:rsid w:val="00A944C8"/>
    <w:rsid w:val="00A94808"/>
    <w:rsid w:val="00A94B0D"/>
    <w:rsid w:val="00A94BCF"/>
    <w:rsid w:val="00A958B9"/>
    <w:rsid w:val="00A95A0B"/>
    <w:rsid w:val="00A95F57"/>
    <w:rsid w:val="00A968A4"/>
    <w:rsid w:val="00A9755E"/>
    <w:rsid w:val="00AA02F1"/>
    <w:rsid w:val="00AA0896"/>
    <w:rsid w:val="00AA0A73"/>
    <w:rsid w:val="00AA0BF3"/>
    <w:rsid w:val="00AA0D9C"/>
    <w:rsid w:val="00AA15C2"/>
    <w:rsid w:val="00AA193C"/>
    <w:rsid w:val="00AA1C0B"/>
    <w:rsid w:val="00AA1D30"/>
    <w:rsid w:val="00AA1F64"/>
    <w:rsid w:val="00AA3096"/>
    <w:rsid w:val="00AA361E"/>
    <w:rsid w:val="00AA41C7"/>
    <w:rsid w:val="00AA438C"/>
    <w:rsid w:val="00AA489E"/>
    <w:rsid w:val="00AA4936"/>
    <w:rsid w:val="00AA4968"/>
    <w:rsid w:val="00AA4B56"/>
    <w:rsid w:val="00AA4BED"/>
    <w:rsid w:val="00AA4EDC"/>
    <w:rsid w:val="00AA52C3"/>
    <w:rsid w:val="00AA6607"/>
    <w:rsid w:val="00AA68B0"/>
    <w:rsid w:val="00AA6C57"/>
    <w:rsid w:val="00AA6DC3"/>
    <w:rsid w:val="00AA6E59"/>
    <w:rsid w:val="00AA6F2D"/>
    <w:rsid w:val="00AA7787"/>
    <w:rsid w:val="00AA795E"/>
    <w:rsid w:val="00AA7A6A"/>
    <w:rsid w:val="00AB0B68"/>
    <w:rsid w:val="00AB0F27"/>
    <w:rsid w:val="00AB1033"/>
    <w:rsid w:val="00AB10A6"/>
    <w:rsid w:val="00AB1350"/>
    <w:rsid w:val="00AB13E9"/>
    <w:rsid w:val="00AB1751"/>
    <w:rsid w:val="00AB1D85"/>
    <w:rsid w:val="00AB2023"/>
    <w:rsid w:val="00AB2155"/>
    <w:rsid w:val="00AB25FE"/>
    <w:rsid w:val="00AB284A"/>
    <w:rsid w:val="00AB2B05"/>
    <w:rsid w:val="00AB3DAB"/>
    <w:rsid w:val="00AB4025"/>
    <w:rsid w:val="00AB4070"/>
    <w:rsid w:val="00AB4457"/>
    <w:rsid w:val="00AB45F7"/>
    <w:rsid w:val="00AB4658"/>
    <w:rsid w:val="00AB4682"/>
    <w:rsid w:val="00AB470A"/>
    <w:rsid w:val="00AB4F4D"/>
    <w:rsid w:val="00AB4F96"/>
    <w:rsid w:val="00AB4FE6"/>
    <w:rsid w:val="00AB586B"/>
    <w:rsid w:val="00AB5CA1"/>
    <w:rsid w:val="00AB5F84"/>
    <w:rsid w:val="00AB6392"/>
    <w:rsid w:val="00AB6C71"/>
    <w:rsid w:val="00AB78A9"/>
    <w:rsid w:val="00AB7997"/>
    <w:rsid w:val="00AB7C78"/>
    <w:rsid w:val="00AC0123"/>
    <w:rsid w:val="00AC0A5D"/>
    <w:rsid w:val="00AC1189"/>
    <w:rsid w:val="00AC149C"/>
    <w:rsid w:val="00AC1585"/>
    <w:rsid w:val="00AC1ADD"/>
    <w:rsid w:val="00AC3963"/>
    <w:rsid w:val="00AC3B2A"/>
    <w:rsid w:val="00AC3CEC"/>
    <w:rsid w:val="00AC4485"/>
    <w:rsid w:val="00AC45DB"/>
    <w:rsid w:val="00AC4AD1"/>
    <w:rsid w:val="00AC4C2B"/>
    <w:rsid w:val="00AC59D3"/>
    <w:rsid w:val="00AC5A28"/>
    <w:rsid w:val="00AC6062"/>
    <w:rsid w:val="00AC6B51"/>
    <w:rsid w:val="00AC6D50"/>
    <w:rsid w:val="00AC6E12"/>
    <w:rsid w:val="00AC7130"/>
    <w:rsid w:val="00AC71FB"/>
    <w:rsid w:val="00AC790C"/>
    <w:rsid w:val="00AC7B74"/>
    <w:rsid w:val="00AC7DE4"/>
    <w:rsid w:val="00AD0077"/>
    <w:rsid w:val="00AD0676"/>
    <w:rsid w:val="00AD07D6"/>
    <w:rsid w:val="00AD1000"/>
    <w:rsid w:val="00AD1480"/>
    <w:rsid w:val="00AD19E1"/>
    <w:rsid w:val="00AD1BA3"/>
    <w:rsid w:val="00AD1D80"/>
    <w:rsid w:val="00AD2955"/>
    <w:rsid w:val="00AD2D13"/>
    <w:rsid w:val="00AD30D9"/>
    <w:rsid w:val="00AD322B"/>
    <w:rsid w:val="00AD3466"/>
    <w:rsid w:val="00AD386C"/>
    <w:rsid w:val="00AD3BB7"/>
    <w:rsid w:val="00AD4D24"/>
    <w:rsid w:val="00AD4F21"/>
    <w:rsid w:val="00AD5996"/>
    <w:rsid w:val="00AD5F51"/>
    <w:rsid w:val="00AD6549"/>
    <w:rsid w:val="00AD6BC4"/>
    <w:rsid w:val="00AD6C33"/>
    <w:rsid w:val="00AD6E10"/>
    <w:rsid w:val="00AD6EE9"/>
    <w:rsid w:val="00AE02C2"/>
    <w:rsid w:val="00AE0B4C"/>
    <w:rsid w:val="00AE11A0"/>
    <w:rsid w:val="00AE1762"/>
    <w:rsid w:val="00AE18A7"/>
    <w:rsid w:val="00AE1CCA"/>
    <w:rsid w:val="00AE1DCB"/>
    <w:rsid w:val="00AE22D6"/>
    <w:rsid w:val="00AE25F3"/>
    <w:rsid w:val="00AE26A9"/>
    <w:rsid w:val="00AE2A2B"/>
    <w:rsid w:val="00AE2E97"/>
    <w:rsid w:val="00AE35AE"/>
    <w:rsid w:val="00AE3884"/>
    <w:rsid w:val="00AE38FF"/>
    <w:rsid w:val="00AE3A30"/>
    <w:rsid w:val="00AE3FC2"/>
    <w:rsid w:val="00AE428F"/>
    <w:rsid w:val="00AE4641"/>
    <w:rsid w:val="00AE4772"/>
    <w:rsid w:val="00AE4AC0"/>
    <w:rsid w:val="00AE5078"/>
    <w:rsid w:val="00AE527B"/>
    <w:rsid w:val="00AE5354"/>
    <w:rsid w:val="00AE586D"/>
    <w:rsid w:val="00AE5945"/>
    <w:rsid w:val="00AE59AF"/>
    <w:rsid w:val="00AE5B99"/>
    <w:rsid w:val="00AE5EA0"/>
    <w:rsid w:val="00AE61D9"/>
    <w:rsid w:val="00AE6365"/>
    <w:rsid w:val="00AE63BE"/>
    <w:rsid w:val="00AE6889"/>
    <w:rsid w:val="00AE6CC1"/>
    <w:rsid w:val="00AE72BE"/>
    <w:rsid w:val="00AE77E1"/>
    <w:rsid w:val="00AE7E74"/>
    <w:rsid w:val="00AF00C2"/>
    <w:rsid w:val="00AF0D42"/>
    <w:rsid w:val="00AF1063"/>
    <w:rsid w:val="00AF1648"/>
    <w:rsid w:val="00AF1C7B"/>
    <w:rsid w:val="00AF1F2A"/>
    <w:rsid w:val="00AF231F"/>
    <w:rsid w:val="00AF24D9"/>
    <w:rsid w:val="00AF294A"/>
    <w:rsid w:val="00AF2EC7"/>
    <w:rsid w:val="00AF3814"/>
    <w:rsid w:val="00AF381B"/>
    <w:rsid w:val="00AF3B90"/>
    <w:rsid w:val="00AF3BC3"/>
    <w:rsid w:val="00AF3C6C"/>
    <w:rsid w:val="00AF4BFC"/>
    <w:rsid w:val="00AF521A"/>
    <w:rsid w:val="00AF5CFC"/>
    <w:rsid w:val="00AF5D0F"/>
    <w:rsid w:val="00AF60E0"/>
    <w:rsid w:val="00AF6373"/>
    <w:rsid w:val="00AF63D4"/>
    <w:rsid w:val="00AF65AD"/>
    <w:rsid w:val="00AF7619"/>
    <w:rsid w:val="00AF7EF1"/>
    <w:rsid w:val="00B00100"/>
    <w:rsid w:val="00B002B7"/>
    <w:rsid w:val="00B00469"/>
    <w:rsid w:val="00B004A4"/>
    <w:rsid w:val="00B005D2"/>
    <w:rsid w:val="00B009D7"/>
    <w:rsid w:val="00B0111D"/>
    <w:rsid w:val="00B012AD"/>
    <w:rsid w:val="00B013D9"/>
    <w:rsid w:val="00B015EE"/>
    <w:rsid w:val="00B01703"/>
    <w:rsid w:val="00B01A99"/>
    <w:rsid w:val="00B01CF3"/>
    <w:rsid w:val="00B02007"/>
    <w:rsid w:val="00B026B4"/>
    <w:rsid w:val="00B03275"/>
    <w:rsid w:val="00B032A5"/>
    <w:rsid w:val="00B03440"/>
    <w:rsid w:val="00B03BBA"/>
    <w:rsid w:val="00B04013"/>
    <w:rsid w:val="00B0448E"/>
    <w:rsid w:val="00B046D6"/>
    <w:rsid w:val="00B04BF7"/>
    <w:rsid w:val="00B0573D"/>
    <w:rsid w:val="00B058BF"/>
    <w:rsid w:val="00B06772"/>
    <w:rsid w:val="00B06DFF"/>
    <w:rsid w:val="00B07667"/>
    <w:rsid w:val="00B07683"/>
    <w:rsid w:val="00B078AE"/>
    <w:rsid w:val="00B07B25"/>
    <w:rsid w:val="00B07E33"/>
    <w:rsid w:val="00B10029"/>
    <w:rsid w:val="00B11215"/>
    <w:rsid w:val="00B11788"/>
    <w:rsid w:val="00B12886"/>
    <w:rsid w:val="00B131CA"/>
    <w:rsid w:val="00B139FC"/>
    <w:rsid w:val="00B13B52"/>
    <w:rsid w:val="00B13F72"/>
    <w:rsid w:val="00B1477F"/>
    <w:rsid w:val="00B1489B"/>
    <w:rsid w:val="00B14C3A"/>
    <w:rsid w:val="00B14C5F"/>
    <w:rsid w:val="00B1500D"/>
    <w:rsid w:val="00B15192"/>
    <w:rsid w:val="00B151BB"/>
    <w:rsid w:val="00B15660"/>
    <w:rsid w:val="00B16406"/>
    <w:rsid w:val="00B16D36"/>
    <w:rsid w:val="00B17758"/>
    <w:rsid w:val="00B17DEF"/>
    <w:rsid w:val="00B2044F"/>
    <w:rsid w:val="00B20520"/>
    <w:rsid w:val="00B205FF"/>
    <w:rsid w:val="00B20635"/>
    <w:rsid w:val="00B20B87"/>
    <w:rsid w:val="00B226B2"/>
    <w:rsid w:val="00B229AB"/>
    <w:rsid w:val="00B229E4"/>
    <w:rsid w:val="00B22BC0"/>
    <w:rsid w:val="00B23051"/>
    <w:rsid w:val="00B232AC"/>
    <w:rsid w:val="00B23F94"/>
    <w:rsid w:val="00B2400A"/>
    <w:rsid w:val="00B2458D"/>
    <w:rsid w:val="00B24E88"/>
    <w:rsid w:val="00B25200"/>
    <w:rsid w:val="00B259D5"/>
    <w:rsid w:val="00B25A17"/>
    <w:rsid w:val="00B26B58"/>
    <w:rsid w:val="00B26E3D"/>
    <w:rsid w:val="00B2713C"/>
    <w:rsid w:val="00B27BFE"/>
    <w:rsid w:val="00B30451"/>
    <w:rsid w:val="00B305B1"/>
    <w:rsid w:val="00B3061E"/>
    <w:rsid w:val="00B3077F"/>
    <w:rsid w:val="00B30EE3"/>
    <w:rsid w:val="00B31122"/>
    <w:rsid w:val="00B31619"/>
    <w:rsid w:val="00B316FB"/>
    <w:rsid w:val="00B31940"/>
    <w:rsid w:val="00B31E79"/>
    <w:rsid w:val="00B32ADF"/>
    <w:rsid w:val="00B32CD4"/>
    <w:rsid w:val="00B32FC7"/>
    <w:rsid w:val="00B33095"/>
    <w:rsid w:val="00B330F6"/>
    <w:rsid w:val="00B3354E"/>
    <w:rsid w:val="00B33A06"/>
    <w:rsid w:val="00B33D14"/>
    <w:rsid w:val="00B33F13"/>
    <w:rsid w:val="00B34C5D"/>
    <w:rsid w:val="00B34F66"/>
    <w:rsid w:val="00B35151"/>
    <w:rsid w:val="00B353E8"/>
    <w:rsid w:val="00B356F3"/>
    <w:rsid w:val="00B35A9B"/>
    <w:rsid w:val="00B35AC1"/>
    <w:rsid w:val="00B35B29"/>
    <w:rsid w:val="00B35EA5"/>
    <w:rsid w:val="00B36B6B"/>
    <w:rsid w:val="00B37B61"/>
    <w:rsid w:val="00B37F10"/>
    <w:rsid w:val="00B37F54"/>
    <w:rsid w:val="00B37FDC"/>
    <w:rsid w:val="00B40179"/>
    <w:rsid w:val="00B401DD"/>
    <w:rsid w:val="00B40DF1"/>
    <w:rsid w:val="00B413EC"/>
    <w:rsid w:val="00B41CA8"/>
    <w:rsid w:val="00B42507"/>
    <w:rsid w:val="00B42B24"/>
    <w:rsid w:val="00B42ECF"/>
    <w:rsid w:val="00B43442"/>
    <w:rsid w:val="00B436FF"/>
    <w:rsid w:val="00B437F6"/>
    <w:rsid w:val="00B43B5B"/>
    <w:rsid w:val="00B43D4C"/>
    <w:rsid w:val="00B43EFF"/>
    <w:rsid w:val="00B444AF"/>
    <w:rsid w:val="00B448D1"/>
    <w:rsid w:val="00B44F5E"/>
    <w:rsid w:val="00B45619"/>
    <w:rsid w:val="00B458BB"/>
    <w:rsid w:val="00B466CC"/>
    <w:rsid w:val="00B46A96"/>
    <w:rsid w:val="00B46DE2"/>
    <w:rsid w:val="00B471D0"/>
    <w:rsid w:val="00B47E8E"/>
    <w:rsid w:val="00B502AB"/>
    <w:rsid w:val="00B5100F"/>
    <w:rsid w:val="00B51828"/>
    <w:rsid w:val="00B51A23"/>
    <w:rsid w:val="00B51D01"/>
    <w:rsid w:val="00B51ECE"/>
    <w:rsid w:val="00B523F1"/>
    <w:rsid w:val="00B529DF"/>
    <w:rsid w:val="00B53A45"/>
    <w:rsid w:val="00B53EF1"/>
    <w:rsid w:val="00B551DE"/>
    <w:rsid w:val="00B5569B"/>
    <w:rsid w:val="00B55D22"/>
    <w:rsid w:val="00B55E06"/>
    <w:rsid w:val="00B55E91"/>
    <w:rsid w:val="00B561E0"/>
    <w:rsid w:val="00B564CC"/>
    <w:rsid w:val="00B56D2F"/>
    <w:rsid w:val="00B57176"/>
    <w:rsid w:val="00B575B0"/>
    <w:rsid w:val="00B576DC"/>
    <w:rsid w:val="00B57E86"/>
    <w:rsid w:val="00B602CF"/>
    <w:rsid w:val="00B603B8"/>
    <w:rsid w:val="00B6041F"/>
    <w:rsid w:val="00B609E9"/>
    <w:rsid w:val="00B60E00"/>
    <w:rsid w:val="00B60EF8"/>
    <w:rsid w:val="00B61E63"/>
    <w:rsid w:val="00B6276C"/>
    <w:rsid w:val="00B62A34"/>
    <w:rsid w:val="00B630FB"/>
    <w:rsid w:val="00B6419E"/>
    <w:rsid w:val="00B6458D"/>
    <w:rsid w:val="00B657FE"/>
    <w:rsid w:val="00B65A97"/>
    <w:rsid w:val="00B65DA5"/>
    <w:rsid w:val="00B66037"/>
    <w:rsid w:val="00B664BA"/>
    <w:rsid w:val="00B66536"/>
    <w:rsid w:val="00B66DBD"/>
    <w:rsid w:val="00B6722D"/>
    <w:rsid w:val="00B6740B"/>
    <w:rsid w:val="00B70069"/>
    <w:rsid w:val="00B7058D"/>
    <w:rsid w:val="00B706C8"/>
    <w:rsid w:val="00B70AAE"/>
    <w:rsid w:val="00B71119"/>
    <w:rsid w:val="00B722FA"/>
    <w:rsid w:val="00B72DCB"/>
    <w:rsid w:val="00B72F1F"/>
    <w:rsid w:val="00B73549"/>
    <w:rsid w:val="00B739EC"/>
    <w:rsid w:val="00B7429A"/>
    <w:rsid w:val="00B74C54"/>
    <w:rsid w:val="00B75357"/>
    <w:rsid w:val="00B75375"/>
    <w:rsid w:val="00B754F6"/>
    <w:rsid w:val="00B75640"/>
    <w:rsid w:val="00B75F05"/>
    <w:rsid w:val="00B7612D"/>
    <w:rsid w:val="00B76E38"/>
    <w:rsid w:val="00B76F8A"/>
    <w:rsid w:val="00B770B2"/>
    <w:rsid w:val="00B7726B"/>
    <w:rsid w:val="00B8050A"/>
    <w:rsid w:val="00B80C31"/>
    <w:rsid w:val="00B80F23"/>
    <w:rsid w:val="00B81152"/>
    <w:rsid w:val="00B81448"/>
    <w:rsid w:val="00B8170E"/>
    <w:rsid w:val="00B81A29"/>
    <w:rsid w:val="00B8245E"/>
    <w:rsid w:val="00B82839"/>
    <w:rsid w:val="00B8289F"/>
    <w:rsid w:val="00B828DA"/>
    <w:rsid w:val="00B8358B"/>
    <w:rsid w:val="00B856C4"/>
    <w:rsid w:val="00B85CB0"/>
    <w:rsid w:val="00B86558"/>
    <w:rsid w:val="00B86BDB"/>
    <w:rsid w:val="00B86D14"/>
    <w:rsid w:val="00B86F75"/>
    <w:rsid w:val="00B86F9B"/>
    <w:rsid w:val="00B87026"/>
    <w:rsid w:val="00B870FA"/>
    <w:rsid w:val="00B8750E"/>
    <w:rsid w:val="00B87CDF"/>
    <w:rsid w:val="00B87F13"/>
    <w:rsid w:val="00B90210"/>
    <w:rsid w:val="00B90F1C"/>
    <w:rsid w:val="00B91A23"/>
    <w:rsid w:val="00B91E82"/>
    <w:rsid w:val="00B91ECF"/>
    <w:rsid w:val="00B91F35"/>
    <w:rsid w:val="00B920FC"/>
    <w:rsid w:val="00B92246"/>
    <w:rsid w:val="00B92269"/>
    <w:rsid w:val="00B9295E"/>
    <w:rsid w:val="00B931EF"/>
    <w:rsid w:val="00B93449"/>
    <w:rsid w:val="00B936A6"/>
    <w:rsid w:val="00B93B1A"/>
    <w:rsid w:val="00B93BC5"/>
    <w:rsid w:val="00B93F50"/>
    <w:rsid w:val="00B9428E"/>
    <w:rsid w:val="00B944DE"/>
    <w:rsid w:val="00B94CFB"/>
    <w:rsid w:val="00B94D23"/>
    <w:rsid w:val="00B95476"/>
    <w:rsid w:val="00B9564A"/>
    <w:rsid w:val="00B95A29"/>
    <w:rsid w:val="00B95A49"/>
    <w:rsid w:val="00B962A0"/>
    <w:rsid w:val="00B967A2"/>
    <w:rsid w:val="00BA0287"/>
    <w:rsid w:val="00BA09CC"/>
    <w:rsid w:val="00BA127F"/>
    <w:rsid w:val="00BA12EA"/>
    <w:rsid w:val="00BA1F5B"/>
    <w:rsid w:val="00BA2B71"/>
    <w:rsid w:val="00BA418B"/>
    <w:rsid w:val="00BA4F94"/>
    <w:rsid w:val="00BA5248"/>
    <w:rsid w:val="00BA5367"/>
    <w:rsid w:val="00BA561F"/>
    <w:rsid w:val="00BA57E0"/>
    <w:rsid w:val="00BA67F2"/>
    <w:rsid w:val="00BA6B0B"/>
    <w:rsid w:val="00BA6B4E"/>
    <w:rsid w:val="00BA6FA0"/>
    <w:rsid w:val="00BA7350"/>
    <w:rsid w:val="00BA7E2E"/>
    <w:rsid w:val="00BA7E48"/>
    <w:rsid w:val="00BB113C"/>
    <w:rsid w:val="00BB1842"/>
    <w:rsid w:val="00BB26A0"/>
    <w:rsid w:val="00BB26AD"/>
    <w:rsid w:val="00BB280D"/>
    <w:rsid w:val="00BB2DCB"/>
    <w:rsid w:val="00BB30C5"/>
    <w:rsid w:val="00BB3458"/>
    <w:rsid w:val="00BB3605"/>
    <w:rsid w:val="00BB3A0C"/>
    <w:rsid w:val="00BB3DFC"/>
    <w:rsid w:val="00BB43B8"/>
    <w:rsid w:val="00BB5073"/>
    <w:rsid w:val="00BB6FC8"/>
    <w:rsid w:val="00BB72BF"/>
    <w:rsid w:val="00BB73C0"/>
    <w:rsid w:val="00BB7A7D"/>
    <w:rsid w:val="00BB7FFD"/>
    <w:rsid w:val="00BC0045"/>
    <w:rsid w:val="00BC0385"/>
    <w:rsid w:val="00BC0A66"/>
    <w:rsid w:val="00BC0BCD"/>
    <w:rsid w:val="00BC142A"/>
    <w:rsid w:val="00BC1501"/>
    <w:rsid w:val="00BC15FF"/>
    <w:rsid w:val="00BC171D"/>
    <w:rsid w:val="00BC1936"/>
    <w:rsid w:val="00BC1993"/>
    <w:rsid w:val="00BC2758"/>
    <w:rsid w:val="00BC2FC0"/>
    <w:rsid w:val="00BC36F0"/>
    <w:rsid w:val="00BC3800"/>
    <w:rsid w:val="00BC3990"/>
    <w:rsid w:val="00BC3AE0"/>
    <w:rsid w:val="00BC3C25"/>
    <w:rsid w:val="00BC3C79"/>
    <w:rsid w:val="00BC4136"/>
    <w:rsid w:val="00BC42A6"/>
    <w:rsid w:val="00BC4BAF"/>
    <w:rsid w:val="00BC4BDA"/>
    <w:rsid w:val="00BC4D69"/>
    <w:rsid w:val="00BC4E75"/>
    <w:rsid w:val="00BC4F6E"/>
    <w:rsid w:val="00BC54C8"/>
    <w:rsid w:val="00BC6069"/>
    <w:rsid w:val="00BC6D8C"/>
    <w:rsid w:val="00BC6EF3"/>
    <w:rsid w:val="00BC6FE3"/>
    <w:rsid w:val="00BC72CD"/>
    <w:rsid w:val="00BC7958"/>
    <w:rsid w:val="00BC79BB"/>
    <w:rsid w:val="00BC7D54"/>
    <w:rsid w:val="00BD00F2"/>
    <w:rsid w:val="00BD014B"/>
    <w:rsid w:val="00BD036C"/>
    <w:rsid w:val="00BD0A19"/>
    <w:rsid w:val="00BD1031"/>
    <w:rsid w:val="00BD1376"/>
    <w:rsid w:val="00BD1665"/>
    <w:rsid w:val="00BD211B"/>
    <w:rsid w:val="00BD220F"/>
    <w:rsid w:val="00BD31E5"/>
    <w:rsid w:val="00BD33E9"/>
    <w:rsid w:val="00BD34E8"/>
    <w:rsid w:val="00BD3E2F"/>
    <w:rsid w:val="00BD4E40"/>
    <w:rsid w:val="00BD4F32"/>
    <w:rsid w:val="00BD5223"/>
    <w:rsid w:val="00BD526D"/>
    <w:rsid w:val="00BD5315"/>
    <w:rsid w:val="00BD5EC2"/>
    <w:rsid w:val="00BD6468"/>
    <w:rsid w:val="00BD69F7"/>
    <w:rsid w:val="00BD7272"/>
    <w:rsid w:val="00BD76DF"/>
    <w:rsid w:val="00BD77AF"/>
    <w:rsid w:val="00BD7BAC"/>
    <w:rsid w:val="00BD7E8C"/>
    <w:rsid w:val="00BD7EFA"/>
    <w:rsid w:val="00BE07B2"/>
    <w:rsid w:val="00BE12DE"/>
    <w:rsid w:val="00BE17E2"/>
    <w:rsid w:val="00BE195C"/>
    <w:rsid w:val="00BE1D7F"/>
    <w:rsid w:val="00BE22AA"/>
    <w:rsid w:val="00BE261D"/>
    <w:rsid w:val="00BE2A58"/>
    <w:rsid w:val="00BE46A7"/>
    <w:rsid w:val="00BE4781"/>
    <w:rsid w:val="00BE49BA"/>
    <w:rsid w:val="00BE4A16"/>
    <w:rsid w:val="00BE4F6F"/>
    <w:rsid w:val="00BE5D4F"/>
    <w:rsid w:val="00BE6180"/>
    <w:rsid w:val="00BE6479"/>
    <w:rsid w:val="00BE64A4"/>
    <w:rsid w:val="00BE657D"/>
    <w:rsid w:val="00BE7219"/>
    <w:rsid w:val="00BE7C92"/>
    <w:rsid w:val="00BE7E49"/>
    <w:rsid w:val="00BF049A"/>
    <w:rsid w:val="00BF107F"/>
    <w:rsid w:val="00BF1D0A"/>
    <w:rsid w:val="00BF2BA5"/>
    <w:rsid w:val="00BF3EE6"/>
    <w:rsid w:val="00BF4665"/>
    <w:rsid w:val="00BF495F"/>
    <w:rsid w:val="00BF49C0"/>
    <w:rsid w:val="00BF4C37"/>
    <w:rsid w:val="00BF4E84"/>
    <w:rsid w:val="00BF4F3B"/>
    <w:rsid w:val="00BF5462"/>
    <w:rsid w:val="00BF587B"/>
    <w:rsid w:val="00BF59BB"/>
    <w:rsid w:val="00BF5B89"/>
    <w:rsid w:val="00BF66B2"/>
    <w:rsid w:val="00BF6CF9"/>
    <w:rsid w:val="00C0034B"/>
    <w:rsid w:val="00C004FF"/>
    <w:rsid w:val="00C006DB"/>
    <w:rsid w:val="00C009CA"/>
    <w:rsid w:val="00C01210"/>
    <w:rsid w:val="00C01291"/>
    <w:rsid w:val="00C01499"/>
    <w:rsid w:val="00C021DC"/>
    <w:rsid w:val="00C0335A"/>
    <w:rsid w:val="00C03373"/>
    <w:rsid w:val="00C03CA4"/>
    <w:rsid w:val="00C03D62"/>
    <w:rsid w:val="00C03F7F"/>
    <w:rsid w:val="00C03FDE"/>
    <w:rsid w:val="00C049B4"/>
    <w:rsid w:val="00C05722"/>
    <w:rsid w:val="00C066AE"/>
    <w:rsid w:val="00C06BDA"/>
    <w:rsid w:val="00C06CC0"/>
    <w:rsid w:val="00C06E0C"/>
    <w:rsid w:val="00C07247"/>
    <w:rsid w:val="00C07857"/>
    <w:rsid w:val="00C07979"/>
    <w:rsid w:val="00C07D53"/>
    <w:rsid w:val="00C1013F"/>
    <w:rsid w:val="00C10406"/>
    <w:rsid w:val="00C1047B"/>
    <w:rsid w:val="00C10508"/>
    <w:rsid w:val="00C11745"/>
    <w:rsid w:val="00C11A4C"/>
    <w:rsid w:val="00C11AC8"/>
    <w:rsid w:val="00C11D1E"/>
    <w:rsid w:val="00C11E39"/>
    <w:rsid w:val="00C1201E"/>
    <w:rsid w:val="00C125A0"/>
    <w:rsid w:val="00C12EEB"/>
    <w:rsid w:val="00C131AB"/>
    <w:rsid w:val="00C13939"/>
    <w:rsid w:val="00C13BD5"/>
    <w:rsid w:val="00C14025"/>
    <w:rsid w:val="00C1496E"/>
    <w:rsid w:val="00C154AF"/>
    <w:rsid w:val="00C1558C"/>
    <w:rsid w:val="00C1590F"/>
    <w:rsid w:val="00C159BF"/>
    <w:rsid w:val="00C15AC6"/>
    <w:rsid w:val="00C15C4C"/>
    <w:rsid w:val="00C15CCF"/>
    <w:rsid w:val="00C16510"/>
    <w:rsid w:val="00C165E5"/>
    <w:rsid w:val="00C1674E"/>
    <w:rsid w:val="00C16C75"/>
    <w:rsid w:val="00C17472"/>
    <w:rsid w:val="00C17794"/>
    <w:rsid w:val="00C17A0D"/>
    <w:rsid w:val="00C17F53"/>
    <w:rsid w:val="00C17FA1"/>
    <w:rsid w:val="00C204E4"/>
    <w:rsid w:val="00C2085C"/>
    <w:rsid w:val="00C2088B"/>
    <w:rsid w:val="00C20C30"/>
    <w:rsid w:val="00C21119"/>
    <w:rsid w:val="00C2187F"/>
    <w:rsid w:val="00C21A6F"/>
    <w:rsid w:val="00C21D77"/>
    <w:rsid w:val="00C21F7F"/>
    <w:rsid w:val="00C22651"/>
    <w:rsid w:val="00C22690"/>
    <w:rsid w:val="00C23703"/>
    <w:rsid w:val="00C2424A"/>
    <w:rsid w:val="00C2496D"/>
    <w:rsid w:val="00C25725"/>
    <w:rsid w:val="00C26693"/>
    <w:rsid w:val="00C2671C"/>
    <w:rsid w:val="00C2716E"/>
    <w:rsid w:val="00C27E0F"/>
    <w:rsid w:val="00C30021"/>
    <w:rsid w:val="00C301BB"/>
    <w:rsid w:val="00C30340"/>
    <w:rsid w:val="00C30B24"/>
    <w:rsid w:val="00C30DF9"/>
    <w:rsid w:val="00C3151F"/>
    <w:rsid w:val="00C327EA"/>
    <w:rsid w:val="00C32B7C"/>
    <w:rsid w:val="00C32EAC"/>
    <w:rsid w:val="00C3335D"/>
    <w:rsid w:val="00C3429E"/>
    <w:rsid w:val="00C34990"/>
    <w:rsid w:val="00C34D31"/>
    <w:rsid w:val="00C34F92"/>
    <w:rsid w:val="00C35AEB"/>
    <w:rsid w:val="00C35BD1"/>
    <w:rsid w:val="00C36F8D"/>
    <w:rsid w:val="00C37361"/>
    <w:rsid w:val="00C3742E"/>
    <w:rsid w:val="00C37A6C"/>
    <w:rsid w:val="00C37F08"/>
    <w:rsid w:val="00C37FF4"/>
    <w:rsid w:val="00C40176"/>
    <w:rsid w:val="00C4017B"/>
    <w:rsid w:val="00C40275"/>
    <w:rsid w:val="00C402D4"/>
    <w:rsid w:val="00C4057D"/>
    <w:rsid w:val="00C40F97"/>
    <w:rsid w:val="00C417C8"/>
    <w:rsid w:val="00C418D6"/>
    <w:rsid w:val="00C41A06"/>
    <w:rsid w:val="00C41B27"/>
    <w:rsid w:val="00C41C0D"/>
    <w:rsid w:val="00C42080"/>
    <w:rsid w:val="00C42617"/>
    <w:rsid w:val="00C42CDD"/>
    <w:rsid w:val="00C42E15"/>
    <w:rsid w:val="00C430F2"/>
    <w:rsid w:val="00C43153"/>
    <w:rsid w:val="00C43879"/>
    <w:rsid w:val="00C43DB7"/>
    <w:rsid w:val="00C43F5A"/>
    <w:rsid w:val="00C44182"/>
    <w:rsid w:val="00C44384"/>
    <w:rsid w:val="00C44755"/>
    <w:rsid w:val="00C45214"/>
    <w:rsid w:val="00C456D7"/>
    <w:rsid w:val="00C457DC"/>
    <w:rsid w:val="00C468D3"/>
    <w:rsid w:val="00C500AE"/>
    <w:rsid w:val="00C50A9A"/>
    <w:rsid w:val="00C50E14"/>
    <w:rsid w:val="00C51067"/>
    <w:rsid w:val="00C51BAE"/>
    <w:rsid w:val="00C51BF9"/>
    <w:rsid w:val="00C51DDC"/>
    <w:rsid w:val="00C521C9"/>
    <w:rsid w:val="00C52303"/>
    <w:rsid w:val="00C533F3"/>
    <w:rsid w:val="00C53492"/>
    <w:rsid w:val="00C535B4"/>
    <w:rsid w:val="00C5431F"/>
    <w:rsid w:val="00C54960"/>
    <w:rsid w:val="00C55326"/>
    <w:rsid w:val="00C554F4"/>
    <w:rsid w:val="00C558C2"/>
    <w:rsid w:val="00C55AB4"/>
    <w:rsid w:val="00C55C39"/>
    <w:rsid w:val="00C55E1C"/>
    <w:rsid w:val="00C56017"/>
    <w:rsid w:val="00C56317"/>
    <w:rsid w:val="00C5637A"/>
    <w:rsid w:val="00C56459"/>
    <w:rsid w:val="00C56547"/>
    <w:rsid w:val="00C56BC5"/>
    <w:rsid w:val="00C6031D"/>
    <w:rsid w:val="00C60D57"/>
    <w:rsid w:val="00C611FD"/>
    <w:rsid w:val="00C61F01"/>
    <w:rsid w:val="00C6253C"/>
    <w:rsid w:val="00C6278B"/>
    <w:rsid w:val="00C632A4"/>
    <w:rsid w:val="00C633CC"/>
    <w:rsid w:val="00C633D9"/>
    <w:rsid w:val="00C633F8"/>
    <w:rsid w:val="00C636A4"/>
    <w:rsid w:val="00C63726"/>
    <w:rsid w:val="00C63E44"/>
    <w:rsid w:val="00C640AB"/>
    <w:rsid w:val="00C64C75"/>
    <w:rsid w:val="00C64D5C"/>
    <w:rsid w:val="00C64F73"/>
    <w:rsid w:val="00C6530A"/>
    <w:rsid w:val="00C65CB1"/>
    <w:rsid w:val="00C65D0E"/>
    <w:rsid w:val="00C65E12"/>
    <w:rsid w:val="00C65E45"/>
    <w:rsid w:val="00C666D7"/>
    <w:rsid w:val="00C669B8"/>
    <w:rsid w:val="00C66BE3"/>
    <w:rsid w:val="00C66C87"/>
    <w:rsid w:val="00C66D3F"/>
    <w:rsid w:val="00C67744"/>
    <w:rsid w:val="00C67E85"/>
    <w:rsid w:val="00C67F83"/>
    <w:rsid w:val="00C70177"/>
    <w:rsid w:val="00C701A6"/>
    <w:rsid w:val="00C7057E"/>
    <w:rsid w:val="00C70CFD"/>
    <w:rsid w:val="00C7133C"/>
    <w:rsid w:val="00C71587"/>
    <w:rsid w:val="00C71CE9"/>
    <w:rsid w:val="00C71FFB"/>
    <w:rsid w:val="00C72797"/>
    <w:rsid w:val="00C728D6"/>
    <w:rsid w:val="00C739F7"/>
    <w:rsid w:val="00C73F39"/>
    <w:rsid w:val="00C740D6"/>
    <w:rsid w:val="00C74CB3"/>
    <w:rsid w:val="00C74E95"/>
    <w:rsid w:val="00C7589B"/>
    <w:rsid w:val="00C759B6"/>
    <w:rsid w:val="00C75A7B"/>
    <w:rsid w:val="00C761E8"/>
    <w:rsid w:val="00C7675D"/>
    <w:rsid w:val="00C772E5"/>
    <w:rsid w:val="00C77B7C"/>
    <w:rsid w:val="00C806D4"/>
    <w:rsid w:val="00C80886"/>
    <w:rsid w:val="00C8092E"/>
    <w:rsid w:val="00C80AAA"/>
    <w:rsid w:val="00C80BF1"/>
    <w:rsid w:val="00C80FF7"/>
    <w:rsid w:val="00C81541"/>
    <w:rsid w:val="00C817EE"/>
    <w:rsid w:val="00C824CC"/>
    <w:rsid w:val="00C8300C"/>
    <w:rsid w:val="00C8380C"/>
    <w:rsid w:val="00C83DC1"/>
    <w:rsid w:val="00C83E8C"/>
    <w:rsid w:val="00C83ED5"/>
    <w:rsid w:val="00C84190"/>
    <w:rsid w:val="00C848D0"/>
    <w:rsid w:val="00C84B8D"/>
    <w:rsid w:val="00C84D54"/>
    <w:rsid w:val="00C84EA1"/>
    <w:rsid w:val="00C851EF"/>
    <w:rsid w:val="00C854DA"/>
    <w:rsid w:val="00C85513"/>
    <w:rsid w:val="00C85701"/>
    <w:rsid w:val="00C85971"/>
    <w:rsid w:val="00C8674D"/>
    <w:rsid w:val="00C86D28"/>
    <w:rsid w:val="00C86FCE"/>
    <w:rsid w:val="00C875F1"/>
    <w:rsid w:val="00C87C76"/>
    <w:rsid w:val="00C87DE3"/>
    <w:rsid w:val="00C87E46"/>
    <w:rsid w:val="00C90375"/>
    <w:rsid w:val="00C904EF"/>
    <w:rsid w:val="00C90A7D"/>
    <w:rsid w:val="00C90EC7"/>
    <w:rsid w:val="00C91BFA"/>
    <w:rsid w:val="00C92961"/>
    <w:rsid w:val="00C929BA"/>
    <w:rsid w:val="00C92B26"/>
    <w:rsid w:val="00C92B27"/>
    <w:rsid w:val="00C93510"/>
    <w:rsid w:val="00C9377F"/>
    <w:rsid w:val="00C9385B"/>
    <w:rsid w:val="00C93B7B"/>
    <w:rsid w:val="00C93E4C"/>
    <w:rsid w:val="00C9405C"/>
    <w:rsid w:val="00C94345"/>
    <w:rsid w:val="00C94467"/>
    <w:rsid w:val="00C95B70"/>
    <w:rsid w:val="00C95E0F"/>
    <w:rsid w:val="00C9619A"/>
    <w:rsid w:val="00C963ED"/>
    <w:rsid w:val="00C96534"/>
    <w:rsid w:val="00C9689B"/>
    <w:rsid w:val="00C96960"/>
    <w:rsid w:val="00C96ACF"/>
    <w:rsid w:val="00C96F8F"/>
    <w:rsid w:val="00C97080"/>
    <w:rsid w:val="00C971FB"/>
    <w:rsid w:val="00C975E4"/>
    <w:rsid w:val="00CA047D"/>
    <w:rsid w:val="00CA0F37"/>
    <w:rsid w:val="00CA11EA"/>
    <w:rsid w:val="00CA166F"/>
    <w:rsid w:val="00CA2112"/>
    <w:rsid w:val="00CA2E86"/>
    <w:rsid w:val="00CA330D"/>
    <w:rsid w:val="00CA33EB"/>
    <w:rsid w:val="00CA3553"/>
    <w:rsid w:val="00CA37DF"/>
    <w:rsid w:val="00CA3B72"/>
    <w:rsid w:val="00CA3CBA"/>
    <w:rsid w:val="00CA486C"/>
    <w:rsid w:val="00CA49A4"/>
    <w:rsid w:val="00CA5081"/>
    <w:rsid w:val="00CA5105"/>
    <w:rsid w:val="00CA58EC"/>
    <w:rsid w:val="00CA5D6D"/>
    <w:rsid w:val="00CA5F52"/>
    <w:rsid w:val="00CA6455"/>
    <w:rsid w:val="00CA64DB"/>
    <w:rsid w:val="00CA6ADE"/>
    <w:rsid w:val="00CA6ED2"/>
    <w:rsid w:val="00CA72E2"/>
    <w:rsid w:val="00CA7576"/>
    <w:rsid w:val="00CA77AE"/>
    <w:rsid w:val="00CB0040"/>
    <w:rsid w:val="00CB087A"/>
    <w:rsid w:val="00CB0DBB"/>
    <w:rsid w:val="00CB117D"/>
    <w:rsid w:val="00CB1309"/>
    <w:rsid w:val="00CB187C"/>
    <w:rsid w:val="00CB2572"/>
    <w:rsid w:val="00CB2FB5"/>
    <w:rsid w:val="00CB3353"/>
    <w:rsid w:val="00CB393B"/>
    <w:rsid w:val="00CB3CE0"/>
    <w:rsid w:val="00CB3F74"/>
    <w:rsid w:val="00CB408D"/>
    <w:rsid w:val="00CB4222"/>
    <w:rsid w:val="00CB48A2"/>
    <w:rsid w:val="00CB533F"/>
    <w:rsid w:val="00CB5F28"/>
    <w:rsid w:val="00CB5F5A"/>
    <w:rsid w:val="00CB6325"/>
    <w:rsid w:val="00CB7002"/>
    <w:rsid w:val="00CB7234"/>
    <w:rsid w:val="00CB7363"/>
    <w:rsid w:val="00CB7933"/>
    <w:rsid w:val="00CB7A5D"/>
    <w:rsid w:val="00CB7CD7"/>
    <w:rsid w:val="00CB7D70"/>
    <w:rsid w:val="00CB7DE4"/>
    <w:rsid w:val="00CC0342"/>
    <w:rsid w:val="00CC06A4"/>
    <w:rsid w:val="00CC0E6D"/>
    <w:rsid w:val="00CC1727"/>
    <w:rsid w:val="00CC1805"/>
    <w:rsid w:val="00CC2384"/>
    <w:rsid w:val="00CC2D48"/>
    <w:rsid w:val="00CC349E"/>
    <w:rsid w:val="00CC3640"/>
    <w:rsid w:val="00CC373B"/>
    <w:rsid w:val="00CC3ACC"/>
    <w:rsid w:val="00CC3B1C"/>
    <w:rsid w:val="00CC43B2"/>
    <w:rsid w:val="00CC48B8"/>
    <w:rsid w:val="00CC5515"/>
    <w:rsid w:val="00CC7576"/>
    <w:rsid w:val="00CC7999"/>
    <w:rsid w:val="00CC7B53"/>
    <w:rsid w:val="00CC7E60"/>
    <w:rsid w:val="00CD0A6B"/>
    <w:rsid w:val="00CD0EDD"/>
    <w:rsid w:val="00CD1244"/>
    <w:rsid w:val="00CD1AEB"/>
    <w:rsid w:val="00CD2072"/>
    <w:rsid w:val="00CD2399"/>
    <w:rsid w:val="00CD29A3"/>
    <w:rsid w:val="00CD303E"/>
    <w:rsid w:val="00CD34E5"/>
    <w:rsid w:val="00CD3E65"/>
    <w:rsid w:val="00CD3FEF"/>
    <w:rsid w:val="00CD4179"/>
    <w:rsid w:val="00CD454E"/>
    <w:rsid w:val="00CD4E57"/>
    <w:rsid w:val="00CD500C"/>
    <w:rsid w:val="00CD51D4"/>
    <w:rsid w:val="00CD5D23"/>
    <w:rsid w:val="00CD663B"/>
    <w:rsid w:val="00CD6FE3"/>
    <w:rsid w:val="00CD74C7"/>
    <w:rsid w:val="00CD7AE9"/>
    <w:rsid w:val="00CD7D67"/>
    <w:rsid w:val="00CD7E2F"/>
    <w:rsid w:val="00CD7EF9"/>
    <w:rsid w:val="00CE0050"/>
    <w:rsid w:val="00CE14A1"/>
    <w:rsid w:val="00CE154F"/>
    <w:rsid w:val="00CE161C"/>
    <w:rsid w:val="00CE16A5"/>
    <w:rsid w:val="00CE1863"/>
    <w:rsid w:val="00CE19A3"/>
    <w:rsid w:val="00CE1C34"/>
    <w:rsid w:val="00CE1ED6"/>
    <w:rsid w:val="00CE1FF8"/>
    <w:rsid w:val="00CE2795"/>
    <w:rsid w:val="00CE2B2C"/>
    <w:rsid w:val="00CE2BD6"/>
    <w:rsid w:val="00CE318C"/>
    <w:rsid w:val="00CE3261"/>
    <w:rsid w:val="00CE345F"/>
    <w:rsid w:val="00CE3585"/>
    <w:rsid w:val="00CE41F6"/>
    <w:rsid w:val="00CE42F9"/>
    <w:rsid w:val="00CE46FA"/>
    <w:rsid w:val="00CE475B"/>
    <w:rsid w:val="00CE4DEF"/>
    <w:rsid w:val="00CE507B"/>
    <w:rsid w:val="00CE50FF"/>
    <w:rsid w:val="00CE567B"/>
    <w:rsid w:val="00CE616F"/>
    <w:rsid w:val="00CE657E"/>
    <w:rsid w:val="00CE7702"/>
    <w:rsid w:val="00CE7CEC"/>
    <w:rsid w:val="00CE7F2F"/>
    <w:rsid w:val="00CF0994"/>
    <w:rsid w:val="00CF0CA5"/>
    <w:rsid w:val="00CF1106"/>
    <w:rsid w:val="00CF142E"/>
    <w:rsid w:val="00CF16D9"/>
    <w:rsid w:val="00CF1974"/>
    <w:rsid w:val="00CF1C35"/>
    <w:rsid w:val="00CF21AD"/>
    <w:rsid w:val="00CF220F"/>
    <w:rsid w:val="00CF26A4"/>
    <w:rsid w:val="00CF2749"/>
    <w:rsid w:val="00CF27C6"/>
    <w:rsid w:val="00CF289E"/>
    <w:rsid w:val="00CF28DC"/>
    <w:rsid w:val="00CF3109"/>
    <w:rsid w:val="00CF3170"/>
    <w:rsid w:val="00CF32DC"/>
    <w:rsid w:val="00CF3E31"/>
    <w:rsid w:val="00CF44A9"/>
    <w:rsid w:val="00CF464D"/>
    <w:rsid w:val="00CF4C9A"/>
    <w:rsid w:val="00CF5185"/>
    <w:rsid w:val="00CF5515"/>
    <w:rsid w:val="00CF5580"/>
    <w:rsid w:val="00CF56E5"/>
    <w:rsid w:val="00CF59D1"/>
    <w:rsid w:val="00CF5AD4"/>
    <w:rsid w:val="00CF5FE8"/>
    <w:rsid w:val="00CF62C0"/>
    <w:rsid w:val="00CF660A"/>
    <w:rsid w:val="00CF6658"/>
    <w:rsid w:val="00CF68A0"/>
    <w:rsid w:val="00CF6C94"/>
    <w:rsid w:val="00CF708A"/>
    <w:rsid w:val="00D000C3"/>
    <w:rsid w:val="00D007AF"/>
    <w:rsid w:val="00D00F43"/>
    <w:rsid w:val="00D0146A"/>
    <w:rsid w:val="00D01501"/>
    <w:rsid w:val="00D01B5A"/>
    <w:rsid w:val="00D01F6D"/>
    <w:rsid w:val="00D01FBC"/>
    <w:rsid w:val="00D02389"/>
    <w:rsid w:val="00D025B4"/>
    <w:rsid w:val="00D02A29"/>
    <w:rsid w:val="00D02BA7"/>
    <w:rsid w:val="00D03AAB"/>
    <w:rsid w:val="00D041B5"/>
    <w:rsid w:val="00D04237"/>
    <w:rsid w:val="00D042F9"/>
    <w:rsid w:val="00D04BE0"/>
    <w:rsid w:val="00D04F24"/>
    <w:rsid w:val="00D051B5"/>
    <w:rsid w:val="00D05970"/>
    <w:rsid w:val="00D05F15"/>
    <w:rsid w:val="00D06518"/>
    <w:rsid w:val="00D069A6"/>
    <w:rsid w:val="00D06E49"/>
    <w:rsid w:val="00D07460"/>
    <w:rsid w:val="00D07574"/>
    <w:rsid w:val="00D07A3B"/>
    <w:rsid w:val="00D07DF4"/>
    <w:rsid w:val="00D10240"/>
    <w:rsid w:val="00D109CB"/>
    <w:rsid w:val="00D11205"/>
    <w:rsid w:val="00D124C6"/>
    <w:rsid w:val="00D13173"/>
    <w:rsid w:val="00D1337C"/>
    <w:rsid w:val="00D13A76"/>
    <w:rsid w:val="00D13BB1"/>
    <w:rsid w:val="00D140F0"/>
    <w:rsid w:val="00D14AC1"/>
    <w:rsid w:val="00D14FA0"/>
    <w:rsid w:val="00D1506A"/>
    <w:rsid w:val="00D151AA"/>
    <w:rsid w:val="00D151C7"/>
    <w:rsid w:val="00D1593F"/>
    <w:rsid w:val="00D166B4"/>
    <w:rsid w:val="00D16D2A"/>
    <w:rsid w:val="00D16EC0"/>
    <w:rsid w:val="00D171A2"/>
    <w:rsid w:val="00D1757F"/>
    <w:rsid w:val="00D20677"/>
    <w:rsid w:val="00D2067E"/>
    <w:rsid w:val="00D208A2"/>
    <w:rsid w:val="00D211B8"/>
    <w:rsid w:val="00D217D3"/>
    <w:rsid w:val="00D21A54"/>
    <w:rsid w:val="00D223A6"/>
    <w:rsid w:val="00D22E53"/>
    <w:rsid w:val="00D2428A"/>
    <w:rsid w:val="00D243CB"/>
    <w:rsid w:val="00D245BF"/>
    <w:rsid w:val="00D24B7D"/>
    <w:rsid w:val="00D24C94"/>
    <w:rsid w:val="00D24ED5"/>
    <w:rsid w:val="00D25B0F"/>
    <w:rsid w:val="00D25B75"/>
    <w:rsid w:val="00D26083"/>
    <w:rsid w:val="00D261C4"/>
    <w:rsid w:val="00D269AF"/>
    <w:rsid w:val="00D26B18"/>
    <w:rsid w:val="00D26C7E"/>
    <w:rsid w:val="00D26E0A"/>
    <w:rsid w:val="00D274A0"/>
    <w:rsid w:val="00D2797F"/>
    <w:rsid w:val="00D27B3A"/>
    <w:rsid w:val="00D27BA9"/>
    <w:rsid w:val="00D30035"/>
    <w:rsid w:val="00D304AB"/>
    <w:rsid w:val="00D30518"/>
    <w:rsid w:val="00D30A7B"/>
    <w:rsid w:val="00D30BF1"/>
    <w:rsid w:val="00D30ED1"/>
    <w:rsid w:val="00D319AD"/>
    <w:rsid w:val="00D319F4"/>
    <w:rsid w:val="00D32086"/>
    <w:rsid w:val="00D328FC"/>
    <w:rsid w:val="00D32EF8"/>
    <w:rsid w:val="00D3377D"/>
    <w:rsid w:val="00D337CB"/>
    <w:rsid w:val="00D3382C"/>
    <w:rsid w:val="00D33DE7"/>
    <w:rsid w:val="00D34035"/>
    <w:rsid w:val="00D3492E"/>
    <w:rsid w:val="00D34F46"/>
    <w:rsid w:val="00D350A4"/>
    <w:rsid w:val="00D355F0"/>
    <w:rsid w:val="00D3561C"/>
    <w:rsid w:val="00D35B53"/>
    <w:rsid w:val="00D35C11"/>
    <w:rsid w:val="00D362A9"/>
    <w:rsid w:val="00D3637F"/>
    <w:rsid w:val="00D3664C"/>
    <w:rsid w:val="00D36679"/>
    <w:rsid w:val="00D36897"/>
    <w:rsid w:val="00D36A1F"/>
    <w:rsid w:val="00D36F26"/>
    <w:rsid w:val="00D37469"/>
    <w:rsid w:val="00D3793B"/>
    <w:rsid w:val="00D37D45"/>
    <w:rsid w:val="00D37E9B"/>
    <w:rsid w:val="00D4046D"/>
    <w:rsid w:val="00D409AE"/>
    <w:rsid w:val="00D41DFA"/>
    <w:rsid w:val="00D42356"/>
    <w:rsid w:val="00D42E9B"/>
    <w:rsid w:val="00D43665"/>
    <w:rsid w:val="00D43B6A"/>
    <w:rsid w:val="00D43E3B"/>
    <w:rsid w:val="00D448CD"/>
    <w:rsid w:val="00D44B91"/>
    <w:rsid w:val="00D44D16"/>
    <w:rsid w:val="00D44F00"/>
    <w:rsid w:val="00D4567B"/>
    <w:rsid w:val="00D45A4B"/>
    <w:rsid w:val="00D45C44"/>
    <w:rsid w:val="00D45EA4"/>
    <w:rsid w:val="00D46298"/>
    <w:rsid w:val="00D463A1"/>
    <w:rsid w:val="00D463C8"/>
    <w:rsid w:val="00D46661"/>
    <w:rsid w:val="00D46B7B"/>
    <w:rsid w:val="00D47ED1"/>
    <w:rsid w:val="00D47F3E"/>
    <w:rsid w:val="00D47F63"/>
    <w:rsid w:val="00D500B0"/>
    <w:rsid w:val="00D500CF"/>
    <w:rsid w:val="00D50361"/>
    <w:rsid w:val="00D516E4"/>
    <w:rsid w:val="00D518AE"/>
    <w:rsid w:val="00D51BBB"/>
    <w:rsid w:val="00D5204C"/>
    <w:rsid w:val="00D524D0"/>
    <w:rsid w:val="00D529BF"/>
    <w:rsid w:val="00D52F14"/>
    <w:rsid w:val="00D531AC"/>
    <w:rsid w:val="00D53669"/>
    <w:rsid w:val="00D53839"/>
    <w:rsid w:val="00D54744"/>
    <w:rsid w:val="00D556A8"/>
    <w:rsid w:val="00D5573C"/>
    <w:rsid w:val="00D55BEC"/>
    <w:rsid w:val="00D55ED2"/>
    <w:rsid w:val="00D56A5F"/>
    <w:rsid w:val="00D56DFC"/>
    <w:rsid w:val="00D56ED8"/>
    <w:rsid w:val="00D6032E"/>
    <w:rsid w:val="00D6063C"/>
    <w:rsid w:val="00D60881"/>
    <w:rsid w:val="00D60894"/>
    <w:rsid w:val="00D60DBA"/>
    <w:rsid w:val="00D60EAA"/>
    <w:rsid w:val="00D60FF6"/>
    <w:rsid w:val="00D61680"/>
    <w:rsid w:val="00D62ACD"/>
    <w:rsid w:val="00D6388A"/>
    <w:rsid w:val="00D63942"/>
    <w:rsid w:val="00D63971"/>
    <w:rsid w:val="00D64A58"/>
    <w:rsid w:val="00D64E69"/>
    <w:rsid w:val="00D65152"/>
    <w:rsid w:val="00D6530F"/>
    <w:rsid w:val="00D65FA9"/>
    <w:rsid w:val="00D661BC"/>
    <w:rsid w:val="00D664A2"/>
    <w:rsid w:val="00D66517"/>
    <w:rsid w:val="00D665A8"/>
    <w:rsid w:val="00D66E14"/>
    <w:rsid w:val="00D67997"/>
    <w:rsid w:val="00D67F33"/>
    <w:rsid w:val="00D704A2"/>
    <w:rsid w:val="00D7072C"/>
    <w:rsid w:val="00D70934"/>
    <w:rsid w:val="00D70D34"/>
    <w:rsid w:val="00D71380"/>
    <w:rsid w:val="00D71678"/>
    <w:rsid w:val="00D719AE"/>
    <w:rsid w:val="00D71C9A"/>
    <w:rsid w:val="00D7214A"/>
    <w:rsid w:val="00D7228A"/>
    <w:rsid w:val="00D728C5"/>
    <w:rsid w:val="00D72F58"/>
    <w:rsid w:val="00D7334D"/>
    <w:rsid w:val="00D736DF"/>
    <w:rsid w:val="00D7378C"/>
    <w:rsid w:val="00D73CB9"/>
    <w:rsid w:val="00D7422F"/>
    <w:rsid w:val="00D7439A"/>
    <w:rsid w:val="00D750F6"/>
    <w:rsid w:val="00D7517D"/>
    <w:rsid w:val="00D751BC"/>
    <w:rsid w:val="00D75270"/>
    <w:rsid w:val="00D7621B"/>
    <w:rsid w:val="00D7649D"/>
    <w:rsid w:val="00D7718B"/>
    <w:rsid w:val="00D77F81"/>
    <w:rsid w:val="00D8012F"/>
    <w:rsid w:val="00D803B9"/>
    <w:rsid w:val="00D804FB"/>
    <w:rsid w:val="00D80B71"/>
    <w:rsid w:val="00D80DE1"/>
    <w:rsid w:val="00D8100A"/>
    <w:rsid w:val="00D81079"/>
    <w:rsid w:val="00D81297"/>
    <w:rsid w:val="00D81356"/>
    <w:rsid w:val="00D814A9"/>
    <w:rsid w:val="00D8198F"/>
    <w:rsid w:val="00D81B52"/>
    <w:rsid w:val="00D82A76"/>
    <w:rsid w:val="00D833CE"/>
    <w:rsid w:val="00D84032"/>
    <w:rsid w:val="00D84A05"/>
    <w:rsid w:val="00D8516B"/>
    <w:rsid w:val="00D85484"/>
    <w:rsid w:val="00D85A8F"/>
    <w:rsid w:val="00D861F3"/>
    <w:rsid w:val="00D86703"/>
    <w:rsid w:val="00D86CE1"/>
    <w:rsid w:val="00D87853"/>
    <w:rsid w:val="00D87DA9"/>
    <w:rsid w:val="00D900DC"/>
    <w:rsid w:val="00D902A6"/>
    <w:rsid w:val="00D9086D"/>
    <w:rsid w:val="00D90F2C"/>
    <w:rsid w:val="00D913C7"/>
    <w:rsid w:val="00D920CA"/>
    <w:rsid w:val="00D92225"/>
    <w:rsid w:val="00D925B4"/>
    <w:rsid w:val="00D92933"/>
    <w:rsid w:val="00D92936"/>
    <w:rsid w:val="00D9359D"/>
    <w:rsid w:val="00D936AA"/>
    <w:rsid w:val="00D93A90"/>
    <w:rsid w:val="00D94468"/>
    <w:rsid w:val="00D94CED"/>
    <w:rsid w:val="00D9549A"/>
    <w:rsid w:val="00D954C9"/>
    <w:rsid w:val="00D95BB0"/>
    <w:rsid w:val="00D96EB5"/>
    <w:rsid w:val="00D975AD"/>
    <w:rsid w:val="00D9784D"/>
    <w:rsid w:val="00DA0159"/>
    <w:rsid w:val="00DA06E7"/>
    <w:rsid w:val="00DA0759"/>
    <w:rsid w:val="00DA08CD"/>
    <w:rsid w:val="00DA0B77"/>
    <w:rsid w:val="00DA16E9"/>
    <w:rsid w:val="00DA16EB"/>
    <w:rsid w:val="00DA1F34"/>
    <w:rsid w:val="00DA245A"/>
    <w:rsid w:val="00DA2D18"/>
    <w:rsid w:val="00DA3104"/>
    <w:rsid w:val="00DA351E"/>
    <w:rsid w:val="00DA39B3"/>
    <w:rsid w:val="00DA3DB6"/>
    <w:rsid w:val="00DA40B4"/>
    <w:rsid w:val="00DA4112"/>
    <w:rsid w:val="00DA4281"/>
    <w:rsid w:val="00DA434D"/>
    <w:rsid w:val="00DA4841"/>
    <w:rsid w:val="00DA4AB7"/>
    <w:rsid w:val="00DA4D03"/>
    <w:rsid w:val="00DA4F5D"/>
    <w:rsid w:val="00DA5093"/>
    <w:rsid w:val="00DA57C4"/>
    <w:rsid w:val="00DA57F6"/>
    <w:rsid w:val="00DA5BF3"/>
    <w:rsid w:val="00DA6203"/>
    <w:rsid w:val="00DA6212"/>
    <w:rsid w:val="00DA6B0C"/>
    <w:rsid w:val="00DA6CA2"/>
    <w:rsid w:val="00DA6F1A"/>
    <w:rsid w:val="00DA6F88"/>
    <w:rsid w:val="00DA775D"/>
    <w:rsid w:val="00DB019C"/>
    <w:rsid w:val="00DB0887"/>
    <w:rsid w:val="00DB0947"/>
    <w:rsid w:val="00DB0C02"/>
    <w:rsid w:val="00DB0C67"/>
    <w:rsid w:val="00DB1287"/>
    <w:rsid w:val="00DB1AF3"/>
    <w:rsid w:val="00DB22DA"/>
    <w:rsid w:val="00DB2551"/>
    <w:rsid w:val="00DB2556"/>
    <w:rsid w:val="00DB264A"/>
    <w:rsid w:val="00DB2760"/>
    <w:rsid w:val="00DB295C"/>
    <w:rsid w:val="00DB2CCF"/>
    <w:rsid w:val="00DB3301"/>
    <w:rsid w:val="00DB3A69"/>
    <w:rsid w:val="00DB3DD3"/>
    <w:rsid w:val="00DB51A2"/>
    <w:rsid w:val="00DB571B"/>
    <w:rsid w:val="00DB572F"/>
    <w:rsid w:val="00DB5A8E"/>
    <w:rsid w:val="00DB5DD1"/>
    <w:rsid w:val="00DB6481"/>
    <w:rsid w:val="00DB6B99"/>
    <w:rsid w:val="00DB6EC6"/>
    <w:rsid w:val="00DB6FB0"/>
    <w:rsid w:val="00DB71EB"/>
    <w:rsid w:val="00DB76A2"/>
    <w:rsid w:val="00DB772F"/>
    <w:rsid w:val="00DB7907"/>
    <w:rsid w:val="00DB7B12"/>
    <w:rsid w:val="00DB7D8A"/>
    <w:rsid w:val="00DB7E85"/>
    <w:rsid w:val="00DC006D"/>
    <w:rsid w:val="00DC0334"/>
    <w:rsid w:val="00DC08DE"/>
    <w:rsid w:val="00DC0903"/>
    <w:rsid w:val="00DC12CF"/>
    <w:rsid w:val="00DC16E0"/>
    <w:rsid w:val="00DC1AE1"/>
    <w:rsid w:val="00DC1E57"/>
    <w:rsid w:val="00DC21B2"/>
    <w:rsid w:val="00DC259E"/>
    <w:rsid w:val="00DC2887"/>
    <w:rsid w:val="00DC2910"/>
    <w:rsid w:val="00DC2A64"/>
    <w:rsid w:val="00DC31E6"/>
    <w:rsid w:val="00DC3322"/>
    <w:rsid w:val="00DC3403"/>
    <w:rsid w:val="00DC3794"/>
    <w:rsid w:val="00DC39E5"/>
    <w:rsid w:val="00DC4629"/>
    <w:rsid w:val="00DC4831"/>
    <w:rsid w:val="00DC4CE9"/>
    <w:rsid w:val="00DC5652"/>
    <w:rsid w:val="00DC57AD"/>
    <w:rsid w:val="00DC58EE"/>
    <w:rsid w:val="00DC64A0"/>
    <w:rsid w:val="00DC64B2"/>
    <w:rsid w:val="00DC6C5A"/>
    <w:rsid w:val="00DC740E"/>
    <w:rsid w:val="00DC7906"/>
    <w:rsid w:val="00DC7E99"/>
    <w:rsid w:val="00DD00FA"/>
    <w:rsid w:val="00DD030F"/>
    <w:rsid w:val="00DD04A2"/>
    <w:rsid w:val="00DD07B2"/>
    <w:rsid w:val="00DD0F6F"/>
    <w:rsid w:val="00DD14CE"/>
    <w:rsid w:val="00DD1CD2"/>
    <w:rsid w:val="00DD1DA9"/>
    <w:rsid w:val="00DD3D1E"/>
    <w:rsid w:val="00DD3EC1"/>
    <w:rsid w:val="00DD40E8"/>
    <w:rsid w:val="00DD468A"/>
    <w:rsid w:val="00DD5317"/>
    <w:rsid w:val="00DD6048"/>
    <w:rsid w:val="00DD627B"/>
    <w:rsid w:val="00DD662D"/>
    <w:rsid w:val="00DD6809"/>
    <w:rsid w:val="00DD6BC7"/>
    <w:rsid w:val="00DD7E4C"/>
    <w:rsid w:val="00DE0033"/>
    <w:rsid w:val="00DE005C"/>
    <w:rsid w:val="00DE0239"/>
    <w:rsid w:val="00DE0669"/>
    <w:rsid w:val="00DE07C4"/>
    <w:rsid w:val="00DE0A7D"/>
    <w:rsid w:val="00DE0ACD"/>
    <w:rsid w:val="00DE0B4F"/>
    <w:rsid w:val="00DE0E97"/>
    <w:rsid w:val="00DE0F6F"/>
    <w:rsid w:val="00DE129A"/>
    <w:rsid w:val="00DE1730"/>
    <w:rsid w:val="00DE1DFC"/>
    <w:rsid w:val="00DE1F39"/>
    <w:rsid w:val="00DE2C0C"/>
    <w:rsid w:val="00DE2F26"/>
    <w:rsid w:val="00DE3238"/>
    <w:rsid w:val="00DE3564"/>
    <w:rsid w:val="00DE39FC"/>
    <w:rsid w:val="00DE3BDC"/>
    <w:rsid w:val="00DE4A7E"/>
    <w:rsid w:val="00DE4B3E"/>
    <w:rsid w:val="00DE522A"/>
    <w:rsid w:val="00DE546A"/>
    <w:rsid w:val="00DE6620"/>
    <w:rsid w:val="00DE6E8D"/>
    <w:rsid w:val="00DE6F02"/>
    <w:rsid w:val="00DE7816"/>
    <w:rsid w:val="00DE7B5F"/>
    <w:rsid w:val="00DE7D9E"/>
    <w:rsid w:val="00DE7FE9"/>
    <w:rsid w:val="00DF0539"/>
    <w:rsid w:val="00DF11A9"/>
    <w:rsid w:val="00DF1644"/>
    <w:rsid w:val="00DF17B3"/>
    <w:rsid w:val="00DF23A7"/>
    <w:rsid w:val="00DF25A2"/>
    <w:rsid w:val="00DF2EAB"/>
    <w:rsid w:val="00DF38C7"/>
    <w:rsid w:val="00DF3F70"/>
    <w:rsid w:val="00DF44BD"/>
    <w:rsid w:val="00DF44E2"/>
    <w:rsid w:val="00DF45A2"/>
    <w:rsid w:val="00DF46F6"/>
    <w:rsid w:val="00DF50CC"/>
    <w:rsid w:val="00DF5489"/>
    <w:rsid w:val="00DF554D"/>
    <w:rsid w:val="00DF6463"/>
    <w:rsid w:val="00DF7653"/>
    <w:rsid w:val="00DF7981"/>
    <w:rsid w:val="00E00BF9"/>
    <w:rsid w:val="00E02074"/>
    <w:rsid w:val="00E03837"/>
    <w:rsid w:val="00E0393E"/>
    <w:rsid w:val="00E03B09"/>
    <w:rsid w:val="00E03E4D"/>
    <w:rsid w:val="00E041D7"/>
    <w:rsid w:val="00E04752"/>
    <w:rsid w:val="00E04858"/>
    <w:rsid w:val="00E04937"/>
    <w:rsid w:val="00E04EA0"/>
    <w:rsid w:val="00E05E5A"/>
    <w:rsid w:val="00E06321"/>
    <w:rsid w:val="00E0633C"/>
    <w:rsid w:val="00E070E4"/>
    <w:rsid w:val="00E07338"/>
    <w:rsid w:val="00E07404"/>
    <w:rsid w:val="00E07EC5"/>
    <w:rsid w:val="00E10EF0"/>
    <w:rsid w:val="00E1151C"/>
    <w:rsid w:val="00E11CC9"/>
    <w:rsid w:val="00E12566"/>
    <w:rsid w:val="00E12C56"/>
    <w:rsid w:val="00E13687"/>
    <w:rsid w:val="00E139F0"/>
    <w:rsid w:val="00E14307"/>
    <w:rsid w:val="00E1493B"/>
    <w:rsid w:val="00E14D21"/>
    <w:rsid w:val="00E1528E"/>
    <w:rsid w:val="00E15858"/>
    <w:rsid w:val="00E159EB"/>
    <w:rsid w:val="00E15A44"/>
    <w:rsid w:val="00E15B7A"/>
    <w:rsid w:val="00E15E33"/>
    <w:rsid w:val="00E15EC6"/>
    <w:rsid w:val="00E163CF"/>
    <w:rsid w:val="00E16E13"/>
    <w:rsid w:val="00E173CE"/>
    <w:rsid w:val="00E17EC4"/>
    <w:rsid w:val="00E200AE"/>
    <w:rsid w:val="00E20158"/>
    <w:rsid w:val="00E20605"/>
    <w:rsid w:val="00E207AD"/>
    <w:rsid w:val="00E20AC9"/>
    <w:rsid w:val="00E20AD7"/>
    <w:rsid w:val="00E20CDF"/>
    <w:rsid w:val="00E20F4C"/>
    <w:rsid w:val="00E211A1"/>
    <w:rsid w:val="00E211C3"/>
    <w:rsid w:val="00E21345"/>
    <w:rsid w:val="00E21374"/>
    <w:rsid w:val="00E213C4"/>
    <w:rsid w:val="00E21E99"/>
    <w:rsid w:val="00E21EBE"/>
    <w:rsid w:val="00E229EC"/>
    <w:rsid w:val="00E22FCA"/>
    <w:rsid w:val="00E23115"/>
    <w:rsid w:val="00E2311D"/>
    <w:rsid w:val="00E2329D"/>
    <w:rsid w:val="00E2365C"/>
    <w:rsid w:val="00E23747"/>
    <w:rsid w:val="00E23B26"/>
    <w:rsid w:val="00E23EE6"/>
    <w:rsid w:val="00E24536"/>
    <w:rsid w:val="00E2477C"/>
    <w:rsid w:val="00E24FEB"/>
    <w:rsid w:val="00E25176"/>
    <w:rsid w:val="00E253D2"/>
    <w:rsid w:val="00E2584B"/>
    <w:rsid w:val="00E258A0"/>
    <w:rsid w:val="00E26740"/>
    <w:rsid w:val="00E26753"/>
    <w:rsid w:val="00E26C02"/>
    <w:rsid w:val="00E27152"/>
    <w:rsid w:val="00E2742B"/>
    <w:rsid w:val="00E30190"/>
    <w:rsid w:val="00E3029F"/>
    <w:rsid w:val="00E3036F"/>
    <w:rsid w:val="00E30889"/>
    <w:rsid w:val="00E30AED"/>
    <w:rsid w:val="00E31073"/>
    <w:rsid w:val="00E310CF"/>
    <w:rsid w:val="00E314FE"/>
    <w:rsid w:val="00E31761"/>
    <w:rsid w:val="00E318E9"/>
    <w:rsid w:val="00E3190C"/>
    <w:rsid w:val="00E31D16"/>
    <w:rsid w:val="00E324A1"/>
    <w:rsid w:val="00E33807"/>
    <w:rsid w:val="00E33B0B"/>
    <w:rsid w:val="00E33E7E"/>
    <w:rsid w:val="00E33FA0"/>
    <w:rsid w:val="00E34B4E"/>
    <w:rsid w:val="00E3550C"/>
    <w:rsid w:val="00E35FDE"/>
    <w:rsid w:val="00E366DB"/>
    <w:rsid w:val="00E367A2"/>
    <w:rsid w:val="00E36C1E"/>
    <w:rsid w:val="00E37454"/>
    <w:rsid w:val="00E3783C"/>
    <w:rsid w:val="00E37BFD"/>
    <w:rsid w:val="00E37D35"/>
    <w:rsid w:val="00E37FAA"/>
    <w:rsid w:val="00E40A5B"/>
    <w:rsid w:val="00E41427"/>
    <w:rsid w:val="00E41CE6"/>
    <w:rsid w:val="00E41CFC"/>
    <w:rsid w:val="00E41FDF"/>
    <w:rsid w:val="00E4218F"/>
    <w:rsid w:val="00E423CF"/>
    <w:rsid w:val="00E42515"/>
    <w:rsid w:val="00E4279E"/>
    <w:rsid w:val="00E42A19"/>
    <w:rsid w:val="00E43081"/>
    <w:rsid w:val="00E4346D"/>
    <w:rsid w:val="00E4382E"/>
    <w:rsid w:val="00E43BF2"/>
    <w:rsid w:val="00E43CAE"/>
    <w:rsid w:val="00E442E8"/>
    <w:rsid w:val="00E443F7"/>
    <w:rsid w:val="00E44A71"/>
    <w:rsid w:val="00E44EFA"/>
    <w:rsid w:val="00E45067"/>
    <w:rsid w:val="00E4578C"/>
    <w:rsid w:val="00E45926"/>
    <w:rsid w:val="00E45F59"/>
    <w:rsid w:val="00E46A73"/>
    <w:rsid w:val="00E470B6"/>
    <w:rsid w:val="00E475BB"/>
    <w:rsid w:val="00E478B3"/>
    <w:rsid w:val="00E500C7"/>
    <w:rsid w:val="00E50246"/>
    <w:rsid w:val="00E50967"/>
    <w:rsid w:val="00E50A80"/>
    <w:rsid w:val="00E511BB"/>
    <w:rsid w:val="00E5152C"/>
    <w:rsid w:val="00E51B61"/>
    <w:rsid w:val="00E51BE0"/>
    <w:rsid w:val="00E51D4F"/>
    <w:rsid w:val="00E51DB9"/>
    <w:rsid w:val="00E51E0E"/>
    <w:rsid w:val="00E51E41"/>
    <w:rsid w:val="00E5244C"/>
    <w:rsid w:val="00E525E4"/>
    <w:rsid w:val="00E527F0"/>
    <w:rsid w:val="00E52BDA"/>
    <w:rsid w:val="00E53CB2"/>
    <w:rsid w:val="00E53FBE"/>
    <w:rsid w:val="00E548DA"/>
    <w:rsid w:val="00E54A1A"/>
    <w:rsid w:val="00E54E9C"/>
    <w:rsid w:val="00E5502A"/>
    <w:rsid w:val="00E55889"/>
    <w:rsid w:val="00E55A7F"/>
    <w:rsid w:val="00E55C2E"/>
    <w:rsid w:val="00E55F7F"/>
    <w:rsid w:val="00E5673B"/>
    <w:rsid w:val="00E56F93"/>
    <w:rsid w:val="00E5704A"/>
    <w:rsid w:val="00E57327"/>
    <w:rsid w:val="00E57676"/>
    <w:rsid w:val="00E5768B"/>
    <w:rsid w:val="00E60277"/>
    <w:rsid w:val="00E60474"/>
    <w:rsid w:val="00E604E3"/>
    <w:rsid w:val="00E61E3A"/>
    <w:rsid w:val="00E625D1"/>
    <w:rsid w:val="00E62734"/>
    <w:rsid w:val="00E62B1B"/>
    <w:rsid w:val="00E62EB1"/>
    <w:rsid w:val="00E62EDD"/>
    <w:rsid w:val="00E62F76"/>
    <w:rsid w:val="00E643F5"/>
    <w:rsid w:val="00E64E6C"/>
    <w:rsid w:val="00E65AB4"/>
    <w:rsid w:val="00E65AD2"/>
    <w:rsid w:val="00E65EFD"/>
    <w:rsid w:val="00E65F75"/>
    <w:rsid w:val="00E65F80"/>
    <w:rsid w:val="00E6604C"/>
    <w:rsid w:val="00E664A4"/>
    <w:rsid w:val="00E664EF"/>
    <w:rsid w:val="00E66C66"/>
    <w:rsid w:val="00E66FF7"/>
    <w:rsid w:val="00E67057"/>
    <w:rsid w:val="00E676D9"/>
    <w:rsid w:val="00E7049B"/>
    <w:rsid w:val="00E706D5"/>
    <w:rsid w:val="00E70709"/>
    <w:rsid w:val="00E70E5C"/>
    <w:rsid w:val="00E70F6E"/>
    <w:rsid w:val="00E71293"/>
    <w:rsid w:val="00E721E4"/>
    <w:rsid w:val="00E7260F"/>
    <w:rsid w:val="00E727D4"/>
    <w:rsid w:val="00E731CB"/>
    <w:rsid w:val="00E73785"/>
    <w:rsid w:val="00E745EA"/>
    <w:rsid w:val="00E74A46"/>
    <w:rsid w:val="00E74EA7"/>
    <w:rsid w:val="00E74FE5"/>
    <w:rsid w:val="00E7558D"/>
    <w:rsid w:val="00E75B0A"/>
    <w:rsid w:val="00E76BC2"/>
    <w:rsid w:val="00E801D4"/>
    <w:rsid w:val="00E80850"/>
    <w:rsid w:val="00E8088E"/>
    <w:rsid w:val="00E80A34"/>
    <w:rsid w:val="00E81091"/>
    <w:rsid w:val="00E817DC"/>
    <w:rsid w:val="00E81922"/>
    <w:rsid w:val="00E82A83"/>
    <w:rsid w:val="00E834E8"/>
    <w:rsid w:val="00E841ED"/>
    <w:rsid w:val="00E84296"/>
    <w:rsid w:val="00E84866"/>
    <w:rsid w:val="00E850B8"/>
    <w:rsid w:val="00E85179"/>
    <w:rsid w:val="00E8557A"/>
    <w:rsid w:val="00E8562E"/>
    <w:rsid w:val="00E8587D"/>
    <w:rsid w:val="00E85AB2"/>
    <w:rsid w:val="00E85B99"/>
    <w:rsid w:val="00E85EDA"/>
    <w:rsid w:val="00E860E7"/>
    <w:rsid w:val="00E86264"/>
    <w:rsid w:val="00E863E8"/>
    <w:rsid w:val="00E865FB"/>
    <w:rsid w:val="00E86919"/>
    <w:rsid w:val="00E87835"/>
    <w:rsid w:val="00E87A1E"/>
    <w:rsid w:val="00E87DB2"/>
    <w:rsid w:val="00E87F6F"/>
    <w:rsid w:val="00E90013"/>
    <w:rsid w:val="00E9002E"/>
    <w:rsid w:val="00E9012D"/>
    <w:rsid w:val="00E9032E"/>
    <w:rsid w:val="00E905DA"/>
    <w:rsid w:val="00E90AA6"/>
    <w:rsid w:val="00E90E24"/>
    <w:rsid w:val="00E90F19"/>
    <w:rsid w:val="00E911D8"/>
    <w:rsid w:val="00E91AA9"/>
    <w:rsid w:val="00E92210"/>
    <w:rsid w:val="00E92358"/>
    <w:rsid w:val="00E923F4"/>
    <w:rsid w:val="00E930A2"/>
    <w:rsid w:val="00E93AF5"/>
    <w:rsid w:val="00E94AA5"/>
    <w:rsid w:val="00E952A7"/>
    <w:rsid w:val="00E95612"/>
    <w:rsid w:val="00E957D4"/>
    <w:rsid w:val="00E964EF"/>
    <w:rsid w:val="00E968DE"/>
    <w:rsid w:val="00E968FF"/>
    <w:rsid w:val="00E96A27"/>
    <w:rsid w:val="00E96CF2"/>
    <w:rsid w:val="00EA00A5"/>
    <w:rsid w:val="00EA019A"/>
    <w:rsid w:val="00EA03A5"/>
    <w:rsid w:val="00EA0A50"/>
    <w:rsid w:val="00EA109F"/>
    <w:rsid w:val="00EA116B"/>
    <w:rsid w:val="00EA1390"/>
    <w:rsid w:val="00EA1B3E"/>
    <w:rsid w:val="00EA20B8"/>
    <w:rsid w:val="00EA21EB"/>
    <w:rsid w:val="00EA265E"/>
    <w:rsid w:val="00EA394E"/>
    <w:rsid w:val="00EA3996"/>
    <w:rsid w:val="00EA4177"/>
    <w:rsid w:val="00EA4A9D"/>
    <w:rsid w:val="00EA4E16"/>
    <w:rsid w:val="00EA50E9"/>
    <w:rsid w:val="00EA54E1"/>
    <w:rsid w:val="00EA5C9A"/>
    <w:rsid w:val="00EA6208"/>
    <w:rsid w:val="00EA6B25"/>
    <w:rsid w:val="00EA6B47"/>
    <w:rsid w:val="00EA6BBE"/>
    <w:rsid w:val="00EA722F"/>
    <w:rsid w:val="00EA733C"/>
    <w:rsid w:val="00EA7508"/>
    <w:rsid w:val="00EA77E8"/>
    <w:rsid w:val="00EA7D8F"/>
    <w:rsid w:val="00EB0551"/>
    <w:rsid w:val="00EB09F6"/>
    <w:rsid w:val="00EB0A90"/>
    <w:rsid w:val="00EB0F57"/>
    <w:rsid w:val="00EB13A2"/>
    <w:rsid w:val="00EB1874"/>
    <w:rsid w:val="00EB21A6"/>
    <w:rsid w:val="00EB247E"/>
    <w:rsid w:val="00EB2CA2"/>
    <w:rsid w:val="00EB3F14"/>
    <w:rsid w:val="00EB3FE2"/>
    <w:rsid w:val="00EB42E6"/>
    <w:rsid w:val="00EB4826"/>
    <w:rsid w:val="00EB4D8C"/>
    <w:rsid w:val="00EB4E70"/>
    <w:rsid w:val="00EB4F18"/>
    <w:rsid w:val="00EB54CD"/>
    <w:rsid w:val="00EB57D8"/>
    <w:rsid w:val="00EB58D8"/>
    <w:rsid w:val="00EB5D32"/>
    <w:rsid w:val="00EB5DE2"/>
    <w:rsid w:val="00EB5F8D"/>
    <w:rsid w:val="00EB6186"/>
    <w:rsid w:val="00EB62CC"/>
    <w:rsid w:val="00EB6318"/>
    <w:rsid w:val="00EB63A5"/>
    <w:rsid w:val="00EB68D5"/>
    <w:rsid w:val="00EB6AAC"/>
    <w:rsid w:val="00EB6CA4"/>
    <w:rsid w:val="00EB7165"/>
    <w:rsid w:val="00EB7461"/>
    <w:rsid w:val="00EB7E69"/>
    <w:rsid w:val="00EC0226"/>
    <w:rsid w:val="00EC0290"/>
    <w:rsid w:val="00EC0322"/>
    <w:rsid w:val="00EC0CCC"/>
    <w:rsid w:val="00EC0E45"/>
    <w:rsid w:val="00EC12ED"/>
    <w:rsid w:val="00EC1338"/>
    <w:rsid w:val="00EC1D83"/>
    <w:rsid w:val="00EC1E45"/>
    <w:rsid w:val="00EC22D7"/>
    <w:rsid w:val="00EC280A"/>
    <w:rsid w:val="00EC2D51"/>
    <w:rsid w:val="00EC3FF4"/>
    <w:rsid w:val="00EC3FF8"/>
    <w:rsid w:val="00EC4065"/>
    <w:rsid w:val="00EC4473"/>
    <w:rsid w:val="00EC4AA8"/>
    <w:rsid w:val="00EC4C57"/>
    <w:rsid w:val="00EC4EB9"/>
    <w:rsid w:val="00EC533E"/>
    <w:rsid w:val="00EC6A23"/>
    <w:rsid w:val="00EC6AA6"/>
    <w:rsid w:val="00EC7620"/>
    <w:rsid w:val="00ED011E"/>
    <w:rsid w:val="00ED030C"/>
    <w:rsid w:val="00ED064F"/>
    <w:rsid w:val="00ED0E17"/>
    <w:rsid w:val="00ED0FAD"/>
    <w:rsid w:val="00ED1E31"/>
    <w:rsid w:val="00ED1F0E"/>
    <w:rsid w:val="00ED2B79"/>
    <w:rsid w:val="00ED2BC8"/>
    <w:rsid w:val="00ED2DDF"/>
    <w:rsid w:val="00ED30B3"/>
    <w:rsid w:val="00ED3296"/>
    <w:rsid w:val="00ED3D96"/>
    <w:rsid w:val="00ED41E4"/>
    <w:rsid w:val="00ED4D1E"/>
    <w:rsid w:val="00ED500B"/>
    <w:rsid w:val="00ED5C22"/>
    <w:rsid w:val="00ED5DB1"/>
    <w:rsid w:val="00ED5DBE"/>
    <w:rsid w:val="00ED62DF"/>
    <w:rsid w:val="00ED64F1"/>
    <w:rsid w:val="00ED6796"/>
    <w:rsid w:val="00ED79C7"/>
    <w:rsid w:val="00ED7B23"/>
    <w:rsid w:val="00ED7BF7"/>
    <w:rsid w:val="00EE04EC"/>
    <w:rsid w:val="00EE0681"/>
    <w:rsid w:val="00EE0A33"/>
    <w:rsid w:val="00EE0A7F"/>
    <w:rsid w:val="00EE0FF2"/>
    <w:rsid w:val="00EE15D7"/>
    <w:rsid w:val="00EE1EF2"/>
    <w:rsid w:val="00EE2891"/>
    <w:rsid w:val="00EE2BAF"/>
    <w:rsid w:val="00EE2F4E"/>
    <w:rsid w:val="00EE30CA"/>
    <w:rsid w:val="00EE3443"/>
    <w:rsid w:val="00EE34B0"/>
    <w:rsid w:val="00EE3871"/>
    <w:rsid w:val="00EE3EC8"/>
    <w:rsid w:val="00EE3F16"/>
    <w:rsid w:val="00EE3FC4"/>
    <w:rsid w:val="00EE41E0"/>
    <w:rsid w:val="00EE444A"/>
    <w:rsid w:val="00EE44EA"/>
    <w:rsid w:val="00EE460A"/>
    <w:rsid w:val="00EE4A14"/>
    <w:rsid w:val="00EE4B7E"/>
    <w:rsid w:val="00EE5309"/>
    <w:rsid w:val="00EE5840"/>
    <w:rsid w:val="00EE5980"/>
    <w:rsid w:val="00EE5B8F"/>
    <w:rsid w:val="00EE612D"/>
    <w:rsid w:val="00EE6AE0"/>
    <w:rsid w:val="00EE6E78"/>
    <w:rsid w:val="00EE7485"/>
    <w:rsid w:val="00EE78F1"/>
    <w:rsid w:val="00EF0697"/>
    <w:rsid w:val="00EF15EA"/>
    <w:rsid w:val="00EF2277"/>
    <w:rsid w:val="00EF25D3"/>
    <w:rsid w:val="00EF2B67"/>
    <w:rsid w:val="00EF2FD9"/>
    <w:rsid w:val="00EF30D1"/>
    <w:rsid w:val="00EF33BD"/>
    <w:rsid w:val="00EF3DEC"/>
    <w:rsid w:val="00EF402D"/>
    <w:rsid w:val="00EF42CD"/>
    <w:rsid w:val="00EF42ED"/>
    <w:rsid w:val="00EF4587"/>
    <w:rsid w:val="00EF4B72"/>
    <w:rsid w:val="00EF4E09"/>
    <w:rsid w:val="00EF4E60"/>
    <w:rsid w:val="00EF5177"/>
    <w:rsid w:val="00EF5C6B"/>
    <w:rsid w:val="00EF60C9"/>
    <w:rsid w:val="00EF6760"/>
    <w:rsid w:val="00EF6B6D"/>
    <w:rsid w:val="00EF6CD6"/>
    <w:rsid w:val="00EF74AC"/>
    <w:rsid w:val="00EF7D28"/>
    <w:rsid w:val="00F00E4F"/>
    <w:rsid w:val="00F0119F"/>
    <w:rsid w:val="00F0176E"/>
    <w:rsid w:val="00F019F6"/>
    <w:rsid w:val="00F0217C"/>
    <w:rsid w:val="00F02238"/>
    <w:rsid w:val="00F02995"/>
    <w:rsid w:val="00F02D30"/>
    <w:rsid w:val="00F03725"/>
    <w:rsid w:val="00F041C7"/>
    <w:rsid w:val="00F04529"/>
    <w:rsid w:val="00F048AA"/>
    <w:rsid w:val="00F049A6"/>
    <w:rsid w:val="00F04F25"/>
    <w:rsid w:val="00F050DB"/>
    <w:rsid w:val="00F05497"/>
    <w:rsid w:val="00F062B4"/>
    <w:rsid w:val="00F063CD"/>
    <w:rsid w:val="00F06866"/>
    <w:rsid w:val="00F06CD8"/>
    <w:rsid w:val="00F06DCD"/>
    <w:rsid w:val="00F06E20"/>
    <w:rsid w:val="00F06EB7"/>
    <w:rsid w:val="00F07003"/>
    <w:rsid w:val="00F07648"/>
    <w:rsid w:val="00F07C20"/>
    <w:rsid w:val="00F10678"/>
    <w:rsid w:val="00F121C4"/>
    <w:rsid w:val="00F12857"/>
    <w:rsid w:val="00F1361E"/>
    <w:rsid w:val="00F1478F"/>
    <w:rsid w:val="00F14BA2"/>
    <w:rsid w:val="00F15752"/>
    <w:rsid w:val="00F160E2"/>
    <w:rsid w:val="00F1671D"/>
    <w:rsid w:val="00F16CF1"/>
    <w:rsid w:val="00F16E5B"/>
    <w:rsid w:val="00F16EC4"/>
    <w:rsid w:val="00F17232"/>
    <w:rsid w:val="00F2098F"/>
    <w:rsid w:val="00F20DDE"/>
    <w:rsid w:val="00F210F0"/>
    <w:rsid w:val="00F21988"/>
    <w:rsid w:val="00F21D30"/>
    <w:rsid w:val="00F21D39"/>
    <w:rsid w:val="00F21FE6"/>
    <w:rsid w:val="00F22573"/>
    <w:rsid w:val="00F22A26"/>
    <w:rsid w:val="00F232B4"/>
    <w:rsid w:val="00F23666"/>
    <w:rsid w:val="00F23E0B"/>
    <w:rsid w:val="00F23E60"/>
    <w:rsid w:val="00F24AC3"/>
    <w:rsid w:val="00F24F95"/>
    <w:rsid w:val="00F25257"/>
    <w:rsid w:val="00F25851"/>
    <w:rsid w:val="00F25BDB"/>
    <w:rsid w:val="00F2631B"/>
    <w:rsid w:val="00F26784"/>
    <w:rsid w:val="00F267C7"/>
    <w:rsid w:val="00F26BAE"/>
    <w:rsid w:val="00F26BE2"/>
    <w:rsid w:val="00F26D2D"/>
    <w:rsid w:val="00F26DEF"/>
    <w:rsid w:val="00F26F9C"/>
    <w:rsid w:val="00F27831"/>
    <w:rsid w:val="00F303E8"/>
    <w:rsid w:val="00F30CB7"/>
    <w:rsid w:val="00F30FD8"/>
    <w:rsid w:val="00F315E2"/>
    <w:rsid w:val="00F31AC9"/>
    <w:rsid w:val="00F31C89"/>
    <w:rsid w:val="00F320C8"/>
    <w:rsid w:val="00F323C8"/>
    <w:rsid w:val="00F326DB"/>
    <w:rsid w:val="00F32711"/>
    <w:rsid w:val="00F328AC"/>
    <w:rsid w:val="00F32CDE"/>
    <w:rsid w:val="00F3340F"/>
    <w:rsid w:val="00F33643"/>
    <w:rsid w:val="00F33C49"/>
    <w:rsid w:val="00F34895"/>
    <w:rsid w:val="00F34922"/>
    <w:rsid w:val="00F3498D"/>
    <w:rsid w:val="00F354ED"/>
    <w:rsid w:val="00F3550E"/>
    <w:rsid w:val="00F35A04"/>
    <w:rsid w:val="00F368DD"/>
    <w:rsid w:val="00F36B2F"/>
    <w:rsid w:val="00F376E9"/>
    <w:rsid w:val="00F37CBA"/>
    <w:rsid w:val="00F4040C"/>
    <w:rsid w:val="00F40A09"/>
    <w:rsid w:val="00F418FA"/>
    <w:rsid w:val="00F41C29"/>
    <w:rsid w:val="00F41CD1"/>
    <w:rsid w:val="00F41DEA"/>
    <w:rsid w:val="00F42065"/>
    <w:rsid w:val="00F420BE"/>
    <w:rsid w:val="00F42228"/>
    <w:rsid w:val="00F42301"/>
    <w:rsid w:val="00F42993"/>
    <w:rsid w:val="00F42FEE"/>
    <w:rsid w:val="00F432FF"/>
    <w:rsid w:val="00F43FA7"/>
    <w:rsid w:val="00F440C4"/>
    <w:rsid w:val="00F44494"/>
    <w:rsid w:val="00F4477F"/>
    <w:rsid w:val="00F4517F"/>
    <w:rsid w:val="00F45779"/>
    <w:rsid w:val="00F45CB9"/>
    <w:rsid w:val="00F45E47"/>
    <w:rsid w:val="00F46640"/>
    <w:rsid w:val="00F467B6"/>
    <w:rsid w:val="00F46B72"/>
    <w:rsid w:val="00F4759F"/>
    <w:rsid w:val="00F47747"/>
    <w:rsid w:val="00F477DC"/>
    <w:rsid w:val="00F477FF"/>
    <w:rsid w:val="00F47AF5"/>
    <w:rsid w:val="00F47F05"/>
    <w:rsid w:val="00F5044B"/>
    <w:rsid w:val="00F50473"/>
    <w:rsid w:val="00F508D0"/>
    <w:rsid w:val="00F50A26"/>
    <w:rsid w:val="00F50F6A"/>
    <w:rsid w:val="00F52866"/>
    <w:rsid w:val="00F529D2"/>
    <w:rsid w:val="00F542BA"/>
    <w:rsid w:val="00F54539"/>
    <w:rsid w:val="00F5482E"/>
    <w:rsid w:val="00F54C1D"/>
    <w:rsid w:val="00F54CFB"/>
    <w:rsid w:val="00F5558C"/>
    <w:rsid w:val="00F55AE3"/>
    <w:rsid w:val="00F55E37"/>
    <w:rsid w:val="00F56290"/>
    <w:rsid w:val="00F562BB"/>
    <w:rsid w:val="00F56495"/>
    <w:rsid w:val="00F564E4"/>
    <w:rsid w:val="00F56B44"/>
    <w:rsid w:val="00F57BC6"/>
    <w:rsid w:val="00F57BF5"/>
    <w:rsid w:val="00F57F08"/>
    <w:rsid w:val="00F606CC"/>
    <w:rsid w:val="00F6095E"/>
    <w:rsid w:val="00F60994"/>
    <w:rsid w:val="00F60A28"/>
    <w:rsid w:val="00F60CF1"/>
    <w:rsid w:val="00F610C6"/>
    <w:rsid w:val="00F616CF"/>
    <w:rsid w:val="00F61752"/>
    <w:rsid w:val="00F6175A"/>
    <w:rsid w:val="00F62420"/>
    <w:rsid w:val="00F62637"/>
    <w:rsid w:val="00F62AC2"/>
    <w:rsid w:val="00F633BC"/>
    <w:rsid w:val="00F634E1"/>
    <w:rsid w:val="00F636D2"/>
    <w:rsid w:val="00F639B6"/>
    <w:rsid w:val="00F63AD8"/>
    <w:rsid w:val="00F64008"/>
    <w:rsid w:val="00F64C4A"/>
    <w:rsid w:val="00F6502B"/>
    <w:rsid w:val="00F65050"/>
    <w:rsid w:val="00F65372"/>
    <w:rsid w:val="00F65F26"/>
    <w:rsid w:val="00F660A0"/>
    <w:rsid w:val="00F66317"/>
    <w:rsid w:val="00F667E7"/>
    <w:rsid w:val="00F66E6D"/>
    <w:rsid w:val="00F670FB"/>
    <w:rsid w:val="00F672E2"/>
    <w:rsid w:val="00F677B6"/>
    <w:rsid w:val="00F67AF3"/>
    <w:rsid w:val="00F707EB"/>
    <w:rsid w:val="00F72851"/>
    <w:rsid w:val="00F72870"/>
    <w:rsid w:val="00F72BD0"/>
    <w:rsid w:val="00F736E2"/>
    <w:rsid w:val="00F7387B"/>
    <w:rsid w:val="00F73988"/>
    <w:rsid w:val="00F73B20"/>
    <w:rsid w:val="00F74567"/>
    <w:rsid w:val="00F751ED"/>
    <w:rsid w:val="00F7538B"/>
    <w:rsid w:val="00F75B59"/>
    <w:rsid w:val="00F75CFC"/>
    <w:rsid w:val="00F75E1E"/>
    <w:rsid w:val="00F7604B"/>
    <w:rsid w:val="00F7664E"/>
    <w:rsid w:val="00F76A9B"/>
    <w:rsid w:val="00F77199"/>
    <w:rsid w:val="00F776E0"/>
    <w:rsid w:val="00F77EB9"/>
    <w:rsid w:val="00F81334"/>
    <w:rsid w:val="00F8149A"/>
    <w:rsid w:val="00F8150A"/>
    <w:rsid w:val="00F81FB2"/>
    <w:rsid w:val="00F82108"/>
    <w:rsid w:val="00F82E8E"/>
    <w:rsid w:val="00F82F05"/>
    <w:rsid w:val="00F836F2"/>
    <w:rsid w:val="00F83C11"/>
    <w:rsid w:val="00F83DA6"/>
    <w:rsid w:val="00F83DBA"/>
    <w:rsid w:val="00F8476B"/>
    <w:rsid w:val="00F84A67"/>
    <w:rsid w:val="00F85049"/>
    <w:rsid w:val="00F850D3"/>
    <w:rsid w:val="00F8519B"/>
    <w:rsid w:val="00F85E7A"/>
    <w:rsid w:val="00F86962"/>
    <w:rsid w:val="00F86E49"/>
    <w:rsid w:val="00F86EDE"/>
    <w:rsid w:val="00F87C79"/>
    <w:rsid w:val="00F90026"/>
    <w:rsid w:val="00F9036A"/>
    <w:rsid w:val="00F90F84"/>
    <w:rsid w:val="00F91377"/>
    <w:rsid w:val="00F91E52"/>
    <w:rsid w:val="00F91EDE"/>
    <w:rsid w:val="00F92143"/>
    <w:rsid w:val="00F92797"/>
    <w:rsid w:val="00F92A64"/>
    <w:rsid w:val="00F92C01"/>
    <w:rsid w:val="00F92CAD"/>
    <w:rsid w:val="00F931C2"/>
    <w:rsid w:val="00F9333C"/>
    <w:rsid w:val="00F93A96"/>
    <w:rsid w:val="00F94283"/>
    <w:rsid w:val="00F95066"/>
    <w:rsid w:val="00F954E4"/>
    <w:rsid w:val="00F95A4B"/>
    <w:rsid w:val="00F967C0"/>
    <w:rsid w:val="00F97482"/>
    <w:rsid w:val="00F979D4"/>
    <w:rsid w:val="00F97E8A"/>
    <w:rsid w:val="00F97EE3"/>
    <w:rsid w:val="00FA0275"/>
    <w:rsid w:val="00FA077B"/>
    <w:rsid w:val="00FA0EB1"/>
    <w:rsid w:val="00FA143F"/>
    <w:rsid w:val="00FA169E"/>
    <w:rsid w:val="00FA2A4F"/>
    <w:rsid w:val="00FA381E"/>
    <w:rsid w:val="00FA389B"/>
    <w:rsid w:val="00FA48C4"/>
    <w:rsid w:val="00FA567C"/>
    <w:rsid w:val="00FA575C"/>
    <w:rsid w:val="00FA5B8C"/>
    <w:rsid w:val="00FA5D8E"/>
    <w:rsid w:val="00FA6632"/>
    <w:rsid w:val="00FA6C11"/>
    <w:rsid w:val="00FA6DE5"/>
    <w:rsid w:val="00FA7021"/>
    <w:rsid w:val="00FA70C4"/>
    <w:rsid w:val="00FA75B3"/>
    <w:rsid w:val="00FA7D64"/>
    <w:rsid w:val="00FB049B"/>
    <w:rsid w:val="00FB0739"/>
    <w:rsid w:val="00FB0E63"/>
    <w:rsid w:val="00FB110E"/>
    <w:rsid w:val="00FB1574"/>
    <w:rsid w:val="00FB1967"/>
    <w:rsid w:val="00FB1BE5"/>
    <w:rsid w:val="00FB207A"/>
    <w:rsid w:val="00FB247B"/>
    <w:rsid w:val="00FB2C6E"/>
    <w:rsid w:val="00FB3387"/>
    <w:rsid w:val="00FB3DC6"/>
    <w:rsid w:val="00FB3E30"/>
    <w:rsid w:val="00FB3F2C"/>
    <w:rsid w:val="00FB4B7C"/>
    <w:rsid w:val="00FB56A7"/>
    <w:rsid w:val="00FB5780"/>
    <w:rsid w:val="00FB62D1"/>
    <w:rsid w:val="00FB63B8"/>
    <w:rsid w:val="00FB6EC4"/>
    <w:rsid w:val="00FB6F87"/>
    <w:rsid w:val="00FB744E"/>
    <w:rsid w:val="00FB750D"/>
    <w:rsid w:val="00FB776B"/>
    <w:rsid w:val="00FB7C30"/>
    <w:rsid w:val="00FB7C6C"/>
    <w:rsid w:val="00FB7D4A"/>
    <w:rsid w:val="00FC0A45"/>
    <w:rsid w:val="00FC0F2E"/>
    <w:rsid w:val="00FC1080"/>
    <w:rsid w:val="00FC1748"/>
    <w:rsid w:val="00FC1FDB"/>
    <w:rsid w:val="00FC2159"/>
    <w:rsid w:val="00FC2323"/>
    <w:rsid w:val="00FC2686"/>
    <w:rsid w:val="00FC2F8F"/>
    <w:rsid w:val="00FC30D3"/>
    <w:rsid w:val="00FC3158"/>
    <w:rsid w:val="00FC340B"/>
    <w:rsid w:val="00FC38E6"/>
    <w:rsid w:val="00FC3AF6"/>
    <w:rsid w:val="00FC43AC"/>
    <w:rsid w:val="00FC43B0"/>
    <w:rsid w:val="00FC5FAE"/>
    <w:rsid w:val="00FC667A"/>
    <w:rsid w:val="00FC6906"/>
    <w:rsid w:val="00FC6974"/>
    <w:rsid w:val="00FC6B15"/>
    <w:rsid w:val="00FC6BC2"/>
    <w:rsid w:val="00FC72EB"/>
    <w:rsid w:val="00FD00E7"/>
    <w:rsid w:val="00FD034D"/>
    <w:rsid w:val="00FD03A1"/>
    <w:rsid w:val="00FD05EB"/>
    <w:rsid w:val="00FD0975"/>
    <w:rsid w:val="00FD0E46"/>
    <w:rsid w:val="00FD1410"/>
    <w:rsid w:val="00FD1D31"/>
    <w:rsid w:val="00FD20DB"/>
    <w:rsid w:val="00FD26DE"/>
    <w:rsid w:val="00FD2960"/>
    <w:rsid w:val="00FD2D38"/>
    <w:rsid w:val="00FD3686"/>
    <w:rsid w:val="00FD36BE"/>
    <w:rsid w:val="00FD3DFE"/>
    <w:rsid w:val="00FD44F6"/>
    <w:rsid w:val="00FD4899"/>
    <w:rsid w:val="00FD4FEA"/>
    <w:rsid w:val="00FD59CB"/>
    <w:rsid w:val="00FD5FD3"/>
    <w:rsid w:val="00FD66A3"/>
    <w:rsid w:val="00FD7103"/>
    <w:rsid w:val="00FD72F7"/>
    <w:rsid w:val="00FD74B5"/>
    <w:rsid w:val="00FD7788"/>
    <w:rsid w:val="00FD7BBB"/>
    <w:rsid w:val="00FE0132"/>
    <w:rsid w:val="00FE030A"/>
    <w:rsid w:val="00FE0367"/>
    <w:rsid w:val="00FE04EE"/>
    <w:rsid w:val="00FE0699"/>
    <w:rsid w:val="00FE0C76"/>
    <w:rsid w:val="00FE133A"/>
    <w:rsid w:val="00FE13ED"/>
    <w:rsid w:val="00FE17B6"/>
    <w:rsid w:val="00FE1A42"/>
    <w:rsid w:val="00FE2358"/>
    <w:rsid w:val="00FE25BF"/>
    <w:rsid w:val="00FE2A74"/>
    <w:rsid w:val="00FE2FC3"/>
    <w:rsid w:val="00FE3136"/>
    <w:rsid w:val="00FE34CF"/>
    <w:rsid w:val="00FE37E4"/>
    <w:rsid w:val="00FE3934"/>
    <w:rsid w:val="00FE3B43"/>
    <w:rsid w:val="00FE3CC9"/>
    <w:rsid w:val="00FE3D16"/>
    <w:rsid w:val="00FE4461"/>
    <w:rsid w:val="00FE46C8"/>
    <w:rsid w:val="00FE4B51"/>
    <w:rsid w:val="00FE501C"/>
    <w:rsid w:val="00FE52B6"/>
    <w:rsid w:val="00FE5667"/>
    <w:rsid w:val="00FE5B41"/>
    <w:rsid w:val="00FE5BD0"/>
    <w:rsid w:val="00FE5C6F"/>
    <w:rsid w:val="00FE5F95"/>
    <w:rsid w:val="00FE6212"/>
    <w:rsid w:val="00FE639A"/>
    <w:rsid w:val="00FE63ED"/>
    <w:rsid w:val="00FE6463"/>
    <w:rsid w:val="00FE6947"/>
    <w:rsid w:val="00FE6F29"/>
    <w:rsid w:val="00FE6FA7"/>
    <w:rsid w:val="00FE72EF"/>
    <w:rsid w:val="00FE787A"/>
    <w:rsid w:val="00FE7B41"/>
    <w:rsid w:val="00FF08E6"/>
    <w:rsid w:val="00FF0A14"/>
    <w:rsid w:val="00FF0BAD"/>
    <w:rsid w:val="00FF0E4A"/>
    <w:rsid w:val="00FF1A7F"/>
    <w:rsid w:val="00FF1D3A"/>
    <w:rsid w:val="00FF1F3D"/>
    <w:rsid w:val="00FF20E8"/>
    <w:rsid w:val="00FF22D6"/>
    <w:rsid w:val="00FF2349"/>
    <w:rsid w:val="00FF267A"/>
    <w:rsid w:val="00FF3218"/>
    <w:rsid w:val="00FF34C8"/>
    <w:rsid w:val="00FF385C"/>
    <w:rsid w:val="00FF38C1"/>
    <w:rsid w:val="00FF39C5"/>
    <w:rsid w:val="00FF39D1"/>
    <w:rsid w:val="00FF3A47"/>
    <w:rsid w:val="00FF3EEA"/>
    <w:rsid w:val="00FF3FF4"/>
    <w:rsid w:val="00FF49AA"/>
    <w:rsid w:val="00FF4D1B"/>
    <w:rsid w:val="00FF5146"/>
    <w:rsid w:val="00FF533B"/>
    <w:rsid w:val="00FF54DF"/>
    <w:rsid w:val="00FF559D"/>
    <w:rsid w:val="00FF5C06"/>
    <w:rsid w:val="00FF5DD4"/>
    <w:rsid w:val="00FF6907"/>
    <w:rsid w:val="00FF69B7"/>
    <w:rsid w:val="00FF6BF8"/>
    <w:rsid w:val="00FF7653"/>
    <w:rsid w:val="00FF790D"/>
    <w:rsid w:val="15FF09FE"/>
    <w:rsid w:val="294DF6CA"/>
    <w:rsid w:val="35FD6D0D"/>
    <w:rsid w:val="3817CA3A"/>
    <w:rsid w:val="53F7F773"/>
    <w:rsid w:val="5CB49DEC"/>
    <w:rsid w:val="654D85C4"/>
    <w:rsid w:val="685A2671"/>
    <w:rsid w:val="6B090DAE"/>
    <w:rsid w:val="722FA8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D6B18"/>
  <w15:docId w15:val="{2113CD80-FC91-4315-9274-9CB05973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 w:val="18"/>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4E68"/>
    <w:pPr>
      <w:spacing w:after="0" w:line="300" w:lineRule="atLeast"/>
      <w:ind w:left="567"/>
    </w:pPr>
    <w:rPr>
      <w:rFonts w:eastAsia="SimSun"/>
      <w:szCs w:val="18"/>
    </w:rPr>
  </w:style>
  <w:style w:type="paragraph" w:styleId="Kop1">
    <w:name w:val="heading 1"/>
    <w:aliases w:val="Heading - Chapter,(Section),MOVE-it 1,Heading 11,Hoofdstuk,Επικεφαλίδα 1 ΌΧΙ,Heading 1 - Main Heading of Document,F3 Heading 1 - Section,Numbered - 1,Section,Chapter Hdg,h1,CH TITLE 1,Chapter Heading,AChapter,Sub code header,Chapter,NEA1,1"/>
    <w:basedOn w:val="Lijstalinea"/>
    <w:next w:val="Standaard"/>
    <w:link w:val="Kop1Char"/>
    <w:uiPriority w:val="9"/>
    <w:qFormat/>
    <w:rsid w:val="0041283F"/>
    <w:pPr>
      <w:numPr>
        <w:numId w:val="20"/>
      </w:numPr>
      <w:spacing w:before="360" w:after="240"/>
      <w:outlineLvl w:val="0"/>
    </w:pPr>
    <w:rPr>
      <w:b/>
      <w:color w:val="005962"/>
      <w:sz w:val="40"/>
    </w:rPr>
  </w:style>
  <w:style w:type="paragraph" w:styleId="Kop2">
    <w:name w:val="heading 2"/>
    <w:aliases w:val="Heading 2 - Paragrapf,2,Paragraaf,NEA2,14,H2,Se,Section1,Section2,Section3,NEA21,subhead 1,h2,subhead 11,h21,subhead 12,h22,subhead 13,h23,subhead 14,h24,subhead 15,h25,subhead 111,h211,subhead 121,h221,subhead 131,h231,subhead 141,h241,h26"/>
    <w:basedOn w:val="Lijstalinea"/>
    <w:next w:val="Standaard"/>
    <w:link w:val="Kop2Char"/>
    <w:uiPriority w:val="9"/>
    <w:qFormat/>
    <w:rsid w:val="007B188C"/>
    <w:pPr>
      <w:numPr>
        <w:ilvl w:val="1"/>
        <w:numId w:val="20"/>
      </w:numPr>
      <w:spacing w:before="120" w:after="120"/>
      <w:outlineLvl w:val="1"/>
    </w:pPr>
    <w:rPr>
      <w:b/>
      <w:color w:val="005962"/>
      <w:sz w:val="24"/>
    </w:rPr>
  </w:style>
  <w:style w:type="paragraph" w:styleId="Kop3">
    <w:name w:val="heading 3"/>
    <w:aliases w:val="Heading 3 - Subparagraph,Headline 3,Heading 31,Heading 32,Heading 33,Heading 34,Heading 35,Heading 36,Heading 311,Heading 321,Heading 331,Heading 341,Heading 351,Heading 37,Heading 312,Heading 322,Heading 332,Heading 342,Heading 352"/>
    <w:basedOn w:val="Lijstalinea"/>
    <w:next w:val="Standaard"/>
    <w:link w:val="Kop3Char"/>
    <w:uiPriority w:val="1"/>
    <w:qFormat/>
    <w:rsid w:val="00FD72F7"/>
    <w:pPr>
      <w:numPr>
        <w:ilvl w:val="2"/>
        <w:numId w:val="20"/>
      </w:numPr>
      <w:outlineLvl w:val="2"/>
    </w:pPr>
    <w:rPr>
      <w:b/>
      <w:i/>
      <w:color w:val="F04E30"/>
    </w:rPr>
  </w:style>
  <w:style w:type="paragraph" w:styleId="Kop4">
    <w:name w:val="heading 4"/>
    <w:aliases w:val="Headline 4"/>
    <w:basedOn w:val="Standaard"/>
    <w:next w:val="Standaard"/>
    <w:link w:val="Kop4Char"/>
    <w:uiPriority w:val="1"/>
    <w:qFormat/>
    <w:rsid w:val="000E51A3"/>
    <w:pPr>
      <w:keepNext/>
      <w:keepLines/>
      <w:ind w:left="0" w:firstLine="567"/>
      <w:outlineLvl w:val="3"/>
    </w:pPr>
    <w:rPr>
      <w:rFonts w:eastAsiaTheme="majorEastAsia" w:cstheme="majorBidi"/>
      <w:b/>
      <w:bCs/>
      <w:iCs/>
      <w:color w:val="F04E30"/>
    </w:rPr>
  </w:style>
  <w:style w:type="paragraph" w:styleId="Kop5">
    <w:name w:val="heading 5"/>
    <w:basedOn w:val="Standaard"/>
    <w:next w:val="Standaard"/>
    <w:link w:val="Kop5Char"/>
    <w:uiPriority w:val="1"/>
    <w:unhideWhenUsed/>
    <w:qFormat/>
    <w:rsid w:val="001E1B2F"/>
    <w:pPr>
      <w:keepNext/>
      <w:keepLines/>
      <w:outlineLvl w:val="4"/>
    </w:pPr>
    <w:rPr>
      <w:rFonts w:eastAsiaTheme="majorEastAsia" w:cstheme="majorBidi"/>
      <w:b/>
      <w:color w:val="005962" w:themeColor="accent1"/>
    </w:rPr>
  </w:style>
  <w:style w:type="paragraph" w:styleId="Kop6">
    <w:name w:val="heading 6"/>
    <w:basedOn w:val="Standaard"/>
    <w:next w:val="Standaard"/>
    <w:link w:val="Kop6Char"/>
    <w:uiPriority w:val="9"/>
    <w:unhideWhenUsed/>
    <w:qFormat/>
    <w:rsid w:val="007835EF"/>
    <w:pPr>
      <w:keepNext/>
      <w:keepLines/>
      <w:spacing w:before="40"/>
      <w:outlineLvl w:val="5"/>
    </w:pPr>
    <w:rPr>
      <w:rFonts w:eastAsiaTheme="majorEastAsia" w:cstheme="majorBidi"/>
      <w:b/>
      <w:color w:val="002C30" w:themeColor="accent1" w:themeShade="7F"/>
    </w:rPr>
  </w:style>
  <w:style w:type="paragraph" w:styleId="Kop7">
    <w:name w:val="heading 7"/>
    <w:basedOn w:val="Standaard"/>
    <w:next w:val="Standaard"/>
    <w:link w:val="Kop7Char"/>
    <w:uiPriority w:val="9"/>
    <w:unhideWhenUsed/>
    <w:qFormat/>
    <w:rsid w:val="00AA1D30"/>
    <w:pPr>
      <w:keepNext/>
      <w:keepLines/>
      <w:spacing w:before="40"/>
      <w:outlineLvl w:val="6"/>
    </w:pPr>
    <w:rPr>
      <w:rFonts w:eastAsiaTheme="majorEastAsia" w:cstheme="majorBidi"/>
      <w:i/>
      <w:iCs/>
      <w:color w:val="002C30" w:themeColor="accent1" w:themeShade="7F"/>
    </w:rPr>
  </w:style>
  <w:style w:type="paragraph" w:styleId="Kop8">
    <w:name w:val="heading 8"/>
    <w:basedOn w:val="Standaard"/>
    <w:next w:val="Standaard"/>
    <w:link w:val="Kop8Char"/>
    <w:uiPriority w:val="9"/>
    <w:unhideWhenUsed/>
    <w:qFormat/>
    <w:rsid w:val="00AA1D3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D4E68"/>
    <w:pPr>
      <w:keepNext/>
      <w:keepLines/>
      <w:spacing w:before="40" w:line="240" w:lineRule="auto"/>
      <w:ind w:left="1584" w:hanging="1584"/>
      <w:jc w:val="both"/>
      <w:outlineLvl w:val="8"/>
    </w:pPr>
    <w:rPr>
      <w:rFonts w:asciiTheme="majorHAnsi" w:eastAsiaTheme="majorEastAsia" w:hAnsiTheme="majorHAnsi" w:cstheme="majorBidi"/>
      <w:i/>
      <w:iCs/>
      <w:color w:val="272727" w:themeColor="text1" w:themeTint="D8"/>
      <w:sz w:val="21"/>
      <w:szCs w:val="21"/>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900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D900DC"/>
  </w:style>
  <w:style w:type="paragraph" w:styleId="Voettekst">
    <w:name w:val="footer"/>
    <w:basedOn w:val="Standaard"/>
    <w:link w:val="VoettekstChar"/>
    <w:uiPriority w:val="99"/>
    <w:unhideWhenUsed/>
    <w:rsid w:val="00D900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D900DC"/>
  </w:style>
  <w:style w:type="paragraph" w:styleId="Ballontekst">
    <w:name w:val="Balloon Text"/>
    <w:basedOn w:val="Standaard"/>
    <w:link w:val="BallontekstChar"/>
    <w:uiPriority w:val="99"/>
    <w:semiHidden/>
    <w:unhideWhenUsed/>
    <w:rsid w:val="003D10C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10CE"/>
    <w:rPr>
      <w:rFonts w:ascii="Tahoma" w:hAnsi="Tahoma" w:cs="Tahoma"/>
      <w:sz w:val="16"/>
      <w:szCs w:val="16"/>
    </w:rPr>
  </w:style>
  <w:style w:type="paragraph" w:customStyle="1" w:styleId="NoteLevel1">
    <w:name w:val="Note Level 1"/>
    <w:basedOn w:val="Standaard"/>
    <w:semiHidden/>
    <w:rsid w:val="003D10CE"/>
    <w:pPr>
      <w:keepNext/>
      <w:tabs>
        <w:tab w:val="num" w:pos="0"/>
      </w:tabs>
      <w:spacing w:line="240" w:lineRule="auto"/>
      <w:contextualSpacing/>
      <w:outlineLvl w:val="0"/>
    </w:pPr>
    <w:rPr>
      <w:rFonts w:ascii="Verdana" w:eastAsia="Times New Roman" w:hAnsi="Verdana" w:cs="Times New Roman"/>
    </w:rPr>
  </w:style>
  <w:style w:type="paragraph" w:customStyle="1" w:styleId="NoteLevel2">
    <w:name w:val="Note Level 2"/>
    <w:basedOn w:val="Standaard"/>
    <w:semiHidden/>
    <w:rsid w:val="003D10CE"/>
    <w:pPr>
      <w:keepNext/>
      <w:tabs>
        <w:tab w:val="num" w:pos="720"/>
      </w:tabs>
      <w:spacing w:line="240" w:lineRule="auto"/>
      <w:ind w:left="1080" w:hanging="360"/>
      <w:contextualSpacing/>
      <w:outlineLvl w:val="1"/>
    </w:pPr>
    <w:rPr>
      <w:rFonts w:ascii="Verdana" w:eastAsia="Times New Roman" w:hAnsi="Verdana" w:cs="Times New Roman"/>
    </w:rPr>
  </w:style>
  <w:style w:type="paragraph" w:customStyle="1" w:styleId="NoteLevel3">
    <w:name w:val="Note Level 3"/>
    <w:basedOn w:val="Standaard"/>
    <w:semiHidden/>
    <w:rsid w:val="003D10CE"/>
    <w:pPr>
      <w:keepNext/>
      <w:tabs>
        <w:tab w:val="num" w:pos="1440"/>
      </w:tabs>
      <w:spacing w:line="240" w:lineRule="auto"/>
      <w:ind w:left="1800" w:hanging="360"/>
      <w:contextualSpacing/>
      <w:outlineLvl w:val="2"/>
    </w:pPr>
    <w:rPr>
      <w:rFonts w:ascii="Verdana" w:eastAsia="Times New Roman" w:hAnsi="Verdana" w:cs="Times New Roman"/>
    </w:rPr>
  </w:style>
  <w:style w:type="paragraph" w:customStyle="1" w:styleId="NoteLevel4">
    <w:name w:val="Note Level 4"/>
    <w:basedOn w:val="Standaard"/>
    <w:semiHidden/>
    <w:rsid w:val="003D10CE"/>
    <w:pPr>
      <w:keepNext/>
      <w:tabs>
        <w:tab w:val="num" w:pos="2160"/>
      </w:tabs>
      <w:spacing w:line="240" w:lineRule="auto"/>
      <w:ind w:left="2520" w:hanging="360"/>
      <w:contextualSpacing/>
      <w:outlineLvl w:val="3"/>
    </w:pPr>
    <w:rPr>
      <w:rFonts w:ascii="Verdana" w:eastAsia="Times New Roman" w:hAnsi="Verdana" w:cs="Times New Roman"/>
    </w:rPr>
  </w:style>
  <w:style w:type="paragraph" w:customStyle="1" w:styleId="NoteLevel5">
    <w:name w:val="Note Level 5"/>
    <w:basedOn w:val="Standaard"/>
    <w:semiHidden/>
    <w:rsid w:val="003D10CE"/>
    <w:pPr>
      <w:keepNext/>
      <w:tabs>
        <w:tab w:val="num" w:pos="2880"/>
      </w:tabs>
      <w:spacing w:line="240" w:lineRule="auto"/>
      <w:ind w:left="3240" w:hanging="360"/>
      <w:contextualSpacing/>
      <w:outlineLvl w:val="4"/>
    </w:pPr>
    <w:rPr>
      <w:rFonts w:ascii="Verdana" w:eastAsia="Times New Roman" w:hAnsi="Verdana" w:cs="Times New Roman"/>
    </w:rPr>
  </w:style>
  <w:style w:type="paragraph" w:customStyle="1" w:styleId="NoteLevel6">
    <w:name w:val="Note Level 6"/>
    <w:basedOn w:val="Standaard"/>
    <w:semiHidden/>
    <w:rsid w:val="003D10CE"/>
    <w:pPr>
      <w:keepNext/>
      <w:tabs>
        <w:tab w:val="num" w:pos="3600"/>
      </w:tabs>
      <w:spacing w:line="240" w:lineRule="auto"/>
      <w:ind w:left="3960" w:hanging="360"/>
      <w:contextualSpacing/>
      <w:outlineLvl w:val="5"/>
    </w:pPr>
    <w:rPr>
      <w:rFonts w:ascii="Verdana" w:eastAsia="Times New Roman" w:hAnsi="Verdana" w:cs="Times New Roman"/>
    </w:rPr>
  </w:style>
  <w:style w:type="paragraph" w:customStyle="1" w:styleId="NoteLevel7">
    <w:name w:val="Note Level 7"/>
    <w:basedOn w:val="Standaard"/>
    <w:semiHidden/>
    <w:rsid w:val="003D10CE"/>
    <w:pPr>
      <w:keepNext/>
      <w:tabs>
        <w:tab w:val="num" w:pos="4320"/>
      </w:tabs>
      <w:spacing w:line="240" w:lineRule="auto"/>
      <w:ind w:left="4680" w:hanging="360"/>
      <w:contextualSpacing/>
      <w:outlineLvl w:val="6"/>
    </w:pPr>
    <w:rPr>
      <w:rFonts w:ascii="Verdana" w:eastAsia="Times New Roman" w:hAnsi="Verdana" w:cs="Times New Roman"/>
    </w:rPr>
  </w:style>
  <w:style w:type="paragraph" w:customStyle="1" w:styleId="NoteLevel8">
    <w:name w:val="Note Level 8"/>
    <w:basedOn w:val="Standaard"/>
    <w:semiHidden/>
    <w:rsid w:val="003D10CE"/>
    <w:pPr>
      <w:keepNext/>
      <w:tabs>
        <w:tab w:val="num" w:pos="5040"/>
      </w:tabs>
      <w:spacing w:line="240" w:lineRule="auto"/>
      <w:ind w:left="5400" w:hanging="360"/>
      <w:contextualSpacing/>
      <w:outlineLvl w:val="7"/>
    </w:pPr>
    <w:rPr>
      <w:rFonts w:ascii="Verdana" w:eastAsia="Times New Roman" w:hAnsi="Verdana" w:cs="Times New Roman"/>
    </w:rPr>
  </w:style>
  <w:style w:type="paragraph" w:customStyle="1" w:styleId="NoteLevel9">
    <w:name w:val="Note Level 9"/>
    <w:basedOn w:val="Standaard"/>
    <w:semiHidden/>
    <w:rsid w:val="003D10CE"/>
    <w:pPr>
      <w:keepNext/>
      <w:tabs>
        <w:tab w:val="num" w:pos="5760"/>
      </w:tabs>
      <w:spacing w:line="240" w:lineRule="auto"/>
      <w:ind w:left="6120" w:hanging="360"/>
      <w:contextualSpacing/>
      <w:outlineLvl w:val="8"/>
    </w:pPr>
    <w:rPr>
      <w:rFonts w:ascii="Verdana" w:eastAsia="Times New Roman" w:hAnsi="Verdana" w:cs="Times New Roman"/>
    </w:rPr>
  </w:style>
  <w:style w:type="character" w:customStyle="1" w:styleId="Kop1Char">
    <w:name w:val="Kop 1 Char"/>
    <w:aliases w:val="Heading - Chapter Char,(Section) Char,MOVE-it 1 Char,Heading 11 Char,Hoofdstuk Char,Επικεφαλίδα 1 ΌΧΙ Char,Heading 1 - Main Heading of Document Char,F3 Heading 1 - Section Char,Numbered - 1 Char,Section Char,Chapter Hdg Char,h1 Char,NEA1 Char"/>
    <w:basedOn w:val="Standaardalinea-lettertype"/>
    <w:link w:val="Kop1"/>
    <w:uiPriority w:val="9"/>
    <w:rsid w:val="006E70C1"/>
    <w:rPr>
      <w:rFonts w:eastAsia="SimSun"/>
      <w:b/>
      <w:color w:val="005962"/>
      <w:sz w:val="40"/>
      <w:szCs w:val="18"/>
    </w:rPr>
  </w:style>
  <w:style w:type="character" w:customStyle="1" w:styleId="Kop2Char">
    <w:name w:val="Kop 2 Char"/>
    <w:aliases w:val="Heading 2 - Paragrapf Char,2 Char,Paragraaf Char,NEA2 Char,14 Char,H2 Char,Se Char,Section1 Char,Section2 Char,Section3 Char,NEA21 Char,subhead 1 Char,h2 Char,subhead 11 Char,h21 Char,subhead 12 Char,h22 Char,subhead 13 Char,h23 Char,h24 Char"/>
    <w:basedOn w:val="Standaardalinea-lettertype"/>
    <w:link w:val="Kop2"/>
    <w:uiPriority w:val="9"/>
    <w:rsid w:val="006E70C1"/>
    <w:rPr>
      <w:rFonts w:eastAsia="SimSun"/>
      <w:b/>
      <w:color w:val="005962"/>
      <w:sz w:val="24"/>
      <w:szCs w:val="18"/>
    </w:rPr>
  </w:style>
  <w:style w:type="paragraph" w:styleId="Titel">
    <w:name w:val="Title"/>
    <w:basedOn w:val="Standaard"/>
    <w:next w:val="Standaard"/>
    <w:link w:val="TitelChar"/>
    <w:uiPriority w:val="10"/>
    <w:qFormat/>
    <w:rsid w:val="008F78C8"/>
    <w:pPr>
      <w:pBdr>
        <w:bottom w:val="single" w:sz="8" w:space="4" w:color="005962" w:themeColor="accent1"/>
      </w:pBdr>
      <w:spacing w:after="300" w:line="240" w:lineRule="auto"/>
      <w:contextualSpacing/>
      <w:jc w:val="center"/>
    </w:pPr>
    <w:rPr>
      <w:rFonts w:eastAsiaTheme="majorEastAsia" w:cstheme="majorBidi"/>
      <w:spacing w:val="5"/>
      <w:kern w:val="28"/>
      <w:sz w:val="40"/>
      <w:szCs w:val="52"/>
    </w:rPr>
  </w:style>
  <w:style w:type="character" w:customStyle="1" w:styleId="TitelChar">
    <w:name w:val="Titel Char"/>
    <w:basedOn w:val="Standaardalinea-lettertype"/>
    <w:link w:val="Titel"/>
    <w:uiPriority w:val="10"/>
    <w:semiHidden/>
    <w:rsid w:val="00B85CB0"/>
    <w:rPr>
      <w:rFonts w:ascii="Trebuchet MS" w:eastAsiaTheme="majorEastAsia" w:hAnsi="Trebuchet MS" w:cstheme="majorBidi"/>
      <w:spacing w:val="5"/>
      <w:kern w:val="28"/>
      <w:sz w:val="40"/>
      <w:szCs w:val="52"/>
    </w:rPr>
  </w:style>
  <w:style w:type="paragraph" w:styleId="Geenafstand">
    <w:name w:val="No Spacing"/>
    <w:uiPriority w:val="1"/>
    <w:unhideWhenUsed/>
    <w:rsid w:val="00007DF2"/>
    <w:pPr>
      <w:spacing w:after="0" w:line="240" w:lineRule="auto"/>
    </w:pPr>
  </w:style>
  <w:style w:type="paragraph" w:styleId="Lijstalinea">
    <w:name w:val="List Paragraph"/>
    <w:aliases w:val="1st elvel bullet green,1st level - Bullet List Paragraph,Lettre d'introduction,Paragrafo elenco,List Paragraph1,Medium Grid 1 - Accent 21,FooterText,Paragraphe de liste1,Heading 2_sj,Numbered Para 1,Dot pt,No Spacing1,Bullet 1,lp1,Ha,L"/>
    <w:basedOn w:val="Standaard"/>
    <w:link w:val="LijstalineaChar"/>
    <w:uiPriority w:val="1"/>
    <w:qFormat/>
    <w:rsid w:val="00230CE0"/>
    <w:pPr>
      <w:numPr>
        <w:numId w:val="3"/>
      </w:numPr>
      <w:tabs>
        <w:tab w:val="left" w:pos="851"/>
      </w:tabs>
      <w:contextualSpacing/>
    </w:pPr>
  </w:style>
  <w:style w:type="numbering" w:customStyle="1" w:styleId="Style1">
    <w:name w:val="Style1"/>
    <w:uiPriority w:val="99"/>
    <w:rsid w:val="006526A8"/>
    <w:pPr>
      <w:numPr>
        <w:numId w:val="1"/>
      </w:numPr>
    </w:pPr>
  </w:style>
  <w:style w:type="numbering" w:customStyle="1" w:styleId="Style2">
    <w:name w:val="Style2"/>
    <w:uiPriority w:val="99"/>
    <w:rsid w:val="003055E8"/>
    <w:pPr>
      <w:numPr>
        <w:numId w:val="2"/>
      </w:numPr>
    </w:pPr>
  </w:style>
  <w:style w:type="character" w:customStyle="1" w:styleId="Kop3Char">
    <w:name w:val="Kop 3 Char"/>
    <w:aliases w:val="Heading 3 - Subparagraph Char,Headline 3 Char,Heading 31 Char,Heading 32 Char,Heading 33 Char,Heading 34 Char,Heading 35 Char,Heading 36 Char,Heading 311 Char,Heading 321 Char,Heading 331 Char,Heading 341 Char,Heading 351 Char,Heading 37 Char"/>
    <w:basedOn w:val="Standaardalinea-lettertype"/>
    <w:link w:val="Kop3"/>
    <w:uiPriority w:val="1"/>
    <w:rsid w:val="006E70C1"/>
    <w:rPr>
      <w:rFonts w:eastAsia="SimSun"/>
      <w:b/>
      <w:i/>
      <w:color w:val="F04E30"/>
      <w:szCs w:val="18"/>
    </w:rPr>
  </w:style>
  <w:style w:type="character" w:customStyle="1" w:styleId="Kop4Char">
    <w:name w:val="Kop 4 Char"/>
    <w:aliases w:val="Headline 4 Char"/>
    <w:basedOn w:val="Standaardalinea-lettertype"/>
    <w:link w:val="Kop4"/>
    <w:uiPriority w:val="1"/>
    <w:rsid w:val="006E70C1"/>
    <w:rPr>
      <w:rFonts w:ascii="Trebuchet MS" w:eastAsiaTheme="majorEastAsia" w:hAnsi="Trebuchet MS" w:cstheme="majorBidi"/>
      <w:b/>
      <w:bCs/>
      <w:iCs/>
      <w:color w:val="F04E30"/>
      <w:sz w:val="18"/>
    </w:rPr>
  </w:style>
  <w:style w:type="character" w:customStyle="1" w:styleId="Kop5Char">
    <w:name w:val="Kop 5 Char"/>
    <w:basedOn w:val="Standaardalinea-lettertype"/>
    <w:link w:val="Kop5"/>
    <w:uiPriority w:val="1"/>
    <w:rsid w:val="006E70C1"/>
    <w:rPr>
      <w:rFonts w:ascii="Trebuchet MS" w:eastAsiaTheme="majorEastAsia" w:hAnsi="Trebuchet MS" w:cstheme="majorBidi"/>
      <w:b/>
      <w:color w:val="005962" w:themeColor="accent1"/>
      <w:sz w:val="18"/>
    </w:rPr>
  </w:style>
  <w:style w:type="paragraph" w:customStyle="1" w:styleId="broodtekst">
    <w:name w:val="broodtekst"/>
    <w:basedOn w:val="Standaard"/>
    <w:link w:val="broodtekstChar"/>
    <w:uiPriority w:val="99"/>
    <w:rsid w:val="00BC3C79"/>
    <w:pPr>
      <w:keepNext/>
      <w:spacing w:line="240" w:lineRule="auto"/>
      <w:ind w:left="360" w:hanging="360"/>
      <w:contextualSpacing/>
      <w:outlineLvl w:val="0"/>
    </w:pPr>
    <w:rPr>
      <w:rFonts w:eastAsia="Times New Roman" w:cs="Times New Roman"/>
    </w:rPr>
  </w:style>
  <w:style w:type="character" w:customStyle="1" w:styleId="broodtekstChar">
    <w:name w:val="broodtekst Char"/>
    <w:link w:val="broodtekst"/>
    <w:uiPriority w:val="99"/>
    <w:rsid w:val="00BC3C79"/>
    <w:rPr>
      <w:rFonts w:eastAsia="Times New Roman" w:cs="Times New Roman"/>
      <w:szCs w:val="18"/>
    </w:rPr>
  </w:style>
  <w:style w:type="character" w:styleId="Titelvanboek">
    <w:name w:val="Book Title"/>
    <w:basedOn w:val="Standaardalinea-lettertype"/>
    <w:uiPriority w:val="33"/>
    <w:rsid w:val="0041283F"/>
    <w:rPr>
      <w:rFonts w:ascii="Trebuchet MS" w:hAnsi="Trebuchet MS"/>
      <w:b/>
      <w:bCs/>
      <w:smallCaps/>
      <w:spacing w:val="5"/>
      <w:sz w:val="16"/>
      <w:szCs w:val="16"/>
    </w:rPr>
  </w:style>
  <w:style w:type="table" w:customStyle="1" w:styleId="table-style-blauw-040-none">
    <w:name w:val="table-style-blauw-040-none"/>
    <w:basedOn w:val="Standaardtabel"/>
    <w:uiPriority w:val="99"/>
    <w:rsid w:val="00D30ED1"/>
    <w:pPr>
      <w:spacing w:after="0" w:line="280" w:lineRule="atLeast"/>
    </w:pPr>
    <w:rPr>
      <w:rFonts w:ascii="Arial" w:eastAsia="Times New Roman" w:hAnsi="Arial" w:cs="Times New Roman"/>
      <w:color w:val="000000"/>
      <w:sz w:val="16"/>
      <w:szCs w:val="18"/>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styleId="Kopvaninhoudsopgave">
    <w:name w:val="TOC Heading"/>
    <w:basedOn w:val="Kop1"/>
    <w:next w:val="Standaard"/>
    <w:uiPriority w:val="39"/>
    <w:unhideWhenUsed/>
    <w:qFormat/>
    <w:rsid w:val="000E1F1D"/>
    <w:pPr>
      <w:keepNext/>
      <w:keepLines/>
      <w:numPr>
        <w:numId w:val="0"/>
      </w:numPr>
      <w:spacing w:before="480" w:after="0" w:line="276" w:lineRule="auto"/>
      <w:outlineLvl w:val="9"/>
    </w:pPr>
    <w:rPr>
      <w:rFonts w:asciiTheme="majorHAnsi" w:eastAsiaTheme="majorEastAsia" w:hAnsiTheme="majorHAnsi" w:cstheme="majorBidi"/>
      <w:bCs/>
      <w:color w:val="004249" w:themeColor="accent1" w:themeShade="BF"/>
      <w:sz w:val="28"/>
      <w:szCs w:val="28"/>
      <w:lang w:val="en-US" w:eastAsia="ja-JP"/>
    </w:rPr>
  </w:style>
  <w:style w:type="paragraph" w:styleId="Inhopg1">
    <w:name w:val="toc 1"/>
    <w:basedOn w:val="Standaard"/>
    <w:next w:val="Standaard"/>
    <w:autoRedefine/>
    <w:uiPriority w:val="39"/>
    <w:unhideWhenUsed/>
    <w:rsid w:val="00AA6DC3"/>
    <w:pPr>
      <w:tabs>
        <w:tab w:val="left" w:pos="360"/>
        <w:tab w:val="right" w:leader="dot" w:pos="9016"/>
      </w:tabs>
      <w:spacing w:before="120"/>
      <w:ind w:left="0"/>
    </w:pPr>
    <w:rPr>
      <w:b/>
      <w:bCs/>
      <w:color w:val="005962"/>
      <w:sz w:val="22"/>
      <w:szCs w:val="24"/>
    </w:rPr>
  </w:style>
  <w:style w:type="paragraph" w:styleId="Inhopg2">
    <w:name w:val="toc 2"/>
    <w:basedOn w:val="Standaard"/>
    <w:next w:val="Standaard"/>
    <w:autoRedefine/>
    <w:uiPriority w:val="39"/>
    <w:unhideWhenUsed/>
    <w:rsid w:val="00AA6DC3"/>
    <w:pPr>
      <w:tabs>
        <w:tab w:val="left" w:pos="1260"/>
        <w:tab w:val="right" w:leader="dot" w:pos="9016"/>
      </w:tabs>
      <w:spacing w:before="120"/>
      <w:ind w:left="0" w:firstLine="567"/>
    </w:pPr>
    <w:rPr>
      <w:rFonts w:cstheme="minorHAnsi"/>
      <w:b/>
      <w:bCs/>
      <w:color w:val="005962"/>
      <w:sz w:val="20"/>
      <w:szCs w:val="20"/>
    </w:rPr>
  </w:style>
  <w:style w:type="paragraph" w:styleId="Inhopg3">
    <w:name w:val="toc 3"/>
    <w:basedOn w:val="Standaard"/>
    <w:next w:val="Standaard"/>
    <w:autoRedefine/>
    <w:uiPriority w:val="39"/>
    <w:unhideWhenUsed/>
    <w:rsid w:val="005F6407"/>
    <w:pPr>
      <w:ind w:left="284" w:firstLine="567"/>
    </w:pPr>
    <w:rPr>
      <w:rFonts w:cstheme="minorHAnsi"/>
      <w:color w:val="005962"/>
      <w:szCs w:val="20"/>
    </w:rPr>
  </w:style>
  <w:style w:type="character" w:styleId="Hyperlink">
    <w:name w:val="Hyperlink"/>
    <w:aliases w:val=" Znak Znak Znak,Znak Znak Znak"/>
    <w:basedOn w:val="Standaardalinea-lettertype"/>
    <w:uiPriority w:val="99"/>
    <w:unhideWhenUsed/>
    <w:qFormat/>
    <w:rsid w:val="000E1F1D"/>
    <w:rPr>
      <w:color w:val="00604F" w:themeColor="hyperlink"/>
      <w:u w:val="single"/>
    </w:rPr>
  </w:style>
  <w:style w:type="paragraph" w:styleId="Inhopg4">
    <w:name w:val="toc 4"/>
    <w:basedOn w:val="Standaard"/>
    <w:next w:val="Standaard"/>
    <w:autoRedefine/>
    <w:uiPriority w:val="39"/>
    <w:unhideWhenUsed/>
    <w:rsid w:val="000A3FCD"/>
    <w:pPr>
      <w:ind w:left="360"/>
    </w:pPr>
    <w:rPr>
      <w:rFonts w:asciiTheme="minorHAnsi" w:hAnsiTheme="minorHAnsi" w:cstheme="minorHAnsi"/>
      <w:sz w:val="20"/>
      <w:szCs w:val="20"/>
    </w:rPr>
  </w:style>
  <w:style w:type="paragraph" w:styleId="Inhopg5">
    <w:name w:val="toc 5"/>
    <w:basedOn w:val="Standaard"/>
    <w:next w:val="Standaard"/>
    <w:autoRedefine/>
    <w:uiPriority w:val="39"/>
    <w:unhideWhenUsed/>
    <w:rsid w:val="000A3FCD"/>
    <w:pPr>
      <w:ind w:left="540"/>
    </w:pPr>
    <w:rPr>
      <w:rFonts w:asciiTheme="minorHAnsi" w:hAnsiTheme="minorHAnsi" w:cstheme="minorHAnsi"/>
      <w:sz w:val="20"/>
      <w:szCs w:val="20"/>
    </w:rPr>
  </w:style>
  <w:style w:type="paragraph" w:styleId="Inhopg6">
    <w:name w:val="toc 6"/>
    <w:basedOn w:val="Standaard"/>
    <w:next w:val="Standaard"/>
    <w:autoRedefine/>
    <w:uiPriority w:val="39"/>
    <w:unhideWhenUsed/>
    <w:rsid w:val="000A3FCD"/>
    <w:pPr>
      <w:ind w:left="720"/>
    </w:pPr>
    <w:rPr>
      <w:rFonts w:asciiTheme="minorHAnsi" w:hAnsiTheme="minorHAnsi" w:cstheme="minorHAnsi"/>
      <w:sz w:val="20"/>
      <w:szCs w:val="20"/>
    </w:rPr>
  </w:style>
  <w:style w:type="paragraph" w:styleId="Inhopg7">
    <w:name w:val="toc 7"/>
    <w:basedOn w:val="Standaard"/>
    <w:next w:val="Standaard"/>
    <w:autoRedefine/>
    <w:uiPriority w:val="39"/>
    <w:unhideWhenUsed/>
    <w:rsid w:val="000A3FCD"/>
    <w:pPr>
      <w:ind w:left="900"/>
    </w:pPr>
    <w:rPr>
      <w:rFonts w:asciiTheme="minorHAnsi" w:hAnsiTheme="minorHAnsi" w:cstheme="minorHAnsi"/>
      <w:sz w:val="20"/>
      <w:szCs w:val="20"/>
    </w:rPr>
  </w:style>
  <w:style w:type="paragraph" w:styleId="Inhopg8">
    <w:name w:val="toc 8"/>
    <w:basedOn w:val="Standaard"/>
    <w:next w:val="Standaard"/>
    <w:autoRedefine/>
    <w:uiPriority w:val="39"/>
    <w:unhideWhenUsed/>
    <w:rsid w:val="000A3FCD"/>
    <w:pPr>
      <w:ind w:left="1080"/>
    </w:pPr>
    <w:rPr>
      <w:rFonts w:asciiTheme="minorHAnsi" w:hAnsiTheme="minorHAnsi" w:cstheme="minorHAnsi"/>
      <w:sz w:val="20"/>
      <w:szCs w:val="20"/>
    </w:rPr>
  </w:style>
  <w:style w:type="paragraph" w:styleId="Inhopg9">
    <w:name w:val="toc 9"/>
    <w:basedOn w:val="Standaard"/>
    <w:next w:val="Standaard"/>
    <w:autoRedefine/>
    <w:uiPriority w:val="39"/>
    <w:unhideWhenUsed/>
    <w:rsid w:val="000A3FCD"/>
    <w:pPr>
      <w:ind w:left="1260"/>
    </w:pPr>
    <w:rPr>
      <w:rFonts w:asciiTheme="minorHAnsi" w:hAnsiTheme="minorHAnsi" w:cstheme="minorHAnsi"/>
      <w:sz w:val="20"/>
      <w:szCs w:val="20"/>
    </w:rPr>
  </w:style>
  <w:style w:type="table" w:styleId="Tabelraster">
    <w:name w:val="Table Grid"/>
    <w:aliases w:val="Test,TabelEcorys,Table rid,Header Row,Smart Text Table"/>
    <w:basedOn w:val="Standaardtabel"/>
    <w:uiPriority w:val="39"/>
    <w:rsid w:val="00216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 1"/>
    <w:basedOn w:val="Standaardtabel"/>
    <w:uiPriority w:val="99"/>
    <w:rsid w:val="003B272F"/>
    <w:pPr>
      <w:spacing w:after="0" w:line="240" w:lineRule="auto"/>
      <w:jc w:val="center"/>
    </w:pPr>
    <w:rPr>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Yu Gothic UI Light" w:hAnsi="Yu Gothic UI Light"/>
        <w:b/>
        <w:color w:val="FFFFFF" w:themeColor="background1"/>
        <w:sz w:val="16"/>
      </w:rPr>
      <w:tblPr/>
      <w:tcPr>
        <w:shd w:val="clear" w:color="auto" w:fill="005962"/>
      </w:tcPr>
    </w:tblStylePr>
    <w:tblStylePr w:type="firstCol">
      <w:pPr>
        <w:wordWrap/>
        <w:jc w:val="left"/>
        <w:outlineLvl w:val="9"/>
      </w:pPr>
      <w:tblPr/>
      <w:tcPr>
        <w:vAlign w:val="top"/>
      </w:tcPr>
    </w:tblStylePr>
    <w:tblStylePr w:type="nwCell">
      <w:pPr>
        <w:jc w:val="left"/>
      </w:pPr>
      <w:tblPr/>
      <w:tcPr>
        <w:vAlign w:val="top"/>
      </w:tcPr>
    </w:tblStylePr>
  </w:style>
  <w:style w:type="paragraph" w:styleId="Voetnoottekst">
    <w:name w:val="footnote text"/>
    <w:aliases w:val="Fußnotentextf,Fußnotentextr,stile 1,Footnote,Footnote1,Footnote2,Footnote3,Footnote4,Footnote5,Footnote6,Footnote7,Footnote8,Footnote9,Footnote10,Footnote11,Footnote21,Footnote31,Footnote41,Footnote51,Footnote61,Footnote71,Fußnote,Geneva 9"/>
    <w:basedOn w:val="Standaard"/>
    <w:link w:val="VoetnoottekstChar"/>
    <w:unhideWhenUsed/>
    <w:qFormat/>
    <w:rsid w:val="002A03EA"/>
    <w:pPr>
      <w:spacing w:line="240" w:lineRule="auto"/>
    </w:pPr>
    <w:rPr>
      <w:sz w:val="20"/>
      <w:szCs w:val="20"/>
    </w:rPr>
  </w:style>
  <w:style w:type="character" w:customStyle="1" w:styleId="VoetnoottekstChar">
    <w:name w:val="Voetnoottekst Char"/>
    <w:aliases w:val="Fußnotentextf Char,Fußnotentextr Char,stile 1 Char,Footnote Char,Footnote1 Char,Footnote2 Char,Footnote3 Char,Footnote4 Char,Footnote5 Char,Footnote6 Char,Footnote7 Char,Footnote8 Char,Footnote9 Char,Footnote10 Char,Footnote11 Char"/>
    <w:basedOn w:val="Standaardalinea-lettertype"/>
    <w:link w:val="Voetnoottekst"/>
    <w:rsid w:val="002A03EA"/>
    <w:rPr>
      <w:rFonts w:ascii="Trebuchet MS" w:hAnsi="Trebuchet MS"/>
      <w:sz w:val="20"/>
      <w:szCs w:val="20"/>
    </w:rPr>
  </w:style>
  <w:style w:type="character" w:styleId="Voetnootmarkering">
    <w:name w:val="footnote reference"/>
    <w:aliases w:val="SUPERS,Odwołanie przypisu,Times 10 Point,Exposant 3 Point,Footnote symbol,Footnote reference number,number,Footnote Reference Superscript,stylish,Знак сноски-FN,Ciae niinee-FN,Знак сноски 1,(Footnote Reference), Exposant 3 Point,FR,R"/>
    <w:basedOn w:val="Standaardalinea-lettertype"/>
    <w:unhideWhenUsed/>
    <w:qFormat/>
    <w:rsid w:val="002A03EA"/>
    <w:rPr>
      <w:vertAlign w:val="superscript"/>
    </w:rPr>
  </w:style>
  <w:style w:type="paragraph" w:customStyle="1" w:styleId="foonote">
    <w:name w:val="foonote"/>
    <w:basedOn w:val="Voetnoottekst"/>
    <w:link w:val="foonoteChar"/>
    <w:qFormat/>
    <w:rsid w:val="002D4BF3"/>
    <w:rPr>
      <w:sz w:val="16"/>
      <w:szCs w:val="16"/>
      <w:lang w:val="en-US"/>
    </w:rPr>
  </w:style>
  <w:style w:type="character" w:customStyle="1" w:styleId="foonoteChar">
    <w:name w:val="foonote Char"/>
    <w:basedOn w:val="VoetnoottekstChar"/>
    <w:link w:val="foonote"/>
    <w:rsid w:val="002D4BF3"/>
    <w:rPr>
      <w:rFonts w:ascii="Trebuchet MS" w:hAnsi="Trebuchet MS"/>
      <w:sz w:val="16"/>
      <w:szCs w:val="16"/>
      <w:lang w:val="en-US"/>
    </w:rPr>
  </w:style>
  <w:style w:type="paragraph" w:styleId="Revisie">
    <w:name w:val="Revision"/>
    <w:hidden/>
    <w:uiPriority w:val="99"/>
    <w:semiHidden/>
    <w:rsid w:val="00594342"/>
    <w:pPr>
      <w:spacing w:after="0" w:line="240" w:lineRule="auto"/>
    </w:pPr>
  </w:style>
  <w:style w:type="paragraph" w:customStyle="1" w:styleId="Default">
    <w:name w:val="Default"/>
    <w:rsid w:val="009D3B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jstalineaChar">
    <w:name w:val="Lijstalinea Char"/>
    <w:aliases w:val="1st elvel bullet green Char,1st level - Bullet List Paragraph Char,Lettre d'introduction Char,Paragrafo elenco Char,List Paragraph1 Char,Medium Grid 1 - Accent 21 Char,FooterText Char,Paragraphe de liste1 Char,Heading 2_sj Char,lp1 Char"/>
    <w:link w:val="Lijstalinea"/>
    <w:uiPriority w:val="1"/>
    <w:qFormat/>
    <w:rsid w:val="00230CE0"/>
    <w:rPr>
      <w:rFonts w:eastAsia="SimSun"/>
      <w:szCs w:val="18"/>
    </w:rPr>
  </w:style>
  <w:style w:type="character" w:styleId="Verwijzingopmerking">
    <w:name w:val="annotation reference"/>
    <w:uiPriority w:val="99"/>
    <w:semiHidden/>
    <w:unhideWhenUsed/>
    <w:rsid w:val="00D13A76"/>
    <w:rPr>
      <w:sz w:val="16"/>
      <w:szCs w:val="16"/>
    </w:rPr>
  </w:style>
  <w:style w:type="paragraph" w:styleId="Tekstopmerking">
    <w:name w:val="annotation text"/>
    <w:basedOn w:val="Standaard"/>
    <w:link w:val="TekstopmerkingChar"/>
    <w:uiPriority w:val="99"/>
    <w:unhideWhenUsed/>
    <w:rsid w:val="00D13A76"/>
    <w:pPr>
      <w:spacing w:line="240" w:lineRule="auto"/>
    </w:pPr>
    <w:rPr>
      <w:rFonts w:eastAsia="Calibri" w:cs="Times New Roman"/>
      <w:sz w:val="20"/>
      <w:szCs w:val="20"/>
    </w:rPr>
  </w:style>
  <w:style w:type="character" w:customStyle="1" w:styleId="TekstopmerkingChar">
    <w:name w:val="Tekst opmerking Char"/>
    <w:basedOn w:val="Standaardalinea-lettertype"/>
    <w:link w:val="Tekstopmerking"/>
    <w:uiPriority w:val="99"/>
    <w:rsid w:val="00D13A76"/>
    <w:rPr>
      <w:rFonts w:ascii="Trebuchet MS" w:eastAsia="Calibri" w:hAnsi="Trebuchet MS"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3808B9"/>
    <w:rPr>
      <w:rFonts w:eastAsiaTheme="minorHAnsi" w:cstheme="minorBidi"/>
      <w:b/>
      <w:bCs/>
    </w:rPr>
  </w:style>
  <w:style w:type="character" w:customStyle="1" w:styleId="OnderwerpvanopmerkingChar">
    <w:name w:val="Onderwerp van opmerking Char"/>
    <w:basedOn w:val="TekstopmerkingChar"/>
    <w:link w:val="Onderwerpvanopmerking"/>
    <w:uiPriority w:val="99"/>
    <w:semiHidden/>
    <w:rsid w:val="003808B9"/>
    <w:rPr>
      <w:rFonts w:ascii="Trebuchet MS" w:eastAsia="Calibri" w:hAnsi="Trebuchet MS" w:cs="Times New Roman"/>
      <w:b/>
      <w:bCs/>
      <w:sz w:val="20"/>
      <w:szCs w:val="20"/>
    </w:rPr>
  </w:style>
  <w:style w:type="character" w:styleId="Zwaar">
    <w:name w:val="Strong"/>
    <w:aliases w:val="Bold"/>
    <w:basedOn w:val="Standaardalinea-lettertype"/>
    <w:uiPriority w:val="22"/>
    <w:qFormat/>
    <w:rsid w:val="003808B9"/>
    <w:rPr>
      <w:b/>
      <w:bCs/>
    </w:rPr>
  </w:style>
  <w:style w:type="paragraph" w:customStyle="1" w:styleId="Tabeltekst">
    <w:name w:val="Tabeltekst"/>
    <w:basedOn w:val="Standaard"/>
    <w:rsid w:val="003808B9"/>
    <w:pPr>
      <w:spacing w:line="240" w:lineRule="auto"/>
      <w:ind w:left="0"/>
    </w:pPr>
    <w:rPr>
      <w:rFonts w:ascii="Arial" w:eastAsia="Times New Roman" w:hAnsi="Arial" w:cs="Times New Roman"/>
      <w:szCs w:val="20"/>
    </w:rPr>
  </w:style>
  <w:style w:type="paragraph" w:styleId="Bijschrift">
    <w:name w:val="caption"/>
    <w:aliases w:val="Caption-tables,Tasks,Beschriftung Char2,Beschriftung Char1 Char1,Beschriftung Char Char Char1,Beschriftung Char1 Char Char,Beschriftung Char Char Char Char,Beschriftung Char Char1 Char,Beschriftung Char Char2,Beschriftung Char1 Cha...,Eco"/>
    <w:basedOn w:val="Standaard"/>
    <w:next w:val="Standaard"/>
    <w:link w:val="BijschriftChar"/>
    <w:unhideWhenUsed/>
    <w:qFormat/>
    <w:rsid w:val="00D95BB0"/>
    <w:pPr>
      <w:spacing w:after="120" w:line="240" w:lineRule="auto"/>
    </w:pPr>
    <w:rPr>
      <w:b/>
      <w:bCs/>
      <w:color w:val="005962"/>
      <w:sz w:val="16"/>
    </w:rPr>
  </w:style>
  <w:style w:type="paragraph" w:customStyle="1" w:styleId="table-text">
    <w:name w:val="table-text"/>
    <w:basedOn w:val="broodtekst"/>
    <w:uiPriority w:val="99"/>
    <w:rsid w:val="00330BB1"/>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Standaard"/>
    <w:rsid w:val="00330BB1"/>
    <w:pPr>
      <w:keepNext/>
      <w:keepLines/>
      <w:spacing w:line="280" w:lineRule="atLeast"/>
      <w:ind w:left="0"/>
    </w:pPr>
    <w:rPr>
      <w:rFonts w:ascii="Arial" w:eastAsia="Times New Roman" w:hAnsi="Arial" w:cs="Times New Roman"/>
      <w:b/>
      <w:color w:val="FFFFFF"/>
      <w:sz w:val="16"/>
      <w:szCs w:val="24"/>
      <w:lang w:val="nl-NL" w:eastAsia="nl-NL"/>
    </w:rPr>
  </w:style>
  <w:style w:type="table" w:styleId="Lichtelijst-accent2">
    <w:name w:val="Light List Accent 2"/>
    <w:basedOn w:val="Standaardtabel"/>
    <w:uiPriority w:val="61"/>
    <w:semiHidden/>
    <w:unhideWhenUsed/>
    <w:rsid w:val="00247A28"/>
    <w:pPr>
      <w:spacing w:after="0" w:line="240" w:lineRule="auto"/>
    </w:pPr>
    <w:tblPr>
      <w:tblStyleRowBandSize w:val="1"/>
      <w:tblStyleColBandSize w:val="1"/>
      <w:tblBorders>
        <w:top w:val="single" w:sz="8" w:space="0" w:color="F04E30" w:themeColor="accent2"/>
        <w:left w:val="single" w:sz="8" w:space="0" w:color="F04E30" w:themeColor="accent2"/>
        <w:bottom w:val="single" w:sz="8" w:space="0" w:color="F04E30" w:themeColor="accent2"/>
        <w:right w:val="single" w:sz="8" w:space="0" w:color="F04E30" w:themeColor="accent2"/>
      </w:tblBorders>
    </w:tblPr>
    <w:tblStylePr w:type="firstRow">
      <w:pPr>
        <w:spacing w:before="0" w:after="0" w:line="240" w:lineRule="auto"/>
      </w:pPr>
      <w:rPr>
        <w:b/>
        <w:bCs/>
        <w:color w:val="FFFFFF" w:themeColor="background1"/>
      </w:rPr>
      <w:tblPr/>
      <w:tcPr>
        <w:shd w:val="clear" w:color="auto" w:fill="F04E30" w:themeFill="accent2"/>
      </w:tcPr>
    </w:tblStylePr>
    <w:tblStylePr w:type="lastRow">
      <w:pPr>
        <w:spacing w:before="0" w:after="0" w:line="240" w:lineRule="auto"/>
      </w:pPr>
      <w:rPr>
        <w:b/>
        <w:bCs/>
      </w:rPr>
      <w:tblPr/>
      <w:tcPr>
        <w:tcBorders>
          <w:top w:val="double" w:sz="6" w:space="0" w:color="F04E30" w:themeColor="accent2"/>
          <w:left w:val="single" w:sz="8" w:space="0" w:color="F04E30" w:themeColor="accent2"/>
          <w:bottom w:val="single" w:sz="8" w:space="0" w:color="F04E30" w:themeColor="accent2"/>
          <w:right w:val="single" w:sz="8" w:space="0" w:color="F04E30" w:themeColor="accent2"/>
        </w:tcBorders>
      </w:tcPr>
    </w:tblStylePr>
    <w:tblStylePr w:type="firstCol">
      <w:rPr>
        <w:b/>
        <w:bCs/>
      </w:rPr>
    </w:tblStylePr>
    <w:tblStylePr w:type="lastCol">
      <w:rPr>
        <w:b/>
        <w:bCs/>
      </w:rPr>
    </w:tblStylePr>
    <w:tblStylePr w:type="band1Vert">
      <w:tblPr/>
      <w:tcPr>
        <w:tcBorders>
          <w:top w:val="single" w:sz="8" w:space="0" w:color="F04E30" w:themeColor="accent2"/>
          <w:left w:val="single" w:sz="8" w:space="0" w:color="F04E30" w:themeColor="accent2"/>
          <w:bottom w:val="single" w:sz="8" w:space="0" w:color="F04E30" w:themeColor="accent2"/>
          <w:right w:val="single" w:sz="8" w:space="0" w:color="F04E30" w:themeColor="accent2"/>
        </w:tcBorders>
      </w:tcPr>
    </w:tblStylePr>
    <w:tblStylePr w:type="band1Horz">
      <w:tblPr/>
      <w:tcPr>
        <w:tcBorders>
          <w:top w:val="single" w:sz="8" w:space="0" w:color="F04E30" w:themeColor="accent2"/>
          <w:left w:val="single" w:sz="8" w:space="0" w:color="F04E30" w:themeColor="accent2"/>
          <w:bottom w:val="single" w:sz="8" w:space="0" w:color="F04E30" w:themeColor="accent2"/>
          <w:right w:val="single" w:sz="8" w:space="0" w:color="F04E30" w:themeColor="accent2"/>
        </w:tcBorders>
      </w:tcPr>
    </w:tblStylePr>
  </w:style>
  <w:style w:type="table" w:customStyle="1" w:styleId="LightList-Accent2111">
    <w:name w:val="Light List - Accent 2111"/>
    <w:basedOn w:val="Standaardtabel"/>
    <w:next w:val="Lichtelijst-accent2"/>
    <w:uiPriority w:val="61"/>
    <w:rsid w:val="00247A28"/>
    <w:pPr>
      <w:spacing w:after="0" w:line="240" w:lineRule="auto"/>
    </w:p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character" w:customStyle="1" w:styleId="BijschriftChar">
    <w:name w:val="Bijschrift Char"/>
    <w:aliases w:val="Caption-tables Char,Tasks Char,Beschriftung Char2 Char,Beschriftung Char1 Char1 Char,Beschriftung Char Char Char1 Char,Beschriftung Char1 Char Char Char,Beschriftung Char Char Char Char Char,Beschriftung Char Char1 Char Char,Eco Char"/>
    <w:link w:val="Bijschrift"/>
    <w:uiPriority w:val="35"/>
    <w:locked/>
    <w:rsid w:val="00D95BB0"/>
    <w:rPr>
      <w:rFonts w:ascii="Trebuchet MS" w:hAnsi="Trebuchet MS"/>
      <w:b/>
      <w:bCs/>
      <w:color w:val="005962"/>
      <w:sz w:val="16"/>
      <w:szCs w:val="18"/>
    </w:rPr>
  </w:style>
  <w:style w:type="character" w:customStyle="1" w:styleId="AAAAAtextChar">
    <w:name w:val="AAAAAtext Char"/>
    <w:basedOn w:val="Standaardalinea-lettertype"/>
    <w:link w:val="AAAAAtext"/>
    <w:uiPriority w:val="3"/>
    <w:locked/>
    <w:rsid w:val="00371E2C"/>
    <w:rPr>
      <w:rFonts w:ascii="Calibri" w:hAnsi="Calibri"/>
      <w:szCs w:val="24"/>
      <w:lang w:eastAsia="en-GB"/>
    </w:rPr>
  </w:style>
  <w:style w:type="paragraph" w:customStyle="1" w:styleId="AAAAAtext">
    <w:name w:val="AAAAAtext"/>
    <w:basedOn w:val="Standaard"/>
    <w:link w:val="AAAAAtextChar"/>
    <w:uiPriority w:val="3"/>
    <w:rsid w:val="00371E2C"/>
    <w:pPr>
      <w:spacing w:before="60" w:after="60" w:line="320" w:lineRule="atLeast"/>
      <w:ind w:left="0"/>
      <w:jc w:val="both"/>
    </w:pPr>
    <w:rPr>
      <w:rFonts w:ascii="Calibri" w:hAnsi="Calibri"/>
      <w:sz w:val="22"/>
      <w:szCs w:val="24"/>
      <w:lang w:eastAsia="en-GB"/>
    </w:rPr>
  </w:style>
  <w:style w:type="paragraph" w:styleId="Normaalweb">
    <w:name w:val="Normal (Web)"/>
    <w:basedOn w:val="Standaard"/>
    <w:uiPriority w:val="99"/>
    <w:unhideWhenUsed/>
    <w:rsid w:val="00336623"/>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customStyle="1" w:styleId="Pa20">
    <w:name w:val="Pa20"/>
    <w:basedOn w:val="Default"/>
    <w:next w:val="Default"/>
    <w:uiPriority w:val="99"/>
    <w:rsid w:val="00336623"/>
    <w:pPr>
      <w:spacing w:line="171" w:lineRule="atLeast"/>
    </w:pPr>
    <w:rPr>
      <w:rFonts w:ascii="EC Square Sans Pro" w:hAnsi="EC Square Sans Pro" w:cstheme="minorBidi"/>
      <w:color w:val="auto"/>
    </w:rPr>
  </w:style>
  <w:style w:type="character" w:styleId="Nadruk">
    <w:name w:val="Emphasis"/>
    <w:basedOn w:val="Standaardalinea-lettertype"/>
    <w:uiPriority w:val="20"/>
    <w:qFormat/>
    <w:rsid w:val="00724F32"/>
    <w:rPr>
      <w:i/>
      <w:iCs/>
    </w:rPr>
  </w:style>
  <w:style w:type="paragraph" w:styleId="Tekstzonderopmaak">
    <w:name w:val="Plain Text"/>
    <w:basedOn w:val="Standaard"/>
    <w:link w:val="TekstzonderopmaakChar"/>
    <w:uiPriority w:val="99"/>
    <w:semiHidden/>
    <w:unhideWhenUsed/>
    <w:rsid w:val="002A705E"/>
    <w:pPr>
      <w:spacing w:line="240" w:lineRule="auto"/>
      <w:ind w:left="0"/>
    </w:pPr>
    <w:rPr>
      <w:rFonts w:ascii="Calibri" w:eastAsia="Calibri" w:hAnsi="Calibri" w:cs="Times New Roman"/>
      <w:sz w:val="20"/>
      <w:szCs w:val="21"/>
    </w:rPr>
  </w:style>
  <w:style w:type="character" w:customStyle="1" w:styleId="TekstzonderopmaakChar">
    <w:name w:val="Tekst zonder opmaak Char"/>
    <w:basedOn w:val="Standaardalinea-lettertype"/>
    <w:link w:val="Tekstzonderopmaak"/>
    <w:uiPriority w:val="99"/>
    <w:semiHidden/>
    <w:rsid w:val="002A705E"/>
    <w:rPr>
      <w:rFonts w:ascii="Calibri" w:eastAsia="Calibri" w:hAnsi="Calibri" w:cs="Times New Roman"/>
      <w:sz w:val="20"/>
      <w:szCs w:val="21"/>
    </w:rPr>
  </w:style>
  <w:style w:type="character" w:customStyle="1" w:styleId="rStyle">
    <w:name w:val="rStyle"/>
    <w:rsid w:val="0019417C"/>
    <w:rPr>
      <w:b/>
      <w:bCs w:val="0"/>
    </w:rPr>
  </w:style>
  <w:style w:type="character" w:styleId="GevolgdeHyperlink">
    <w:name w:val="FollowedHyperlink"/>
    <w:basedOn w:val="Standaardalinea-lettertype"/>
    <w:uiPriority w:val="99"/>
    <w:semiHidden/>
    <w:unhideWhenUsed/>
    <w:rsid w:val="0064096B"/>
    <w:rPr>
      <w:color w:val="EF4E31" w:themeColor="followedHyperlink"/>
      <w:u w:val="single"/>
    </w:rPr>
  </w:style>
  <w:style w:type="table" w:customStyle="1" w:styleId="TableGrid2">
    <w:name w:val="Table Grid2"/>
    <w:basedOn w:val="Standaardtabel"/>
    <w:next w:val="Tabelraster"/>
    <w:uiPriority w:val="39"/>
    <w:rsid w:val="00032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Standaardalinea-lettertype"/>
    <w:uiPriority w:val="99"/>
    <w:unhideWhenUsed/>
    <w:rsid w:val="00915515"/>
    <w:rPr>
      <w:color w:val="0000FF"/>
      <w:u w:val="single"/>
    </w:rPr>
  </w:style>
  <w:style w:type="paragraph" w:customStyle="1" w:styleId="paragraph">
    <w:name w:val="paragraph"/>
    <w:basedOn w:val="Standaard"/>
    <w:rsid w:val="00765759"/>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normaltextrun">
    <w:name w:val="normaltextrun"/>
    <w:basedOn w:val="Standaardalinea-lettertype"/>
    <w:rsid w:val="00765759"/>
  </w:style>
  <w:style w:type="character" w:customStyle="1" w:styleId="scx12335173">
    <w:name w:val="scx12335173"/>
    <w:basedOn w:val="Standaardalinea-lettertype"/>
    <w:rsid w:val="00765759"/>
  </w:style>
  <w:style w:type="character" w:customStyle="1" w:styleId="apple-converted-space">
    <w:name w:val="apple-converted-space"/>
    <w:basedOn w:val="Standaardalinea-lettertype"/>
    <w:rsid w:val="00765759"/>
  </w:style>
  <w:style w:type="character" w:customStyle="1" w:styleId="eop">
    <w:name w:val="eop"/>
    <w:basedOn w:val="Standaardalinea-lettertype"/>
    <w:rsid w:val="00765759"/>
  </w:style>
  <w:style w:type="character" w:customStyle="1" w:styleId="spellingerror">
    <w:name w:val="spellingerror"/>
    <w:basedOn w:val="Standaardalinea-lettertype"/>
    <w:rsid w:val="00765759"/>
  </w:style>
  <w:style w:type="paragraph" w:customStyle="1" w:styleId="ECVSectionBullet">
    <w:name w:val="_ECV_SectionBullet"/>
    <w:basedOn w:val="Standaard"/>
    <w:rsid w:val="00E676D9"/>
    <w:pPr>
      <w:suppressLineNumbers/>
      <w:autoSpaceDE w:val="0"/>
      <w:spacing w:line="100" w:lineRule="atLeast"/>
      <w:ind w:left="0"/>
    </w:pPr>
    <w:rPr>
      <w:rFonts w:ascii="Arial" w:hAnsi="Arial" w:cs="Mangal"/>
      <w:color w:val="3F3A38"/>
      <w:spacing w:val="-6"/>
      <w:kern w:val="2"/>
      <w:szCs w:val="24"/>
      <w:lang w:eastAsia="zh-CN" w:bidi="hi-IN"/>
    </w:rPr>
  </w:style>
  <w:style w:type="paragraph" w:customStyle="1" w:styleId="1stlevelred">
    <w:name w:val="1st level red"/>
    <w:basedOn w:val="Lijstalinea"/>
    <w:link w:val="1stlevelredChar"/>
    <w:uiPriority w:val="3"/>
    <w:qFormat/>
    <w:rsid w:val="00D37D45"/>
    <w:pPr>
      <w:numPr>
        <w:numId w:val="4"/>
      </w:numPr>
    </w:pPr>
  </w:style>
  <w:style w:type="paragraph" w:customStyle="1" w:styleId="1stlevelroundbullet">
    <w:name w:val="1st level round bullet"/>
    <w:basedOn w:val="Lijstalinea"/>
    <w:link w:val="1stlevelroundbulletChar"/>
    <w:uiPriority w:val="3"/>
    <w:qFormat/>
    <w:rsid w:val="00025027"/>
    <w:pPr>
      <w:numPr>
        <w:numId w:val="5"/>
      </w:numPr>
      <w:tabs>
        <w:tab w:val="left" w:pos="1134"/>
      </w:tabs>
    </w:pPr>
  </w:style>
  <w:style w:type="character" w:customStyle="1" w:styleId="1stlevelredChar">
    <w:name w:val="1st level red Char"/>
    <w:basedOn w:val="LijstalineaChar"/>
    <w:link w:val="1stlevelred"/>
    <w:uiPriority w:val="3"/>
    <w:rsid w:val="006E70C1"/>
    <w:rPr>
      <w:rFonts w:eastAsia="SimSun"/>
      <w:szCs w:val="18"/>
    </w:rPr>
  </w:style>
  <w:style w:type="character" w:styleId="Intensievebenadrukking">
    <w:name w:val="Intense Emphasis"/>
    <w:basedOn w:val="Standaardalinea-lettertype"/>
    <w:uiPriority w:val="21"/>
    <w:rsid w:val="00B04013"/>
    <w:rPr>
      <w:i/>
      <w:iCs/>
      <w:color w:val="005962" w:themeColor="accent1"/>
    </w:rPr>
  </w:style>
  <w:style w:type="character" w:customStyle="1" w:styleId="1stlevelroundbulletChar">
    <w:name w:val="1st level round bullet Char"/>
    <w:basedOn w:val="1stlevelredChar"/>
    <w:link w:val="1stlevelroundbullet"/>
    <w:uiPriority w:val="3"/>
    <w:rsid w:val="006E70C1"/>
    <w:rPr>
      <w:rFonts w:eastAsia="SimSun"/>
      <w:szCs w:val="18"/>
    </w:rPr>
  </w:style>
  <w:style w:type="character" w:styleId="Subtielebenadrukking">
    <w:name w:val="Subtle Emphasis"/>
    <w:basedOn w:val="Standaardalinea-lettertype"/>
    <w:uiPriority w:val="19"/>
    <w:rsid w:val="00B04013"/>
    <w:rPr>
      <w:i/>
      <w:iCs/>
      <w:color w:val="404040" w:themeColor="text1" w:themeTint="BF"/>
    </w:rPr>
  </w:style>
  <w:style w:type="paragraph" w:customStyle="1" w:styleId="2ndlevelbullet">
    <w:name w:val="2nd level bullet"/>
    <w:basedOn w:val="Lijstalinea"/>
    <w:link w:val="2ndlevelbulletChar"/>
    <w:uiPriority w:val="3"/>
    <w:qFormat/>
    <w:rsid w:val="00080780"/>
    <w:pPr>
      <w:numPr>
        <w:numId w:val="6"/>
      </w:numPr>
    </w:pPr>
  </w:style>
  <w:style w:type="paragraph" w:customStyle="1" w:styleId="1stlevelbulletgreen">
    <w:name w:val="1st level bullet green"/>
    <w:basedOn w:val="Lijstalinea"/>
    <w:link w:val="1stlevelbulletgreenChar"/>
    <w:uiPriority w:val="3"/>
    <w:rsid w:val="00074E3C"/>
  </w:style>
  <w:style w:type="character" w:customStyle="1" w:styleId="2ndlevelbulletChar">
    <w:name w:val="2nd level bullet Char"/>
    <w:basedOn w:val="LijstalineaChar"/>
    <w:link w:val="2ndlevelbullet"/>
    <w:uiPriority w:val="3"/>
    <w:rsid w:val="006E70C1"/>
    <w:rPr>
      <w:rFonts w:eastAsia="SimSun"/>
      <w:szCs w:val="18"/>
    </w:rPr>
  </w:style>
  <w:style w:type="paragraph" w:customStyle="1" w:styleId="Source-notes">
    <w:name w:val="Source-notes"/>
    <w:basedOn w:val="Standaard"/>
    <w:link w:val="Source-notesChar"/>
    <w:qFormat/>
    <w:rsid w:val="00F52866"/>
    <w:pPr>
      <w:spacing w:line="240" w:lineRule="atLeast"/>
      <w:ind w:left="0" w:firstLine="567"/>
    </w:pPr>
    <w:rPr>
      <w:i/>
      <w:sz w:val="16"/>
      <w:szCs w:val="16"/>
      <w:lang w:val="fr-FR"/>
    </w:rPr>
  </w:style>
  <w:style w:type="character" w:customStyle="1" w:styleId="1stlevelbulletgreenChar">
    <w:name w:val="1st level bullet green Char"/>
    <w:basedOn w:val="LijstalineaChar"/>
    <w:link w:val="1stlevelbulletgreen"/>
    <w:uiPriority w:val="3"/>
    <w:rsid w:val="006E70C1"/>
    <w:rPr>
      <w:rFonts w:eastAsia="SimSun"/>
      <w:szCs w:val="18"/>
    </w:rPr>
  </w:style>
  <w:style w:type="paragraph" w:customStyle="1" w:styleId="CaptionTablenumbering">
    <w:name w:val="Caption Table numbering"/>
    <w:basedOn w:val="Bijschrift"/>
    <w:link w:val="CaptionTablenumberingChar"/>
    <w:uiPriority w:val="2"/>
    <w:qFormat/>
    <w:rsid w:val="0053111C"/>
  </w:style>
  <w:style w:type="character" w:customStyle="1" w:styleId="Source-notesChar">
    <w:name w:val="Source-notes Char"/>
    <w:basedOn w:val="Standaardalinea-lettertype"/>
    <w:link w:val="Source-notes"/>
    <w:rsid w:val="00F52866"/>
    <w:rPr>
      <w:rFonts w:ascii="Trebuchet MS" w:hAnsi="Trebuchet MS"/>
      <w:i/>
      <w:sz w:val="16"/>
      <w:szCs w:val="16"/>
      <w:lang w:val="fr-FR"/>
    </w:rPr>
  </w:style>
  <w:style w:type="paragraph" w:customStyle="1" w:styleId="CaptionFigurenumbering">
    <w:name w:val="Caption Figure numbering"/>
    <w:basedOn w:val="Bijschrift"/>
    <w:link w:val="CaptionFigurenumberingChar"/>
    <w:uiPriority w:val="2"/>
    <w:qFormat/>
    <w:rsid w:val="00B36B6B"/>
  </w:style>
  <w:style w:type="character" w:customStyle="1" w:styleId="CaptionTablenumberingChar">
    <w:name w:val="Caption Table numbering Char"/>
    <w:basedOn w:val="BijschriftChar"/>
    <w:link w:val="CaptionTablenumbering"/>
    <w:uiPriority w:val="2"/>
    <w:rsid w:val="006E70C1"/>
    <w:rPr>
      <w:rFonts w:ascii="Trebuchet MS" w:hAnsi="Trebuchet MS"/>
      <w:b/>
      <w:bCs/>
      <w:color w:val="005962"/>
      <w:sz w:val="16"/>
      <w:szCs w:val="18"/>
    </w:rPr>
  </w:style>
  <w:style w:type="paragraph" w:customStyle="1" w:styleId="CaptionBoxnumbering">
    <w:name w:val="Caption Box numbering"/>
    <w:basedOn w:val="Bijschrift"/>
    <w:link w:val="CaptionBoxnumberingChar"/>
    <w:uiPriority w:val="2"/>
    <w:qFormat/>
    <w:rsid w:val="00147B64"/>
  </w:style>
  <w:style w:type="character" w:customStyle="1" w:styleId="CaptionFigurenumberingChar">
    <w:name w:val="Caption Figure numbering Char"/>
    <w:basedOn w:val="Standaardalinea-lettertype"/>
    <w:link w:val="CaptionFigurenumbering"/>
    <w:uiPriority w:val="2"/>
    <w:rsid w:val="006E70C1"/>
    <w:rPr>
      <w:rFonts w:ascii="Trebuchet MS" w:hAnsi="Trebuchet MS"/>
      <w:b/>
      <w:bCs/>
      <w:color w:val="005962"/>
      <w:sz w:val="16"/>
      <w:szCs w:val="18"/>
    </w:rPr>
  </w:style>
  <w:style w:type="paragraph" w:customStyle="1" w:styleId="1stlevelgreen">
    <w:name w:val="1st level green"/>
    <w:basedOn w:val="1stlevelbulletgreen"/>
    <w:link w:val="1stlevelgreenChar"/>
    <w:uiPriority w:val="3"/>
    <w:qFormat/>
    <w:rsid w:val="00AE5078"/>
  </w:style>
  <w:style w:type="character" w:customStyle="1" w:styleId="CaptionBoxnumberingChar">
    <w:name w:val="Caption Box numbering Char"/>
    <w:basedOn w:val="Kop3Char"/>
    <w:link w:val="CaptionBoxnumbering"/>
    <w:uiPriority w:val="2"/>
    <w:rsid w:val="006E70C1"/>
    <w:rPr>
      <w:rFonts w:ascii="Trebuchet MS" w:eastAsia="SimSun" w:hAnsi="Trebuchet MS"/>
      <w:b/>
      <w:bCs/>
      <w:i w:val="0"/>
      <w:color w:val="005962"/>
      <w:sz w:val="16"/>
      <w:szCs w:val="18"/>
    </w:rPr>
  </w:style>
  <w:style w:type="character" w:customStyle="1" w:styleId="1stlevelgreenChar">
    <w:name w:val="1st level green Char"/>
    <w:basedOn w:val="1stlevelbulletgreenChar"/>
    <w:link w:val="1stlevelgreen"/>
    <w:uiPriority w:val="3"/>
    <w:rsid w:val="006E70C1"/>
    <w:rPr>
      <w:rFonts w:eastAsia="SimSun"/>
      <w:szCs w:val="18"/>
    </w:rPr>
  </w:style>
  <w:style w:type="paragraph" w:styleId="Lijstmetafbeeldingen">
    <w:name w:val="table of figures"/>
    <w:basedOn w:val="Standaard"/>
    <w:next w:val="Standaard"/>
    <w:uiPriority w:val="99"/>
    <w:unhideWhenUsed/>
    <w:rsid w:val="00395174"/>
    <w:pPr>
      <w:ind w:left="0"/>
    </w:pPr>
  </w:style>
  <w:style w:type="character" w:customStyle="1" w:styleId="Kop6Char">
    <w:name w:val="Kop 6 Char"/>
    <w:basedOn w:val="Standaardalinea-lettertype"/>
    <w:link w:val="Kop6"/>
    <w:uiPriority w:val="9"/>
    <w:rsid w:val="007835EF"/>
    <w:rPr>
      <w:rFonts w:ascii="Trebuchet MS" w:eastAsiaTheme="majorEastAsia" w:hAnsi="Trebuchet MS" w:cstheme="majorBidi"/>
      <w:b/>
      <w:color w:val="002C30" w:themeColor="accent1" w:themeShade="7F"/>
      <w:sz w:val="18"/>
    </w:rPr>
  </w:style>
  <w:style w:type="character" w:customStyle="1" w:styleId="Kop7Char">
    <w:name w:val="Kop 7 Char"/>
    <w:basedOn w:val="Standaardalinea-lettertype"/>
    <w:link w:val="Kop7"/>
    <w:uiPriority w:val="9"/>
    <w:rsid w:val="00AA1D30"/>
    <w:rPr>
      <w:rFonts w:ascii="Trebuchet MS" w:eastAsiaTheme="majorEastAsia" w:hAnsi="Trebuchet MS" w:cstheme="majorBidi"/>
      <w:i/>
      <w:iCs/>
      <w:color w:val="002C30" w:themeColor="accent1" w:themeShade="7F"/>
      <w:sz w:val="18"/>
    </w:rPr>
  </w:style>
  <w:style w:type="character" w:customStyle="1" w:styleId="Kop8Char">
    <w:name w:val="Kop 8 Char"/>
    <w:basedOn w:val="Standaardalinea-lettertype"/>
    <w:link w:val="Kop8"/>
    <w:uiPriority w:val="9"/>
    <w:rsid w:val="00AA1D3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D4E68"/>
    <w:rPr>
      <w:rFonts w:asciiTheme="majorHAnsi" w:eastAsiaTheme="majorEastAsia" w:hAnsiTheme="majorHAnsi" w:cstheme="majorBidi"/>
      <w:i/>
      <w:iCs/>
      <w:color w:val="272727" w:themeColor="text1" w:themeTint="D8"/>
      <w:sz w:val="21"/>
      <w:szCs w:val="21"/>
      <w:lang w:val="fr-BE"/>
    </w:rPr>
  </w:style>
  <w:style w:type="paragraph" w:customStyle="1" w:styleId="Addingupnumeral">
    <w:name w:val="Adding up (numeral)"/>
    <w:basedOn w:val="Standaard"/>
    <w:link w:val="AddingupnumeralChar"/>
    <w:autoRedefine/>
    <w:rsid w:val="001D4E68"/>
    <w:pPr>
      <w:ind w:left="1069" w:hanging="360"/>
      <w:contextualSpacing/>
    </w:pPr>
    <w:rPr>
      <w:rFonts w:eastAsia="Calibri" w:cs="Times New Roman"/>
    </w:rPr>
  </w:style>
  <w:style w:type="paragraph" w:customStyle="1" w:styleId="Orangetabletext">
    <w:name w:val="Orange table text"/>
    <w:basedOn w:val="Standaard"/>
    <w:link w:val="OrangetabletextChar"/>
    <w:rsid w:val="001D4E68"/>
    <w:pPr>
      <w:spacing w:line="260" w:lineRule="atLeast"/>
      <w:ind w:left="720" w:hanging="360"/>
    </w:pPr>
    <w:rPr>
      <w:b/>
      <w:bCs/>
      <w:color w:val="FFFFFF"/>
      <w:sz w:val="16"/>
      <w:szCs w:val="14"/>
      <w:lang w:eastAsia="nl-NL"/>
    </w:rPr>
  </w:style>
  <w:style w:type="table" w:customStyle="1" w:styleId="Box">
    <w:name w:val="Box"/>
    <w:basedOn w:val="Klassieketabel1"/>
    <w:uiPriority w:val="99"/>
    <w:rsid w:val="001D4E68"/>
    <w:rPr>
      <w:sz w:val="16"/>
      <w:szCs w:val="20"/>
      <w:lang w:val="en-US" w:eastAsia="ja-JP"/>
    </w:rPr>
    <w:tblPr>
      <w:tblInd w:w="567" w:type="dxa"/>
    </w:tblPr>
    <w:tcPr>
      <w:shd w:val="clear" w:color="auto" w:fill="auto"/>
    </w:tcPr>
    <w:tblStylePr w:type="firstRow">
      <w:rPr>
        <w:rFonts w:ascii="Yu Mincho" w:hAnsi="Yu Mincho"/>
        <w:i/>
        <w:iCs/>
        <w:sz w:val="16"/>
      </w:rPr>
      <w:tblPr/>
      <w:tcPr>
        <w:tcBorders>
          <w:bottom w:val="single" w:sz="6" w:space="0" w:color="000000"/>
          <w:tl2br w:val="none" w:sz="0" w:space="0" w:color="auto"/>
          <w:tr2bl w:val="none" w:sz="0" w:space="0" w:color="auto"/>
        </w:tcBorders>
      </w:tcPr>
    </w:tblStylePr>
    <w:tblStylePr w:type="lastRow">
      <w:rPr>
        <w:rFonts w:ascii="Yu Mincho" w:hAnsi="Yu Mincho"/>
        <w:color w:val="auto"/>
        <w:sz w:val="16"/>
      </w:rPr>
      <w:tblPr/>
      <w:tcPr>
        <w:tcBorders>
          <w:top w:val="single" w:sz="6" w:space="0" w:color="000000"/>
          <w:tl2br w:val="none" w:sz="0" w:space="0" w:color="auto"/>
          <w:tr2bl w:val="none" w:sz="0" w:space="0" w:color="auto"/>
        </w:tcBorders>
      </w:tcPr>
    </w:tblStylePr>
    <w:tblStylePr w:type="firstCol">
      <w:rPr>
        <w:rFonts w:ascii="Yu Mincho" w:hAnsi="Yu Mincho"/>
        <w:color w:val="auto"/>
        <w:sz w:val="16"/>
      </w:rPr>
      <w:tblPr/>
      <w:tcPr>
        <w:tcBorders>
          <w:top w:val="nil"/>
          <w:left w:val="nil"/>
          <w:bottom w:val="nil"/>
          <w:right w:val="nil"/>
          <w:insideH w:val="nil"/>
          <w:insideV w:val="nil"/>
          <w:tl2br w:val="none" w:sz="0" w:space="0" w:color="auto"/>
          <w:tr2bl w:val="none" w:sz="0" w:space="0" w:color="auto"/>
        </w:tcBorders>
        <w:shd w:val="clear" w:color="auto" w:fill="FFE3A6" w:themeFill="accent4"/>
      </w:tcPr>
    </w:tblStylePr>
    <w:tblStylePr w:type="lastCol">
      <w:rPr>
        <w:rFonts w:ascii="Yu Mincho" w:hAnsi="Yu Mincho"/>
        <w:sz w:val="16"/>
      </w:rPr>
      <w:tblPr/>
      <w:tcPr>
        <w:tcBorders>
          <w:top w:val="nil"/>
          <w:left w:val="nil"/>
          <w:bottom w:val="nil"/>
          <w:right w:val="nil"/>
          <w:insideH w:val="nil"/>
          <w:insideV w:val="nil"/>
        </w:tcBorders>
        <w:shd w:val="clear" w:color="auto" w:fill="FFE3A6" w:themeFill="accent4"/>
      </w:tcPr>
    </w:tblStylePr>
    <w:tblStylePr w:type="neCell">
      <w:rPr>
        <w:rFonts w:ascii="Yu Mincho" w:hAnsi="Yu Mincho"/>
        <w:b/>
        <w:bCs/>
        <w:i w:val="0"/>
        <w:iCs w:val="0"/>
        <w:sz w:val="16"/>
      </w:rPr>
      <w:tblPr/>
      <w:tcPr>
        <w:tcBorders>
          <w:tl2br w:val="none" w:sz="0" w:space="0" w:color="auto"/>
          <w:tr2bl w:val="none" w:sz="0" w:space="0" w:color="auto"/>
        </w:tcBorders>
      </w:tcPr>
    </w:tblStylePr>
    <w:tblStylePr w:type="seCell">
      <w:rPr>
        <w:rFonts w:ascii="Yu Mincho" w:hAnsi="Yu Mincho"/>
        <w:sz w:val="16"/>
      </w:rPr>
    </w:tblStylePr>
    <w:tblStylePr w:type="swCell">
      <w:rPr>
        <w:rFonts w:ascii="Yu Mincho" w:hAnsi="Yu Mincho"/>
        <w:b/>
        <w:bCs/>
        <w:sz w:val="16"/>
      </w:rPr>
      <w:tblPr/>
      <w:tcPr>
        <w:tcBorders>
          <w:tl2br w:val="none" w:sz="0" w:space="0" w:color="auto"/>
          <w:tr2bl w:val="none" w:sz="0" w:space="0" w:color="auto"/>
        </w:tcBorders>
      </w:tcPr>
    </w:tblStylePr>
  </w:style>
  <w:style w:type="character" w:customStyle="1" w:styleId="AddingupnumeralChar">
    <w:name w:val="Adding up (numeral) Char"/>
    <w:basedOn w:val="Standaardalinea-lettertype"/>
    <w:link w:val="Addingupnumeral"/>
    <w:rsid w:val="001D4E68"/>
    <w:rPr>
      <w:rFonts w:eastAsia="Calibri" w:cs="Times New Roman"/>
      <w:szCs w:val="18"/>
    </w:rPr>
  </w:style>
  <w:style w:type="character" w:styleId="Onopgelostemelding">
    <w:name w:val="Unresolved Mention"/>
    <w:basedOn w:val="Standaardalinea-lettertype"/>
    <w:uiPriority w:val="99"/>
    <w:unhideWhenUsed/>
    <w:rsid w:val="001D4E68"/>
    <w:rPr>
      <w:color w:val="605E5C"/>
      <w:shd w:val="clear" w:color="auto" w:fill="E1DFDD"/>
    </w:rPr>
  </w:style>
  <w:style w:type="table" w:styleId="Klassieketabel1">
    <w:name w:val="Table Classic 1"/>
    <w:basedOn w:val="Standaardtabel"/>
    <w:uiPriority w:val="99"/>
    <w:semiHidden/>
    <w:unhideWhenUsed/>
    <w:rsid w:val="001D4E68"/>
    <w:pPr>
      <w:spacing w:after="0" w:line="300" w:lineRule="atLeast"/>
      <w:ind w:left="567"/>
    </w:pPr>
    <w:rPr>
      <w:rFonts w:asciiTheme="minorHAnsi" w:eastAsiaTheme="minorEastAsia" w:hAnsiTheme="minorHAnsi"/>
      <w:sz w:val="22"/>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Standaardtabel"/>
    <w:next w:val="Tabelraster"/>
    <w:uiPriority w:val="59"/>
    <w:rsid w:val="001D4E68"/>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bulletpoint">
    <w:name w:val="Checklist bulletpoint"/>
    <w:basedOn w:val="Standaard"/>
    <w:link w:val="ChecklistbulletpointChar"/>
    <w:rsid w:val="001D4E68"/>
    <w:pPr>
      <w:ind w:left="1287" w:hanging="360"/>
    </w:pPr>
    <w:rPr>
      <w:b/>
      <w:color w:val="F04E30"/>
    </w:rPr>
  </w:style>
  <w:style w:type="paragraph" w:customStyle="1" w:styleId="ChecklistBulletpoint0">
    <w:name w:val="Checklist Bulletpoint"/>
    <w:basedOn w:val="Standaard"/>
    <w:link w:val="ChecklistBulletpointChar0"/>
    <w:qFormat/>
    <w:rsid w:val="001D4E68"/>
    <w:pPr>
      <w:tabs>
        <w:tab w:val="left" w:pos="851"/>
      </w:tabs>
      <w:ind w:left="1247" w:hanging="340"/>
    </w:pPr>
  </w:style>
  <w:style w:type="character" w:customStyle="1" w:styleId="ChecklistbulletpointChar">
    <w:name w:val="Checklist bulletpoint Char"/>
    <w:basedOn w:val="Standaardalinea-lettertype"/>
    <w:link w:val="Checklistbulletpoint"/>
    <w:rsid w:val="001D4E68"/>
    <w:rPr>
      <w:rFonts w:eastAsia="SimSun"/>
      <w:b/>
      <w:color w:val="F04E30"/>
      <w:szCs w:val="18"/>
    </w:rPr>
  </w:style>
  <w:style w:type="paragraph" w:customStyle="1" w:styleId="Frontpagetitle">
    <w:name w:val="Frontpage title"/>
    <w:basedOn w:val="Standaard"/>
    <w:link w:val="FrontpagetitleChar"/>
    <w:qFormat/>
    <w:rsid w:val="001D4E68"/>
    <w:pPr>
      <w:ind w:left="0"/>
      <w:jc w:val="center"/>
    </w:pPr>
    <w:rPr>
      <w:color w:val="FFFFFF" w:themeColor="background1"/>
      <w:sz w:val="80"/>
      <w:szCs w:val="80"/>
    </w:rPr>
  </w:style>
  <w:style w:type="character" w:customStyle="1" w:styleId="ChecklistBulletpointChar0">
    <w:name w:val="Checklist Bulletpoint Char"/>
    <w:basedOn w:val="Standaardalinea-lettertype"/>
    <w:link w:val="ChecklistBulletpoint0"/>
    <w:rsid w:val="001D4E68"/>
    <w:rPr>
      <w:rFonts w:eastAsia="SimSun"/>
      <w:szCs w:val="18"/>
    </w:rPr>
  </w:style>
  <w:style w:type="paragraph" w:customStyle="1" w:styleId="2ndlevelbulletpoint">
    <w:name w:val="2nd level bulletpoint"/>
    <w:basedOn w:val="Lijstalinea"/>
    <w:next w:val="3rdlevelbulletpoint"/>
    <w:link w:val="2ndlevelbulletpointChar"/>
    <w:rsid w:val="001D4E68"/>
    <w:pPr>
      <w:numPr>
        <w:numId w:val="0"/>
      </w:numPr>
      <w:ind w:left="1661" w:hanging="357"/>
    </w:pPr>
  </w:style>
  <w:style w:type="character" w:customStyle="1" w:styleId="FrontpagetitleChar">
    <w:name w:val="Frontpage title Char"/>
    <w:basedOn w:val="Standaardalinea-lettertype"/>
    <w:link w:val="Frontpagetitle"/>
    <w:rsid w:val="001D4E68"/>
    <w:rPr>
      <w:rFonts w:eastAsia="SimSun"/>
      <w:color w:val="FFFFFF" w:themeColor="background1"/>
      <w:sz w:val="80"/>
      <w:szCs w:val="80"/>
    </w:rPr>
  </w:style>
  <w:style w:type="paragraph" w:customStyle="1" w:styleId="3rdlevelbulletpoint">
    <w:name w:val="3rd level bulletpoint"/>
    <w:basedOn w:val="2ndlevelbulletpoint"/>
    <w:link w:val="3rdlevelbulletpointChar"/>
    <w:rsid w:val="001D4E68"/>
    <w:pPr>
      <w:ind w:left="2001"/>
    </w:pPr>
  </w:style>
  <w:style w:type="character" w:customStyle="1" w:styleId="2ndlevelbulletpointChar">
    <w:name w:val="2nd level bulletpoint Char"/>
    <w:basedOn w:val="LijstalineaChar"/>
    <w:link w:val="2ndlevelbulletpoint"/>
    <w:rsid w:val="001D4E68"/>
    <w:rPr>
      <w:rFonts w:ascii="Trebuchet MS" w:eastAsia="SimSun" w:hAnsi="Trebuchet MS"/>
      <w:sz w:val="18"/>
      <w:szCs w:val="18"/>
    </w:rPr>
  </w:style>
  <w:style w:type="paragraph" w:customStyle="1" w:styleId="Bulletpoint">
    <w:name w:val="Bulletpoint"/>
    <w:basedOn w:val="2ndlevelbulletpoint"/>
    <w:next w:val="2ndlevelbulletpoint"/>
    <w:link w:val="BulletpointChar"/>
    <w:qFormat/>
    <w:rsid w:val="001D4E68"/>
    <w:pPr>
      <w:numPr>
        <w:numId w:val="3"/>
      </w:numPr>
      <w:ind w:left="1287"/>
    </w:pPr>
  </w:style>
  <w:style w:type="character" w:customStyle="1" w:styleId="3rdlevelbulletpointChar">
    <w:name w:val="3rd level bulletpoint Char"/>
    <w:basedOn w:val="2ndlevelbulletpointChar"/>
    <w:link w:val="3rdlevelbulletpoint"/>
    <w:rsid w:val="001D4E68"/>
    <w:rPr>
      <w:rFonts w:ascii="Trebuchet MS" w:eastAsia="SimSun" w:hAnsi="Trebuchet MS"/>
      <w:sz w:val="18"/>
      <w:szCs w:val="18"/>
    </w:rPr>
  </w:style>
  <w:style w:type="paragraph" w:customStyle="1" w:styleId="Tabletext">
    <w:name w:val="Table text"/>
    <w:basedOn w:val="Standaard"/>
    <w:link w:val="TabletextChar"/>
    <w:qFormat/>
    <w:rsid w:val="001D4E68"/>
    <w:pPr>
      <w:ind w:left="0"/>
    </w:pPr>
    <w:rPr>
      <w:rFonts w:eastAsia="Calibri" w:cs="Times New Roman"/>
      <w:bCs/>
      <w:sz w:val="16"/>
      <w:szCs w:val="16"/>
    </w:rPr>
  </w:style>
  <w:style w:type="character" w:customStyle="1" w:styleId="BulletpointChar">
    <w:name w:val="Bulletpoint Char"/>
    <w:basedOn w:val="3rdlevelbulletpointChar"/>
    <w:link w:val="Bulletpoint"/>
    <w:rsid w:val="001D4E68"/>
    <w:rPr>
      <w:rFonts w:ascii="Trebuchet MS" w:eastAsia="SimSun" w:hAnsi="Trebuchet MS"/>
      <w:sz w:val="18"/>
      <w:szCs w:val="18"/>
    </w:rPr>
  </w:style>
  <w:style w:type="table" w:customStyle="1" w:styleId="SummaryofTask">
    <w:name w:val="Summary of Task"/>
    <w:basedOn w:val="Standaardtabel"/>
    <w:uiPriority w:val="99"/>
    <w:rsid w:val="001D4E68"/>
    <w:pPr>
      <w:spacing w:after="0" w:line="240" w:lineRule="auto"/>
    </w:pPr>
    <w:rPr>
      <w:rFonts w:eastAsiaTheme="minorEastAsia"/>
      <w:sz w:val="16"/>
      <w:lang w:eastAsia="zh-CN"/>
    </w:rPr>
    <w:tblPr>
      <w:tblInd w:w="567" w:type="dxa"/>
      <w:tblBorders>
        <w:top w:val="single" w:sz="4" w:space="0" w:color="FFE3A6" w:themeColor="accent4"/>
        <w:left w:val="single" w:sz="4" w:space="0" w:color="FFE3A6" w:themeColor="accent4"/>
        <w:bottom w:val="single" w:sz="4" w:space="0" w:color="FFE3A6" w:themeColor="accent4"/>
        <w:right w:val="single" w:sz="4" w:space="0" w:color="FFE3A6" w:themeColor="accent4"/>
        <w:insideH w:val="single" w:sz="4" w:space="0" w:color="FFE3A6" w:themeColor="accent4"/>
        <w:insideV w:val="single" w:sz="4" w:space="0" w:color="FFE3A6" w:themeColor="accent4"/>
      </w:tblBorders>
      <w:tblCellMar>
        <w:left w:w="0" w:type="dxa"/>
        <w:right w:w="0" w:type="dxa"/>
      </w:tblCellMar>
    </w:tblPr>
    <w:tblStylePr w:type="firstCol">
      <w:pPr>
        <w:wordWrap/>
        <w:ind w:leftChars="0" w:left="113"/>
      </w:pPr>
      <w:rPr>
        <w:rFonts w:ascii="Yu Gothic UI Light" w:hAnsi="Yu Gothic UI Light"/>
        <w:b/>
        <w:sz w:val="16"/>
      </w:rPr>
      <w:tblPr/>
      <w:tcPr>
        <w:shd w:val="clear" w:color="auto" w:fill="FFE3A6" w:themeFill="accent4"/>
      </w:tcPr>
    </w:tblStylePr>
    <w:tblStylePr w:type="lastCol">
      <w:pPr>
        <w:jc w:val="left"/>
      </w:pPr>
      <w:rPr>
        <w:rFonts w:ascii="Yu Gothic UI Light" w:hAnsi="Yu Gothic UI Light"/>
        <w:sz w:val="16"/>
      </w:rPr>
      <w:tblPr/>
      <w:tcPr>
        <w:vAlign w:val="center"/>
      </w:tcPr>
    </w:tblStylePr>
  </w:style>
  <w:style w:type="character" w:customStyle="1" w:styleId="TabletextChar">
    <w:name w:val="Table text Char"/>
    <w:basedOn w:val="Standaardalinea-lettertype"/>
    <w:link w:val="Tabletext"/>
    <w:rsid w:val="001D4E68"/>
    <w:rPr>
      <w:rFonts w:eastAsia="Calibri" w:cs="Times New Roman"/>
      <w:bCs/>
      <w:sz w:val="16"/>
      <w:szCs w:val="16"/>
    </w:rPr>
  </w:style>
  <w:style w:type="character" w:customStyle="1" w:styleId="OrangetabletextChar">
    <w:name w:val="Orange table text Char"/>
    <w:basedOn w:val="Standaardalinea-lettertype"/>
    <w:link w:val="Orangetabletext"/>
    <w:rsid w:val="001D4E68"/>
    <w:rPr>
      <w:rFonts w:eastAsia="SimSun"/>
      <w:b/>
      <w:bCs/>
      <w:color w:val="FFFFFF"/>
      <w:sz w:val="16"/>
      <w:szCs w:val="14"/>
      <w:lang w:eastAsia="nl-NL"/>
    </w:rPr>
  </w:style>
  <w:style w:type="paragraph" w:customStyle="1" w:styleId="BodyA">
    <w:name w:val="Body A"/>
    <w:rsid w:val="001D4E68"/>
    <w:pPr>
      <w:pBdr>
        <w:top w:val="nil"/>
        <w:left w:val="nil"/>
        <w:bottom w:val="nil"/>
        <w:right w:val="nil"/>
        <w:between w:val="nil"/>
        <w:bar w:val="nil"/>
      </w:pBdr>
      <w:spacing w:after="0" w:line="300" w:lineRule="atLeast"/>
      <w:ind w:left="567"/>
    </w:pPr>
    <w:rPr>
      <w:rFonts w:eastAsia="Arial Unicode MS" w:cs="Arial Unicode MS"/>
      <w:color w:val="000000"/>
      <w:szCs w:val="18"/>
      <w:u w:color="000000"/>
      <w:bdr w:val="nil"/>
      <w:lang w:val="en-US"/>
      <w14:textOutline w14:w="12700" w14:cap="flat" w14:cmpd="sng" w14:algn="ctr">
        <w14:noFill/>
        <w14:prstDash w14:val="solid"/>
        <w14:miter w14:lim="400000"/>
      </w14:textOutline>
    </w:rPr>
  </w:style>
  <w:style w:type="character" w:customStyle="1" w:styleId="UnresolvedMention1">
    <w:name w:val="Unresolved Mention1"/>
    <w:basedOn w:val="Standaardalinea-lettertype"/>
    <w:uiPriority w:val="99"/>
    <w:unhideWhenUsed/>
    <w:rsid w:val="001D4E68"/>
    <w:rPr>
      <w:color w:val="605E5C"/>
      <w:shd w:val="clear" w:color="auto" w:fill="E1DFDD"/>
    </w:rPr>
  </w:style>
  <w:style w:type="table" w:styleId="Tabelrasterlicht">
    <w:name w:val="Grid Table Light"/>
    <w:basedOn w:val="Standaardtabel"/>
    <w:uiPriority w:val="40"/>
    <w:rsid w:val="001D4E68"/>
    <w:pPr>
      <w:spacing w:after="0" w:line="240" w:lineRule="auto"/>
    </w:pPr>
    <w:rPr>
      <w:rFonts w:eastAsia="SimSun"/>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List-Accent212">
    <w:name w:val="Light List - Accent 212"/>
    <w:basedOn w:val="Standaardtabel"/>
    <w:next w:val="Lichtelijst-accent2"/>
    <w:uiPriority w:val="61"/>
    <w:rsid w:val="001D4E68"/>
    <w:pPr>
      <w:spacing w:after="0" w:line="240" w:lineRule="auto"/>
    </w:pPr>
    <w:rPr>
      <w:rFonts w:asciiTheme="minorHAnsi" w:eastAsia="SimSun" w:hAnsiTheme="minorHAnsi"/>
      <w:sz w:val="22"/>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character" w:customStyle="1" w:styleId="Mention1">
    <w:name w:val="Mention1"/>
    <w:basedOn w:val="Standaardalinea-lettertype"/>
    <w:uiPriority w:val="99"/>
    <w:unhideWhenUsed/>
    <w:rsid w:val="001D4E68"/>
    <w:rPr>
      <w:color w:val="2B579A"/>
      <w:shd w:val="clear" w:color="auto" w:fill="E1DFDD"/>
    </w:rPr>
  </w:style>
  <w:style w:type="paragraph" w:customStyle="1" w:styleId="Title1">
    <w:name w:val=".Title 1"/>
    <w:basedOn w:val="Kop1"/>
    <w:next w:val="Standaard"/>
    <w:link w:val="Title1Car"/>
    <w:rsid w:val="001D4E68"/>
    <w:pPr>
      <w:keepNext/>
      <w:keepLines/>
      <w:numPr>
        <w:numId w:val="9"/>
      </w:numPr>
      <w:tabs>
        <w:tab w:val="clear" w:pos="851"/>
      </w:tabs>
      <w:spacing w:before="60" w:after="60" w:line="240" w:lineRule="auto"/>
      <w:contextualSpacing w:val="0"/>
      <w:jc w:val="both"/>
    </w:pPr>
    <w:rPr>
      <w:rFonts w:ascii="Times New Roman" w:eastAsiaTheme="majorEastAsia" w:hAnsi="Times New Roman" w:cstheme="majorHAnsi"/>
      <w:bCs/>
      <w:color w:val="108CCA"/>
      <w:sz w:val="28"/>
      <w:szCs w:val="32"/>
    </w:rPr>
  </w:style>
  <w:style w:type="character" w:customStyle="1" w:styleId="Title1Car">
    <w:name w:val=".Title 1 Car"/>
    <w:basedOn w:val="Standaardalinea-lettertype"/>
    <w:link w:val="Title1"/>
    <w:rsid w:val="001D4E68"/>
    <w:rPr>
      <w:rFonts w:ascii="Times New Roman" w:eastAsiaTheme="majorEastAsia" w:hAnsi="Times New Roman" w:cstheme="majorHAnsi"/>
      <w:b/>
      <w:bCs/>
      <w:color w:val="108CCA"/>
      <w:sz w:val="28"/>
      <w:szCs w:val="32"/>
    </w:rPr>
  </w:style>
  <w:style w:type="paragraph" w:styleId="HTML-voorafopgemaakt">
    <w:name w:val="HTML Preformatted"/>
    <w:basedOn w:val="Standaard"/>
    <w:link w:val="HTML-voorafopgemaaktChar"/>
    <w:uiPriority w:val="99"/>
    <w:semiHidden/>
    <w:unhideWhenUsed/>
    <w:rsid w:val="001D4E68"/>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1D4E68"/>
    <w:rPr>
      <w:rFonts w:ascii="Consolas" w:eastAsia="SimSun" w:hAnsi="Consolas"/>
      <w:sz w:val="20"/>
      <w:szCs w:val="20"/>
    </w:rPr>
  </w:style>
  <w:style w:type="character" w:styleId="Vermelding">
    <w:name w:val="Mention"/>
    <w:basedOn w:val="Standaardalinea-lettertype"/>
    <w:uiPriority w:val="99"/>
    <w:unhideWhenUsed/>
    <w:rsid w:val="001D4E68"/>
    <w:rPr>
      <w:color w:val="2B579A"/>
      <w:shd w:val="clear" w:color="auto" w:fill="E1DFDD"/>
    </w:rPr>
  </w:style>
  <w:style w:type="paragraph" w:customStyle="1" w:styleId="1stbullet">
    <w:name w:val="1st bullet"/>
    <w:basedOn w:val="Lijstalinea"/>
    <w:link w:val="1stbulletChar"/>
    <w:qFormat/>
    <w:rsid w:val="001D4E68"/>
    <w:pPr>
      <w:numPr>
        <w:numId w:val="7"/>
      </w:numPr>
      <w:tabs>
        <w:tab w:val="clear" w:pos="851"/>
        <w:tab w:val="center" w:pos="4419"/>
        <w:tab w:val="right" w:pos="8838"/>
      </w:tabs>
      <w:spacing w:before="200" w:after="200" w:line="240" w:lineRule="auto"/>
      <w:jc w:val="both"/>
    </w:pPr>
    <w:rPr>
      <w:rFonts w:ascii="Times New Roman" w:hAnsi="Times New Roman" w:cs="Open Sans Light"/>
      <w:color w:val="000000" w:themeColor="text1"/>
      <w:sz w:val="22"/>
    </w:rPr>
  </w:style>
  <w:style w:type="character" w:customStyle="1" w:styleId="1stbulletChar">
    <w:name w:val="1st bullet Char"/>
    <w:basedOn w:val="Standaardalinea-lettertype"/>
    <w:link w:val="1stbullet"/>
    <w:rsid w:val="001D4E68"/>
    <w:rPr>
      <w:rFonts w:ascii="Times New Roman" w:eastAsia="SimSun" w:hAnsi="Times New Roman" w:cs="Open Sans Light"/>
      <w:color w:val="000000" w:themeColor="text1"/>
      <w:sz w:val="22"/>
      <w:szCs w:val="18"/>
    </w:rPr>
  </w:style>
  <w:style w:type="paragraph" w:customStyle="1" w:styleId="2ndbullet">
    <w:name w:val="2nd bullet"/>
    <w:basedOn w:val="1stbullet"/>
    <w:rsid w:val="001D4E68"/>
    <w:pPr>
      <w:numPr>
        <w:numId w:val="8"/>
      </w:numPr>
    </w:pPr>
    <w:rPr>
      <w:rFonts w:cs="Arial"/>
    </w:rPr>
  </w:style>
  <w:style w:type="paragraph" w:customStyle="1" w:styleId="2dbullet">
    <w:name w:val="2d bullet"/>
    <w:basedOn w:val="2ndbullet"/>
    <w:link w:val="2dbulletCar"/>
    <w:qFormat/>
    <w:rsid w:val="001D4E68"/>
  </w:style>
  <w:style w:type="character" w:customStyle="1" w:styleId="2dbulletCar">
    <w:name w:val="2d bullet Car"/>
    <w:basedOn w:val="Standaardalinea-lettertype"/>
    <w:link w:val="2dbullet"/>
    <w:rsid w:val="001D4E68"/>
    <w:rPr>
      <w:rFonts w:ascii="Times New Roman" w:eastAsia="SimSun" w:hAnsi="Times New Roman" w:cs="Arial"/>
      <w:color w:val="000000" w:themeColor="text1"/>
      <w:sz w:val="22"/>
      <w:szCs w:val="18"/>
    </w:rPr>
  </w:style>
  <w:style w:type="paragraph" w:customStyle="1" w:styleId="4thbullet">
    <w:name w:val="4th bullet"/>
    <w:basedOn w:val="1stbullet"/>
    <w:link w:val="4thbulletCar"/>
    <w:qFormat/>
    <w:rsid w:val="001D4E68"/>
    <w:pPr>
      <w:numPr>
        <w:numId w:val="0"/>
      </w:numPr>
      <w:spacing w:before="0" w:after="0"/>
      <w:ind w:left="1146" w:hanging="360"/>
    </w:pPr>
    <w:rPr>
      <w:rFonts w:ascii="Trebuchet MS" w:hAnsi="Trebuchet MS"/>
      <w:sz w:val="18"/>
      <w:szCs w:val="20"/>
    </w:rPr>
  </w:style>
  <w:style w:type="character" w:customStyle="1" w:styleId="4thbulletCar">
    <w:name w:val="4th bullet Car"/>
    <w:basedOn w:val="Standaardalinea-lettertype"/>
    <w:link w:val="4thbullet"/>
    <w:rsid w:val="001D4E68"/>
    <w:rPr>
      <w:rFonts w:eastAsia="SimSun" w:cs="Open Sans Light"/>
      <w:color w:val="000000" w:themeColor="text1"/>
      <w:szCs w:val="20"/>
    </w:rPr>
  </w:style>
  <w:style w:type="table" w:styleId="Rastertabel4-Accent1">
    <w:name w:val="Grid Table 4 Accent 1"/>
    <w:basedOn w:val="Standaardtabel"/>
    <w:uiPriority w:val="49"/>
    <w:rsid w:val="001D4E68"/>
    <w:pPr>
      <w:spacing w:after="0" w:line="240" w:lineRule="auto"/>
    </w:pPr>
    <w:rPr>
      <w:rFonts w:asciiTheme="minorHAnsi" w:eastAsia="SimSun" w:hAnsiTheme="minorHAnsi"/>
      <w:sz w:val="22"/>
      <w:lang w:val="en-US"/>
    </w:rPr>
    <w:tblPr>
      <w:tblStyleRowBandSize w:val="1"/>
      <w:tblStyleColBandSize w:val="1"/>
      <w:tblBorders>
        <w:top w:val="single" w:sz="4" w:space="0" w:color="07E7FF" w:themeColor="accent1" w:themeTint="99"/>
        <w:left w:val="single" w:sz="4" w:space="0" w:color="07E7FF" w:themeColor="accent1" w:themeTint="99"/>
        <w:bottom w:val="single" w:sz="4" w:space="0" w:color="07E7FF" w:themeColor="accent1" w:themeTint="99"/>
        <w:right w:val="single" w:sz="4" w:space="0" w:color="07E7FF" w:themeColor="accent1" w:themeTint="99"/>
        <w:insideH w:val="single" w:sz="4" w:space="0" w:color="07E7FF" w:themeColor="accent1" w:themeTint="99"/>
        <w:insideV w:val="single" w:sz="4" w:space="0" w:color="07E7FF" w:themeColor="accent1" w:themeTint="99"/>
      </w:tblBorders>
    </w:tblPr>
    <w:tblStylePr w:type="firstRow">
      <w:rPr>
        <w:b/>
        <w:bCs/>
        <w:color w:val="FFFFFF" w:themeColor="background1"/>
      </w:rPr>
      <w:tblPr/>
      <w:tcPr>
        <w:tcBorders>
          <w:top w:val="single" w:sz="4" w:space="0" w:color="005962" w:themeColor="accent1"/>
          <w:left w:val="single" w:sz="4" w:space="0" w:color="005962" w:themeColor="accent1"/>
          <w:bottom w:val="single" w:sz="4" w:space="0" w:color="005962" w:themeColor="accent1"/>
          <w:right w:val="single" w:sz="4" w:space="0" w:color="005962" w:themeColor="accent1"/>
          <w:insideH w:val="nil"/>
          <w:insideV w:val="nil"/>
        </w:tcBorders>
        <w:shd w:val="clear" w:color="auto" w:fill="005962" w:themeFill="accent1"/>
      </w:tcPr>
    </w:tblStylePr>
    <w:tblStylePr w:type="lastRow">
      <w:rPr>
        <w:b/>
        <w:bCs/>
      </w:rPr>
      <w:tblPr/>
      <w:tcPr>
        <w:tcBorders>
          <w:top w:val="double" w:sz="4" w:space="0" w:color="005962" w:themeColor="accent1"/>
        </w:tcBorders>
      </w:tcPr>
    </w:tblStylePr>
    <w:tblStylePr w:type="firstCol">
      <w:rPr>
        <w:b/>
        <w:bCs/>
      </w:rPr>
    </w:tblStylePr>
    <w:tblStylePr w:type="lastCol">
      <w:rPr>
        <w:b/>
        <w:bCs/>
      </w:rPr>
    </w:tblStylePr>
    <w:tblStylePr w:type="band1Vert">
      <w:tblPr/>
      <w:tcPr>
        <w:shd w:val="clear" w:color="auto" w:fill="ACF7FF" w:themeFill="accent1" w:themeFillTint="33"/>
      </w:tcPr>
    </w:tblStylePr>
    <w:tblStylePr w:type="band1Horz">
      <w:tblPr/>
      <w:tcPr>
        <w:shd w:val="clear" w:color="auto" w:fill="ACF7FF" w:themeFill="accent1" w:themeFillTint="33"/>
      </w:tcPr>
    </w:tblStylePr>
  </w:style>
  <w:style w:type="table" w:styleId="Rastertabel4-Accent2">
    <w:name w:val="Grid Table 4 Accent 2"/>
    <w:basedOn w:val="Standaardtabel"/>
    <w:uiPriority w:val="49"/>
    <w:rsid w:val="001D4E68"/>
    <w:pPr>
      <w:spacing w:after="0" w:line="240" w:lineRule="auto"/>
    </w:pPr>
    <w:rPr>
      <w:rFonts w:asciiTheme="minorHAnsi" w:eastAsia="SimSun" w:hAnsiTheme="minorHAnsi"/>
      <w:sz w:val="22"/>
      <w:lang w:val="en-US"/>
    </w:rPr>
    <w:tblPr>
      <w:tblStyleRowBandSize w:val="1"/>
      <w:tblStyleColBandSize w:val="1"/>
      <w:tblBorders>
        <w:top w:val="single" w:sz="4" w:space="0" w:color="F69482" w:themeColor="accent2" w:themeTint="99"/>
        <w:left w:val="single" w:sz="4" w:space="0" w:color="F69482" w:themeColor="accent2" w:themeTint="99"/>
        <w:bottom w:val="single" w:sz="4" w:space="0" w:color="F69482" w:themeColor="accent2" w:themeTint="99"/>
        <w:right w:val="single" w:sz="4" w:space="0" w:color="F69482" w:themeColor="accent2" w:themeTint="99"/>
        <w:insideH w:val="single" w:sz="4" w:space="0" w:color="F69482" w:themeColor="accent2" w:themeTint="99"/>
        <w:insideV w:val="single" w:sz="4" w:space="0" w:color="F69482" w:themeColor="accent2" w:themeTint="99"/>
      </w:tblBorders>
    </w:tblPr>
    <w:tblStylePr w:type="firstRow">
      <w:rPr>
        <w:b/>
        <w:bCs/>
        <w:color w:val="FFFFFF" w:themeColor="background1"/>
      </w:rPr>
      <w:tblPr/>
      <w:tcPr>
        <w:tcBorders>
          <w:top w:val="single" w:sz="4" w:space="0" w:color="F04E30" w:themeColor="accent2"/>
          <w:left w:val="single" w:sz="4" w:space="0" w:color="F04E30" w:themeColor="accent2"/>
          <w:bottom w:val="single" w:sz="4" w:space="0" w:color="F04E30" w:themeColor="accent2"/>
          <w:right w:val="single" w:sz="4" w:space="0" w:color="F04E30" w:themeColor="accent2"/>
          <w:insideH w:val="nil"/>
          <w:insideV w:val="nil"/>
        </w:tcBorders>
        <w:shd w:val="clear" w:color="auto" w:fill="F04E30" w:themeFill="accent2"/>
      </w:tcPr>
    </w:tblStylePr>
    <w:tblStylePr w:type="lastRow">
      <w:rPr>
        <w:b/>
        <w:bCs/>
      </w:rPr>
      <w:tblPr/>
      <w:tcPr>
        <w:tcBorders>
          <w:top w:val="double" w:sz="4" w:space="0" w:color="F04E30" w:themeColor="accent2"/>
        </w:tcBorders>
      </w:tcPr>
    </w:tblStylePr>
    <w:tblStylePr w:type="firstCol">
      <w:rPr>
        <w:b/>
        <w:bCs/>
      </w:rPr>
    </w:tblStylePr>
    <w:tblStylePr w:type="lastCol">
      <w:rPr>
        <w:b/>
        <w:bCs/>
      </w:rPr>
    </w:tblStylePr>
    <w:tblStylePr w:type="band1Vert">
      <w:tblPr/>
      <w:tcPr>
        <w:shd w:val="clear" w:color="auto" w:fill="FCDBD5" w:themeFill="accent2" w:themeFillTint="33"/>
      </w:tcPr>
    </w:tblStylePr>
    <w:tblStylePr w:type="band1Horz">
      <w:tblPr/>
      <w:tcPr>
        <w:shd w:val="clear" w:color="auto" w:fill="FCDBD5" w:themeFill="accent2" w:themeFillTint="33"/>
      </w:tcPr>
    </w:tblStylePr>
  </w:style>
  <w:style w:type="table" w:styleId="Lijsttabel3-Accent1">
    <w:name w:val="List Table 3 Accent 1"/>
    <w:basedOn w:val="Standaardtabel"/>
    <w:uiPriority w:val="48"/>
    <w:rsid w:val="001D4E68"/>
    <w:pPr>
      <w:spacing w:after="0" w:line="240" w:lineRule="auto"/>
    </w:pPr>
    <w:rPr>
      <w:rFonts w:eastAsia="SimSun"/>
      <w:szCs w:val="18"/>
    </w:rPr>
    <w:tblPr>
      <w:tblStyleRowBandSize w:val="1"/>
      <w:tblStyleColBandSize w:val="1"/>
      <w:tblBorders>
        <w:top w:val="single" w:sz="4" w:space="0" w:color="005962" w:themeColor="accent1"/>
        <w:left w:val="single" w:sz="4" w:space="0" w:color="005962" w:themeColor="accent1"/>
        <w:bottom w:val="single" w:sz="4" w:space="0" w:color="005962" w:themeColor="accent1"/>
        <w:right w:val="single" w:sz="4" w:space="0" w:color="005962" w:themeColor="accent1"/>
      </w:tblBorders>
    </w:tblPr>
    <w:tblStylePr w:type="firstRow">
      <w:rPr>
        <w:b/>
        <w:bCs/>
        <w:color w:val="FFFFFF" w:themeColor="background1"/>
      </w:rPr>
      <w:tblPr/>
      <w:tcPr>
        <w:shd w:val="clear" w:color="auto" w:fill="005962" w:themeFill="accent1"/>
      </w:tcPr>
    </w:tblStylePr>
    <w:tblStylePr w:type="lastRow">
      <w:rPr>
        <w:b/>
        <w:bCs/>
      </w:rPr>
      <w:tblPr/>
      <w:tcPr>
        <w:tcBorders>
          <w:top w:val="double" w:sz="4" w:space="0" w:color="00596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962" w:themeColor="accent1"/>
          <w:right w:val="single" w:sz="4" w:space="0" w:color="005962" w:themeColor="accent1"/>
        </w:tcBorders>
      </w:tcPr>
    </w:tblStylePr>
    <w:tblStylePr w:type="band1Horz">
      <w:tblPr/>
      <w:tcPr>
        <w:tcBorders>
          <w:top w:val="single" w:sz="4" w:space="0" w:color="005962" w:themeColor="accent1"/>
          <w:bottom w:val="single" w:sz="4" w:space="0" w:color="00596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962" w:themeColor="accent1"/>
          <w:left w:val="nil"/>
        </w:tcBorders>
      </w:tcPr>
    </w:tblStylePr>
    <w:tblStylePr w:type="swCell">
      <w:tblPr/>
      <w:tcPr>
        <w:tcBorders>
          <w:top w:val="double" w:sz="4" w:space="0" w:color="005962" w:themeColor="accent1"/>
          <w:right w:val="nil"/>
        </w:tcBorders>
      </w:tcPr>
    </w:tblStylePr>
  </w:style>
  <w:style w:type="character" w:customStyle="1" w:styleId="cf01">
    <w:name w:val="cf01"/>
    <w:basedOn w:val="Standaardalinea-lettertype"/>
    <w:rsid w:val="001D4E68"/>
    <w:rPr>
      <w:rFonts w:ascii="Segoe UI" w:hAnsi="Segoe UI" w:cs="Segoe UI" w:hint="default"/>
      <w:sz w:val="18"/>
      <w:szCs w:val="18"/>
    </w:rPr>
  </w:style>
  <w:style w:type="paragraph" w:customStyle="1" w:styleId="pf0">
    <w:name w:val="pf0"/>
    <w:basedOn w:val="Standaard"/>
    <w:rsid w:val="001D4E68"/>
    <w:pPr>
      <w:spacing w:before="100" w:beforeAutospacing="1" w:after="100" w:afterAutospacing="1" w:line="240" w:lineRule="auto"/>
      <w:ind w:left="0"/>
    </w:pPr>
    <w:rPr>
      <w:rFonts w:ascii="Times New Roman" w:eastAsia="Times New Roman" w:hAnsi="Times New Roman" w:cs="Times New Roman"/>
      <w:sz w:val="24"/>
      <w:szCs w:val="24"/>
      <w:lang w:val="nl-BE" w:eastAsia="nl-BE"/>
    </w:rPr>
  </w:style>
  <w:style w:type="character" w:customStyle="1" w:styleId="cf11">
    <w:name w:val="cf11"/>
    <w:basedOn w:val="Standaardalinea-lettertype"/>
    <w:rsid w:val="001D4E68"/>
    <w:rPr>
      <w:rFonts w:ascii="Segoe UI" w:hAnsi="Segoe UI" w:cs="Segoe UI" w:hint="default"/>
      <w:sz w:val="18"/>
      <w:szCs w:val="18"/>
    </w:rPr>
  </w:style>
  <w:style w:type="character" w:customStyle="1" w:styleId="CaptionChar1">
    <w:name w:val="Caption Char1"/>
    <w:aliases w:val="Caption Char Char"/>
    <w:locked/>
    <w:rsid w:val="007F0E01"/>
    <w:rPr>
      <w:iCs/>
      <w:color w:val="3C5571" w:themeColor="text2"/>
      <w:sz w:val="18"/>
      <w:szCs w:val="18"/>
    </w:rPr>
  </w:style>
  <w:style w:type="paragraph" w:customStyle="1" w:styleId="Imprintdetails">
    <w:name w:val="Imprint details"/>
    <w:basedOn w:val="Standaard"/>
    <w:uiPriority w:val="7"/>
    <w:semiHidden/>
    <w:qFormat/>
    <w:rsid w:val="000C7C52"/>
    <w:pPr>
      <w:spacing w:before="120" w:after="120" w:line="240" w:lineRule="auto"/>
      <w:ind w:left="0" w:right="284"/>
      <w:jc w:val="both"/>
    </w:pPr>
    <w:rPr>
      <w:rFonts w:ascii="Calibri" w:eastAsia="Calibri" w:hAnsi="Calibri" w:cs="Calibri"/>
      <w:color w:val="3C5571" w:themeColor="text2"/>
      <w:sz w:val="21"/>
      <w:szCs w:val="21"/>
      <w:lang w:eastAsia="en-GB"/>
    </w:rPr>
  </w:style>
  <w:style w:type="paragraph" w:customStyle="1" w:styleId="BoxSubheading">
    <w:name w:val="Box Subheading"/>
    <w:basedOn w:val="Standaard"/>
    <w:uiPriority w:val="4"/>
    <w:rsid w:val="00B40DF1"/>
    <w:pPr>
      <w:numPr>
        <w:numId w:val="10"/>
      </w:numPr>
      <w:spacing w:before="120" w:after="140" w:line="240" w:lineRule="exact"/>
      <w:ind w:right="284"/>
      <w:jc w:val="both"/>
    </w:pPr>
    <w:rPr>
      <w:rFonts w:asciiTheme="majorHAnsi" w:eastAsia="Calibri" w:hAnsiTheme="majorHAnsi" w:cs="Calibri"/>
      <w:bCs/>
      <w:caps/>
      <w:color w:val="617076"/>
      <w:sz w:val="20"/>
      <w:szCs w:val="22"/>
      <w:lang w:eastAsia="en-GB"/>
    </w:rPr>
  </w:style>
  <w:style w:type="paragraph" w:customStyle="1" w:styleId="Normal1">
    <w:name w:val="Normal1"/>
    <w:basedOn w:val="Standaard"/>
    <w:rsid w:val="0024028F"/>
    <w:pPr>
      <w:spacing w:before="100" w:beforeAutospacing="1" w:after="100" w:afterAutospacing="1" w:line="240" w:lineRule="auto"/>
      <w:ind w:left="0"/>
    </w:pPr>
    <w:rPr>
      <w:rFonts w:ascii="Times New Roman" w:eastAsia="Times New Roman" w:hAnsi="Times New Roman" w:cs="Times New Roman"/>
      <w:sz w:val="24"/>
      <w:szCs w:val="24"/>
      <w:lang w:val="en-US"/>
    </w:rPr>
  </w:style>
  <w:style w:type="character" w:customStyle="1" w:styleId="footnotereference">
    <w:name w:val="footnotereference"/>
    <w:basedOn w:val="Standaardalinea-lettertype"/>
    <w:rsid w:val="00920FBB"/>
  </w:style>
  <w:style w:type="table" w:customStyle="1" w:styleId="Test1">
    <w:name w:val="Test1"/>
    <w:basedOn w:val="Standaardtabel"/>
    <w:next w:val="Tabelraster"/>
    <w:uiPriority w:val="39"/>
    <w:rsid w:val="00092EBF"/>
    <w:pPr>
      <w:spacing w:after="300" w:line="240" w:lineRule="auto"/>
      <w:ind w:right="284"/>
    </w:pPr>
    <w:rPr>
      <w:rFonts w:ascii="Calibri" w:eastAsia="Calibri" w:hAnsi="Calibri" w:cs="Calibri"/>
      <w:sz w:val="22"/>
      <w:lang w:eastAsia="en-GB"/>
    </w:rPr>
    <w:tblPr>
      <w:tblBorders>
        <w:bottom w:val="single" w:sz="6" w:space="0" w:color="00D29A"/>
        <w:insideH w:val="single" w:sz="6" w:space="0" w:color="00D29A"/>
      </w:tblBorders>
    </w:tblPr>
    <w:tcPr>
      <w:shd w:val="clear" w:color="auto" w:fill="auto"/>
      <w:vAlign w:val="center"/>
    </w:tcPr>
    <w:tblStylePr w:type="firstRow">
      <w:pPr>
        <w:jc w:val="left"/>
      </w:pPr>
      <w:tblPr/>
      <w:tcPr>
        <w:shd w:val="clear" w:color="auto" w:fill="00D29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559">
      <w:bodyDiv w:val="1"/>
      <w:marLeft w:val="0"/>
      <w:marRight w:val="0"/>
      <w:marTop w:val="0"/>
      <w:marBottom w:val="0"/>
      <w:divBdr>
        <w:top w:val="none" w:sz="0" w:space="0" w:color="auto"/>
        <w:left w:val="none" w:sz="0" w:space="0" w:color="auto"/>
        <w:bottom w:val="none" w:sz="0" w:space="0" w:color="auto"/>
        <w:right w:val="none" w:sz="0" w:space="0" w:color="auto"/>
      </w:divBdr>
    </w:div>
    <w:div w:id="59906430">
      <w:bodyDiv w:val="1"/>
      <w:marLeft w:val="0"/>
      <w:marRight w:val="0"/>
      <w:marTop w:val="0"/>
      <w:marBottom w:val="0"/>
      <w:divBdr>
        <w:top w:val="none" w:sz="0" w:space="0" w:color="auto"/>
        <w:left w:val="none" w:sz="0" w:space="0" w:color="auto"/>
        <w:bottom w:val="none" w:sz="0" w:space="0" w:color="auto"/>
        <w:right w:val="none" w:sz="0" w:space="0" w:color="auto"/>
      </w:divBdr>
      <w:divsChild>
        <w:div w:id="1611665459">
          <w:marLeft w:val="0"/>
          <w:marRight w:val="0"/>
          <w:marTop w:val="0"/>
          <w:marBottom w:val="0"/>
          <w:divBdr>
            <w:top w:val="none" w:sz="0" w:space="0" w:color="auto"/>
            <w:left w:val="none" w:sz="0" w:space="0" w:color="auto"/>
            <w:bottom w:val="none" w:sz="0" w:space="0" w:color="auto"/>
            <w:right w:val="none" w:sz="0" w:space="0" w:color="auto"/>
          </w:divBdr>
          <w:divsChild>
            <w:div w:id="2123450375">
              <w:marLeft w:val="0"/>
              <w:marRight w:val="0"/>
              <w:marTop w:val="0"/>
              <w:marBottom w:val="0"/>
              <w:divBdr>
                <w:top w:val="none" w:sz="0" w:space="0" w:color="auto"/>
                <w:left w:val="none" w:sz="0" w:space="0" w:color="auto"/>
                <w:bottom w:val="none" w:sz="0" w:space="0" w:color="auto"/>
                <w:right w:val="none" w:sz="0" w:space="0" w:color="auto"/>
              </w:divBdr>
              <w:divsChild>
                <w:div w:id="16102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3460">
      <w:bodyDiv w:val="1"/>
      <w:marLeft w:val="0"/>
      <w:marRight w:val="0"/>
      <w:marTop w:val="0"/>
      <w:marBottom w:val="0"/>
      <w:divBdr>
        <w:top w:val="none" w:sz="0" w:space="0" w:color="auto"/>
        <w:left w:val="none" w:sz="0" w:space="0" w:color="auto"/>
        <w:bottom w:val="none" w:sz="0" w:space="0" w:color="auto"/>
        <w:right w:val="none" w:sz="0" w:space="0" w:color="auto"/>
      </w:divBdr>
    </w:div>
    <w:div w:id="162477941">
      <w:bodyDiv w:val="1"/>
      <w:marLeft w:val="0"/>
      <w:marRight w:val="0"/>
      <w:marTop w:val="0"/>
      <w:marBottom w:val="0"/>
      <w:divBdr>
        <w:top w:val="none" w:sz="0" w:space="0" w:color="auto"/>
        <w:left w:val="none" w:sz="0" w:space="0" w:color="auto"/>
        <w:bottom w:val="none" w:sz="0" w:space="0" w:color="auto"/>
        <w:right w:val="none" w:sz="0" w:space="0" w:color="auto"/>
      </w:divBdr>
    </w:div>
    <w:div w:id="190188958">
      <w:bodyDiv w:val="1"/>
      <w:marLeft w:val="0"/>
      <w:marRight w:val="0"/>
      <w:marTop w:val="0"/>
      <w:marBottom w:val="0"/>
      <w:divBdr>
        <w:top w:val="none" w:sz="0" w:space="0" w:color="auto"/>
        <w:left w:val="none" w:sz="0" w:space="0" w:color="auto"/>
        <w:bottom w:val="none" w:sz="0" w:space="0" w:color="auto"/>
        <w:right w:val="none" w:sz="0" w:space="0" w:color="auto"/>
      </w:divBdr>
    </w:div>
    <w:div w:id="240679637">
      <w:bodyDiv w:val="1"/>
      <w:marLeft w:val="0"/>
      <w:marRight w:val="0"/>
      <w:marTop w:val="0"/>
      <w:marBottom w:val="0"/>
      <w:divBdr>
        <w:top w:val="none" w:sz="0" w:space="0" w:color="auto"/>
        <w:left w:val="none" w:sz="0" w:space="0" w:color="auto"/>
        <w:bottom w:val="none" w:sz="0" w:space="0" w:color="auto"/>
        <w:right w:val="none" w:sz="0" w:space="0" w:color="auto"/>
      </w:divBdr>
    </w:div>
    <w:div w:id="241111751">
      <w:bodyDiv w:val="1"/>
      <w:marLeft w:val="0"/>
      <w:marRight w:val="0"/>
      <w:marTop w:val="0"/>
      <w:marBottom w:val="0"/>
      <w:divBdr>
        <w:top w:val="none" w:sz="0" w:space="0" w:color="auto"/>
        <w:left w:val="none" w:sz="0" w:space="0" w:color="auto"/>
        <w:bottom w:val="none" w:sz="0" w:space="0" w:color="auto"/>
        <w:right w:val="none" w:sz="0" w:space="0" w:color="auto"/>
      </w:divBdr>
    </w:div>
    <w:div w:id="251548699">
      <w:bodyDiv w:val="1"/>
      <w:marLeft w:val="0"/>
      <w:marRight w:val="0"/>
      <w:marTop w:val="0"/>
      <w:marBottom w:val="0"/>
      <w:divBdr>
        <w:top w:val="none" w:sz="0" w:space="0" w:color="auto"/>
        <w:left w:val="none" w:sz="0" w:space="0" w:color="auto"/>
        <w:bottom w:val="none" w:sz="0" w:space="0" w:color="auto"/>
        <w:right w:val="none" w:sz="0" w:space="0" w:color="auto"/>
      </w:divBdr>
    </w:div>
    <w:div w:id="335348745">
      <w:bodyDiv w:val="1"/>
      <w:marLeft w:val="0"/>
      <w:marRight w:val="0"/>
      <w:marTop w:val="0"/>
      <w:marBottom w:val="0"/>
      <w:divBdr>
        <w:top w:val="none" w:sz="0" w:space="0" w:color="auto"/>
        <w:left w:val="none" w:sz="0" w:space="0" w:color="auto"/>
        <w:bottom w:val="none" w:sz="0" w:space="0" w:color="auto"/>
        <w:right w:val="none" w:sz="0" w:space="0" w:color="auto"/>
      </w:divBdr>
    </w:div>
    <w:div w:id="375277542">
      <w:bodyDiv w:val="1"/>
      <w:marLeft w:val="0"/>
      <w:marRight w:val="0"/>
      <w:marTop w:val="0"/>
      <w:marBottom w:val="0"/>
      <w:divBdr>
        <w:top w:val="none" w:sz="0" w:space="0" w:color="auto"/>
        <w:left w:val="none" w:sz="0" w:space="0" w:color="auto"/>
        <w:bottom w:val="none" w:sz="0" w:space="0" w:color="auto"/>
        <w:right w:val="none" w:sz="0" w:space="0" w:color="auto"/>
      </w:divBdr>
    </w:div>
    <w:div w:id="380058555">
      <w:bodyDiv w:val="1"/>
      <w:marLeft w:val="0"/>
      <w:marRight w:val="0"/>
      <w:marTop w:val="0"/>
      <w:marBottom w:val="0"/>
      <w:divBdr>
        <w:top w:val="none" w:sz="0" w:space="0" w:color="auto"/>
        <w:left w:val="none" w:sz="0" w:space="0" w:color="auto"/>
        <w:bottom w:val="none" w:sz="0" w:space="0" w:color="auto"/>
        <w:right w:val="none" w:sz="0" w:space="0" w:color="auto"/>
      </w:divBdr>
    </w:div>
    <w:div w:id="451478262">
      <w:bodyDiv w:val="1"/>
      <w:marLeft w:val="0"/>
      <w:marRight w:val="0"/>
      <w:marTop w:val="0"/>
      <w:marBottom w:val="0"/>
      <w:divBdr>
        <w:top w:val="none" w:sz="0" w:space="0" w:color="auto"/>
        <w:left w:val="none" w:sz="0" w:space="0" w:color="auto"/>
        <w:bottom w:val="none" w:sz="0" w:space="0" w:color="auto"/>
        <w:right w:val="none" w:sz="0" w:space="0" w:color="auto"/>
      </w:divBdr>
    </w:div>
    <w:div w:id="456922710">
      <w:bodyDiv w:val="1"/>
      <w:marLeft w:val="0"/>
      <w:marRight w:val="0"/>
      <w:marTop w:val="0"/>
      <w:marBottom w:val="0"/>
      <w:divBdr>
        <w:top w:val="none" w:sz="0" w:space="0" w:color="auto"/>
        <w:left w:val="none" w:sz="0" w:space="0" w:color="auto"/>
        <w:bottom w:val="none" w:sz="0" w:space="0" w:color="auto"/>
        <w:right w:val="none" w:sz="0" w:space="0" w:color="auto"/>
      </w:divBdr>
    </w:div>
    <w:div w:id="495802662">
      <w:bodyDiv w:val="1"/>
      <w:marLeft w:val="0"/>
      <w:marRight w:val="0"/>
      <w:marTop w:val="0"/>
      <w:marBottom w:val="0"/>
      <w:divBdr>
        <w:top w:val="none" w:sz="0" w:space="0" w:color="auto"/>
        <w:left w:val="none" w:sz="0" w:space="0" w:color="auto"/>
        <w:bottom w:val="none" w:sz="0" w:space="0" w:color="auto"/>
        <w:right w:val="none" w:sz="0" w:space="0" w:color="auto"/>
      </w:divBdr>
    </w:div>
    <w:div w:id="517473373">
      <w:bodyDiv w:val="1"/>
      <w:marLeft w:val="0"/>
      <w:marRight w:val="0"/>
      <w:marTop w:val="0"/>
      <w:marBottom w:val="0"/>
      <w:divBdr>
        <w:top w:val="none" w:sz="0" w:space="0" w:color="auto"/>
        <w:left w:val="none" w:sz="0" w:space="0" w:color="auto"/>
        <w:bottom w:val="none" w:sz="0" w:space="0" w:color="auto"/>
        <w:right w:val="none" w:sz="0" w:space="0" w:color="auto"/>
      </w:divBdr>
      <w:divsChild>
        <w:div w:id="111367408">
          <w:marLeft w:val="0"/>
          <w:marRight w:val="0"/>
          <w:marTop w:val="0"/>
          <w:marBottom w:val="255"/>
          <w:divBdr>
            <w:top w:val="none" w:sz="0" w:space="0" w:color="auto"/>
            <w:left w:val="none" w:sz="0" w:space="0" w:color="auto"/>
            <w:bottom w:val="none" w:sz="0" w:space="0" w:color="auto"/>
            <w:right w:val="none" w:sz="0" w:space="0" w:color="auto"/>
          </w:divBdr>
          <w:divsChild>
            <w:div w:id="221257667">
              <w:marLeft w:val="0"/>
              <w:marRight w:val="0"/>
              <w:marTop w:val="0"/>
              <w:marBottom w:val="0"/>
              <w:divBdr>
                <w:top w:val="none" w:sz="0" w:space="0" w:color="auto"/>
                <w:left w:val="none" w:sz="0" w:space="0" w:color="auto"/>
                <w:bottom w:val="none" w:sz="0" w:space="0" w:color="auto"/>
                <w:right w:val="none" w:sz="0" w:space="0" w:color="auto"/>
              </w:divBdr>
              <w:divsChild>
                <w:div w:id="1418943968">
                  <w:marLeft w:val="0"/>
                  <w:marRight w:val="0"/>
                  <w:marTop w:val="0"/>
                  <w:marBottom w:val="0"/>
                  <w:divBdr>
                    <w:top w:val="none" w:sz="0" w:space="0" w:color="auto"/>
                    <w:left w:val="none" w:sz="0" w:space="0" w:color="auto"/>
                    <w:bottom w:val="none" w:sz="0" w:space="0" w:color="auto"/>
                    <w:right w:val="none" w:sz="0" w:space="0" w:color="auto"/>
                  </w:divBdr>
                  <w:divsChild>
                    <w:div w:id="150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99167">
      <w:bodyDiv w:val="1"/>
      <w:marLeft w:val="0"/>
      <w:marRight w:val="0"/>
      <w:marTop w:val="0"/>
      <w:marBottom w:val="0"/>
      <w:divBdr>
        <w:top w:val="none" w:sz="0" w:space="0" w:color="auto"/>
        <w:left w:val="none" w:sz="0" w:space="0" w:color="auto"/>
        <w:bottom w:val="none" w:sz="0" w:space="0" w:color="auto"/>
        <w:right w:val="none" w:sz="0" w:space="0" w:color="auto"/>
      </w:divBdr>
    </w:div>
    <w:div w:id="560482837">
      <w:bodyDiv w:val="1"/>
      <w:marLeft w:val="0"/>
      <w:marRight w:val="0"/>
      <w:marTop w:val="0"/>
      <w:marBottom w:val="0"/>
      <w:divBdr>
        <w:top w:val="none" w:sz="0" w:space="0" w:color="auto"/>
        <w:left w:val="none" w:sz="0" w:space="0" w:color="auto"/>
        <w:bottom w:val="none" w:sz="0" w:space="0" w:color="auto"/>
        <w:right w:val="none" w:sz="0" w:space="0" w:color="auto"/>
      </w:divBdr>
    </w:div>
    <w:div w:id="588664137">
      <w:bodyDiv w:val="1"/>
      <w:marLeft w:val="0"/>
      <w:marRight w:val="0"/>
      <w:marTop w:val="0"/>
      <w:marBottom w:val="0"/>
      <w:divBdr>
        <w:top w:val="none" w:sz="0" w:space="0" w:color="auto"/>
        <w:left w:val="none" w:sz="0" w:space="0" w:color="auto"/>
        <w:bottom w:val="none" w:sz="0" w:space="0" w:color="auto"/>
        <w:right w:val="none" w:sz="0" w:space="0" w:color="auto"/>
      </w:divBdr>
    </w:div>
    <w:div w:id="618679354">
      <w:bodyDiv w:val="1"/>
      <w:marLeft w:val="0"/>
      <w:marRight w:val="0"/>
      <w:marTop w:val="0"/>
      <w:marBottom w:val="0"/>
      <w:divBdr>
        <w:top w:val="none" w:sz="0" w:space="0" w:color="auto"/>
        <w:left w:val="none" w:sz="0" w:space="0" w:color="auto"/>
        <w:bottom w:val="none" w:sz="0" w:space="0" w:color="auto"/>
        <w:right w:val="none" w:sz="0" w:space="0" w:color="auto"/>
      </w:divBdr>
    </w:div>
    <w:div w:id="643774297">
      <w:bodyDiv w:val="1"/>
      <w:marLeft w:val="0"/>
      <w:marRight w:val="0"/>
      <w:marTop w:val="0"/>
      <w:marBottom w:val="0"/>
      <w:divBdr>
        <w:top w:val="none" w:sz="0" w:space="0" w:color="auto"/>
        <w:left w:val="none" w:sz="0" w:space="0" w:color="auto"/>
        <w:bottom w:val="none" w:sz="0" w:space="0" w:color="auto"/>
        <w:right w:val="none" w:sz="0" w:space="0" w:color="auto"/>
      </w:divBdr>
    </w:div>
    <w:div w:id="664357061">
      <w:bodyDiv w:val="1"/>
      <w:marLeft w:val="0"/>
      <w:marRight w:val="0"/>
      <w:marTop w:val="0"/>
      <w:marBottom w:val="0"/>
      <w:divBdr>
        <w:top w:val="none" w:sz="0" w:space="0" w:color="auto"/>
        <w:left w:val="none" w:sz="0" w:space="0" w:color="auto"/>
        <w:bottom w:val="none" w:sz="0" w:space="0" w:color="auto"/>
        <w:right w:val="none" w:sz="0" w:space="0" w:color="auto"/>
      </w:divBdr>
    </w:div>
    <w:div w:id="675155093">
      <w:bodyDiv w:val="1"/>
      <w:marLeft w:val="0"/>
      <w:marRight w:val="0"/>
      <w:marTop w:val="0"/>
      <w:marBottom w:val="0"/>
      <w:divBdr>
        <w:top w:val="none" w:sz="0" w:space="0" w:color="auto"/>
        <w:left w:val="none" w:sz="0" w:space="0" w:color="auto"/>
        <w:bottom w:val="none" w:sz="0" w:space="0" w:color="auto"/>
        <w:right w:val="none" w:sz="0" w:space="0" w:color="auto"/>
      </w:divBdr>
    </w:div>
    <w:div w:id="707530236">
      <w:bodyDiv w:val="1"/>
      <w:marLeft w:val="0"/>
      <w:marRight w:val="0"/>
      <w:marTop w:val="0"/>
      <w:marBottom w:val="0"/>
      <w:divBdr>
        <w:top w:val="none" w:sz="0" w:space="0" w:color="auto"/>
        <w:left w:val="none" w:sz="0" w:space="0" w:color="auto"/>
        <w:bottom w:val="none" w:sz="0" w:space="0" w:color="auto"/>
        <w:right w:val="none" w:sz="0" w:space="0" w:color="auto"/>
      </w:divBdr>
    </w:div>
    <w:div w:id="764421444">
      <w:bodyDiv w:val="1"/>
      <w:marLeft w:val="0"/>
      <w:marRight w:val="0"/>
      <w:marTop w:val="0"/>
      <w:marBottom w:val="0"/>
      <w:divBdr>
        <w:top w:val="none" w:sz="0" w:space="0" w:color="auto"/>
        <w:left w:val="none" w:sz="0" w:space="0" w:color="auto"/>
        <w:bottom w:val="none" w:sz="0" w:space="0" w:color="auto"/>
        <w:right w:val="none" w:sz="0" w:space="0" w:color="auto"/>
      </w:divBdr>
    </w:div>
    <w:div w:id="773130605">
      <w:bodyDiv w:val="1"/>
      <w:marLeft w:val="0"/>
      <w:marRight w:val="0"/>
      <w:marTop w:val="0"/>
      <w:marBottom w:val="0"/>
      <w:divBdr>
        <w:top w:val="none" w:sz="0" w:space="0" w:color="auto"/>
        <w:left w:val="none" w:sz="0" w:space="0" w:color="auto"/>
        <w:bottom w:val="none" w:sz="0" w:space="0" w:color="auto"/>
        <w:right w:val="none" w:sz="0" w:space="0" w:color="auto"/>
      </w:divBdr>
    </w:div>
    <w:div w:id="799108975">
      <w:bodyDiv w:val="1"/>
      <w:marLeft w:val="0"/>
      <w:marRight w:val="0"/>
      <w:marTop w:val="0"/>
      <w:marBottom w:val="0"/>
      <w:divBdr>
        <w:top w:val="none" w:sz="0" w:space="0" w:color="auto"/>
        <w:left w:val="none" w:sz="0" w:space="0" w:color="auto"/>
        <w:bottom w:val="none" w:sz="0" w:space="0" w:color="auto"/>
        <w:right w:val="none" w:sz="0" w:space="0" w:color="auto"/>
      </w:divBdr>
    </w:div>
    <w:div w:id="807474684">
      <w:bodyDiv w:val="1"/>
      <w:marLeft w:val="0"/>
      <w:marRight w:val="0"/>
      <w:marTop w:val="0"/>
      <w:marBottom w:val="0"/>
      <w:divBdr>
        <w:top w:val="none" w:sz="0" w:space="0" w:color="auto"/>
        <w:left w:val="none" w:sz="0" w:space="0" w:color="auto"/>
        <w:bottom w:val="none" w:sz="0" w:space="0" w:color="auto"/>
        <w:right w:val="none" w:sz="0" w:space="0" w:color="auto"/>
      </w:divBdr>
      <w:divsChild>
        <w:div w:id="145243255">
          <w:marLeft w:val="0"/>
          <w:marRight w:val="0"/>
          <w:marTop w:val="0"/>
          <w:marBottom w:val="0"/>
          <w:divBdr>
            <w:top w:val="none" w:sz="0" w:space="0" w:color="auto"/>
            <w:left w:val="none" w:sz="0" w:space="0" w:color="auto"/>
            <w:bottom w:val="none" w:sz="0" w:space="0" w:color="auto"/>
            <w:right w:val="none" w:sz="0" w:space="0" w:color="auto"/>
          </w:divBdr>
          <w:divsChild>
            <w:div w:id="1683705918">
              <w:marLeft w:val="-75"/>
              <w:marRight w:val="0"/>
              <w:marTop w:val="30"/>
              <w:marBottom w:val="30"/>
              <w:divBdr>
                <w:top w:val="none" w:sz="0" w:space="0" w:color="auto"/>
                <w:left w:val="none" w:sz="0" w:space="0" w:color="auto"/>
                <w:bottom w:val="none" w:sz="0" w:space="0" w:color="auto"/>
                <w:right w:val="none" w:sz="0" w:space="0" w:color="auto"/>
              </w:divBdr>
              <w:divsChild>
                <w:div w:id="9260043">
                  <w:marLeft w:val="0"/>
                  <w:marRight w:val="0"/>
                  <w:marTop w:val="0"/>
                  <w:marBottom w:val="0"/>
                  <w:divBdr>
                    <w:top w:val="none" w:sz="0" w:space="0" w:color="auto"/>
                    <w:left w:val="none" w:sz="0" w:space="0" w:color="auto"/>
                    <w:bottom w:val="none" w:sz="0" w:space="0" w:color="auto"/>
                    <w:right w:val="none" w:sz="0" w:space="0" w:color="auto"/>
                  </w:divBdr>
                  <w:divsChild>
                    <w:div w:id="1285817327">
                      <w:marLeft w:val="0"/>
                      <w:marRight w:val="0"/>
                      <w:marTop w:val="0"/>
                      <w:marBottom w:val="0"/>
                      <w:divBdr>
                        <w:top w:val="none" w:sz="0" w:space="0" w:color="auto"/>
                        <w:left w:val="none" w:sz="0" w:space="0" w:color="auto"/>
                        <w:bottom w:val="none" w:sz="0" w:space="0" w:color="auto"/>
                        <w:right w:val="none" w:sz="0" w:space="0" w:color="auto"/>
                      </w:divBdr>
                    </w:div>
                    <w:div w:id="1848716942">
                      <w:marLeft w:val="0"/>
                      <w:marRight w:val="0"/>
                      <w:marTop w:val="0"/>
                      <w:marBottom w:val="0"/>
                      <w:divBdr>
                        <w:top w:val="none" w:sz="0" w:space="0" w:color="auto"/>
                        <w:left w:val="none" w:sz="0" w:space="0" w:color="auto"/>
                        <w:bottom w:val="none" w:sz="0" w:space="0" w:color="auto"/>
                        <w:right w:val="none" w:sz="0" w:space="0" w:color="auto"/>
                      </w:divBdr>
                    </w:div>
                  </w:divsChild>
                </w:div>
                <w:div w:id="25562637">
                  <w:marLeft w:val="0"/>
                  <w:marRight w:val="0"/>
                  <w:marTop w:val="0"/>
                  <w:marBottom w:val="0"/>
                  <w:divBdr>
                    <w:top w:val="none" w:sz="0" w:space="0" w:color="auto"/>
                    <w:left w:val="none" w:sz="0" w:space="0" w:color="auto"/>
                    <w:bottom w:val="none" w:sz="0" w:space="0" w:color="auto"/>
                    <w:right w:val="none" w:sz="0" w:space="0" w:color="auto"/>
                  </w:divBdr>
                  <w:divsChild>
                    <w:div w:id="1744066116">
                      <w:marLeft w:val="0"/>
                      <w:marRight w:val="0"/>
                      <w:marTop w:val="0"/>
                      <w:marBottom w:val="0"/>
                      <w:divBdr>
                        <w:top w:val="none" w:sz="0" w:space="0" w:color="auto"/>
                        <w:left w:val="none" w:sz="0" w:space="0" w:color="auto"/>
                        <w:bottom w:val="none" w:sz="0" w:space="0" w:color="auto"/>
                        <w:right w:val="none" w:sz="0" w:space="0" w:color="auto"/>
                      </w:divBdr>
                    </w:div>
                    <w:div w:id="2037341003">
                      <w:marLeft w:val="0"/>
                      <w:marRight w:val="0"/>
                      <w:marTop w:val="0"/>
                      <w:marBottom w:val="0"/>
                      <w:divBdr>
                        <w:top w:val="none" w:sz="0" w:space="0" w:color="auto"/>
                        <w:left w:val="none" w:sz="0" w:space="0" w:color="auto"/>
                        <w:bottom w:val="none" w:sz="0" w:space="0" w:color="auto"/>
                        <w:right w:val="none" w:sz="0" w:space="0" w:color="auto"/>
                      </w:divBdr>
                    </w:div>
                  </w:divsChild>
                </w:div>
                <w:div w:id="37778850">
                  <w:marLeft w:val="0"/>
                  <w:marRight w:val="0"/>
                  <w:marTop w:val="0"/>
                  <w:marBottom w:val="0"/>
                  <w:divBdr>
                    <w:top w:val="none" w:sz="0" w:space="0" w:color="auto"/>
                    <w:left w:val="none" w:sz="0" w:space="0" w:color="auto"/>
                    <w:bottom w:val="none" w:sz="0" w:space="0" w:color="auto"/>
                    <w:right w:val="none" w:sz="0" w:space="0" w:color="auto"/>
                  </w:divBdr>
                  <w:divsChild>
                    <w:div w:id="1364405808">
                      <w:marLeft w:val="0"/>
                      <w:marRight w:val="0"/>
                      <w:marTop w:val="0"/>
                      <w:marBottom w:val="0"/>
                      <w:divBdr>
                        <w:top w:val="none" w:sz="0" w:space="0" w:color="auto"/>
                        <w:left w:val="none" w:sz="0" w:space="0" w:color="auto"/>
                        <w:bottom w:val="none" w:sz="0" w:space="0" w:color="auto"/>
                        <w:right w:val="none" w:sz="0" w:space="0" w:color="auto"/>
                      </w:divBdr>
                    </w:div>
                  </w:divsChild>
                </w:div>
                <w:div w:id="38014866">
                  <w:marLeft w:val="0"/>
                  <w:marRight w:val="0"/>
                  <w:marTop w:val="0"/>
                  <w:marBottom w:val="0"/>
                  <w:divBdr>
                    <w:top w:val="none" w:sz="0" w:space="0" w:color="auto"/>
                    <w:left w:val="none" w:sz="0" w:space="0" w:color="auto"/>
                    <w:bottom w:val="none" w:sz="0" w:space="0" w:color="auto"/>
                    <w:right w:val="none" w:sz="0" w:space="0" w:color="auto"/>
                  </w:divBdr>
                  <w:divsChild>
                    <w:div w:id="16003159">
                      <w:marLeft w:val="0"/>
                      <w:marRight w:val="0"/>
                      <w:marTop w:val="0"/>
                      <w:marBottom w:val="0"/>
                      <w:divBdr>
                        <w:top w:val="none" w:sz="0" w:space="0" w:color="auto"/>
                        <w:left w:val="none" w:sz="0" w:space="0" w:color="auto"/>
                        <w:bottom w:val="none" w:sz="0" w:space="0" w:color="auto"/>
                        <w:right w:val="none" w:sz="0" w:space="0" w:color="auto"/>
                      </w:divBdr>
                    </w:div>
                  </w:divsChild>
                </w:div>
                <w:div w:id="52699280">
                  <w:marLeft w:val="0"/>
                  <w:marRight w:val="0"/>
                  <w:marTop w:val="0"/>
                  <w:marBottom w:val="0"/>
                  <w:divBdr>
                    <w:top w:val="none" w:sz="0" w:space="0" w:color="auto"/>
                    <w:left w:val="none" w:sz="0" w:space="0" w:color="auto"/>
                    <w:bottom w:val="none" w:sz="0" w:space="0" w:color="auto"/>
                    <w:right w:val="none" w:sz="0" w:space="0" w:color="auto"/>
                  </w:divBdr>
                  <w:divsChild>
                    <w:div w:id="15663714">
                      <w:marLeft w:val="0"/>
                      <w:marRight w:val="0"/>
                      <w:marTop w:val="0"/>
                      <w:marBottom w:val="0"/>
                      <w:divBdr>
                        <w:top w:val="none" w:sz="0" w:space="0" w:color="auto"/>
                        <w:left w:val="none" w:sz="0" w:space="0" w:color="auto"/>
                        <w:bottom w:val="none" w:sz="0" w:space="0" w:color="auto"/>
                        <w:right w:val="none" w:sz="0" w:space="0" w:color="auto"/>
                      </w:divBdr>
                    </w:div>
                  </w:divsChild>
                </w:div>
                <w:div w:id="63070921">
                  <w:marLeft w:val="0"/>
                  <w:marRight w:val="0"/>
                  <w:marTop w:val="0"/>
                  <w:marBottom w:val="0"/>
                  <w:divBdr>
                    <w:top w:val="none" w:sz="0" w:space="0" w:color="auto"/>
                    <w:left w:val="none" w:sz="0" w:space="0" w:color="auto"/>
                    <w:bottom w:val="none" w:sz="0" w:space="0" w:color="auto"/>
                    <w:right w:val="none" w:sz="0" w:space="0" w:color="auto"/>
                  </w:divBdr>
                  <w:divsChild>
                    <w:div w:id="1345399688">
                      <w:marLeft w:val="0"/>
                      <w:marRight w:val="0"/>
                      <w:marTop w:val="0"/>
                      <w:marBottom w:val="0"/>
                      <w:divBdr>
                        <w:top w:val="none" w:sz="0" w:space="0" w:color="auto"/>
                        <w:left w:val="none" w:sz="0" w:space="0" w:color="auto"/>
                        <w:bottom w:val="none" w:sz="0" w:space="0" w:color="auto"/>
                        <w:right w:val="none" w:sz="0" w:space="0" w:color="auto"/>
                      </w:divBdr>
                    </w:div>
                  </w:divsChild>
                </w:div>
                <w:div w:id="66731237">
                  <w:marLeft w:val="0"/>
                  <w:marRight w:val="0"/>
                  <w:marTop w:val="0"/>
                  <w:marBottom w:val="0"/>
                  <w:divBdr>
                    <w:top w:val="none" w:sz="0" w:space="0" w:color="auto"/>
                    <w:left w:val="none" w:sz="0" w:space="0" w:color="auto"/>
                    <w:bottom w:val="none" w:sz="0" w:space="0" w:color="auto"/>
                    <w:right w:val="none" w:sz="0" w:space="0" w:color="auto"/>
                  </w:divBdr>
                  <w:divsChild>
                    <w:div w:id="613173043">
                      <w:marLeft w:val="0"/>
                      <w:marRight w:val="0"/>
                      <w:marTop w:val="0"/>
                      <w:marBottom w:val="0"/>
                      <w:divBdr>
                        <w:top w:val="none" w:sz="0" w:space="0" w:color="auto"/>
                        <w:left w:val="none" w:sz="0" w:space="0" w:color="auto"/>
                        <w:bottom w:val="none" w:sz="0" w:space="0" w:color="auto"/>
                        <w:right w:val="none" w:sz="0" w:space="0" w:color="auto"/>
                      </w:divBdr>
                    </w:div>
                  </w:divsChild>
                </w:div>
                <w:div w:id="99686973">
                  <w:marLeft w:val="0"/>
                  <w:marRight w:val="0"/>
                  <w:marTop w:val="0"/>
                  <w:marBottom w:val="0"/>
                  <w:divBdr>
                    <w:top w:val="none" w:sz="0" w:space="0" w:color="auto"/>
                    <w:left w:val="none" w:sz="0" w:space="0" w:color="auto"/>
                    <w:bottom w:val="none" w:sz="0" w:space="0" w:color="auto"/>
                    <w:right w:val="none" w:sz="0" w:space="0" w:color="auto"/>
                  </w:divBdr>
                  <w:divsChild>
                    <w:div w:id="1591550378">
                      <w:marLeft w:val="0"/>
                      <w:marRight w:val="0"/>
                      <w:marTop w:val="0"/>
                      <w:marBottom w:val="0"/>
                      <w:divBdr>
                        <w:top w:val="none" w:sz="0" w:space="0" w:color="auto"/>
                        <w:left w:val="none" w:sz="0" w:space="0" w:color="auto"/>
                        <w:bottom w:val="none" w:sz="0" w:space="0" w:color="auto"/>
                        <w:right w:val="none" w:sz="0" w:space="0" w:color="auto"/>
                      </w:divBdr>
                    </w:div>
                  </w:divsChild>
                </w:div>
                <w:div w:id="134177637">
                  <w:marLeft w:val="0"/>
                  <w:marRight w:val="0"/>
                  <w:marTop w:val="0"/>
                  <w:marBottom w:val="0"/>
                  <w:divBdr>
                    <w:top w:val="none" w:sz="0" w:space="0" w:color="auto"/>
                    <w:left w:val="none" w:sz="0" w:space="0" w:color="auto"/>
                    <w:bottom w:val="none" w:sz="0" w:space="0" w:color="auto"/>
                    <w:right w:val="none" w:sz="0" w:space="0" w:color="auto"/>
                  </w:divBdr>
                  <w:divsChild>
                    <w:div w:id="723407717">
                      <w:marLeft w:val="0"/>
                      <w:marRight w:val="0"/>
                      <w:marTop w:val="0"/>
                      <w:marBottom w:val="0"/>
                      <w:divBdr>
                        <w:top w:val="none" w:sz="0" w:space="0" w:color="auto"/>
                        <w:left w:val="none" w:sz="0" w:space="0" w:color="auto"/>
                        <w:bottom w:val="none" w:sz="0" w:space="0" w:color="auto"/>
                        <w:right w:val="none" w:sz="0" w:space="0" w:color="auto"/>
                      </w:divBdr>
                    </w:div>
                    <w:div w:id="1570729788">
                      <w:marLeft w:val="0"/>
                      <w:marRight w:val="0"/>
                      <w:marTop w:val="0"/>
                      <w:marBottom w:val="0"/>
                      <w:divBdr>
                        <w:top w:val="none" w:sz="0" w:space="0" w:color="auto"/>
                        <w:left w:val="none" w:sz="0" w:space="0" w:color="auto"/>
                        <w:bottom w:val="none" w:sz="0" w:space="0" w:color="auto"/>
                        <w:right w:val="none" w:sz="0" w:space="0" w:color="auto"/>
                      </w:divBdr>
                    </w:div>
                  </w:divsChild>
                </w:div>
                <w:div w:id="156577803">
                  <w:marLeft w:val="0"/>
                  <w:marRight w:val="0"/>
                  <w:marTop w:val="0"/>
                  <w:marBottom w:val="0"/>
                  <w:divBdr>
                    <w:top w:val="none" w:sz="0" w:space="0" w:color="auto"/>
                    <w:left w:val="none" w:sz="0" w:space="0" w:color="auto"/>
                    <w:bottom w:val="none" w:sz="0" w:space="0" w:color="auto"/>
                    <w:right w:val="none" w:sz="0" w:space="0" w:color="auto"/>
                  </w:divBdr>
                  <w:divsChild>
                    <w:div w:id="1744256068">
                      <w:marLeft w:val="0"/>
                      <w:marRight w:val="0"/>
                      <w:marTop w:val="0"/>
                      <w:marBottom w:val="0"/>
                      <w:divBdr>
                        <w:top w:val="none" w:sz="0" w:space="0" w:color="auto"/>
                        <w:left w:val="none" w:sz="0" w:space="0" w:color="auto"/>
                        <w:bottom w:val="none" w:sz="0" w:space="0" w:color="auto"/>
                        <w:right w:val="none" w:sz="0" w:space="0" w:color="auto"/>
                      </w:divBdr>
                    </w:div>
                  </w:divsChild>
                </w:div>
                <w:div w:id="173960827">
                  <w:marLeft w:val="0"/>
                  <w:marRight w:val="0"/>
                  <w:marTop w:val="0"/>
                  <w:marBottom w:val="0"/>
                  <w:divBdr>
                    <w:top w:val="none" w:sz="0" w:space="0" w:color="auto"/>
                    <w:left w:val="none" w:sz="0" w:space="0" w:color="auto"/>
                    <w:bottom w:val="none" w:sz="0" w:space="0" w:color="auto"/>
                    <w:right w:val="none" w:sz="0" w:space="0" w:color="auto"/>
                  </w:divBdr>
                  <w:divsChild>
                    <w:div w:id="1646739064">
                      <w:marLeft w:val="0"/>
                      <w:marRight w:val="0"/>
                      <w:marTop w:val="0"/>
                      <w:marBottom w:val="0"/>
                      <w:divBdr>
                        <w:top w:val="none" w:sz="0" w:space="0" w:color="auto"/>
                        <w:left w:val="none" w:sz="0" w:space="0" w:color="auto"/>
                        <w:bottom w:val="none" w:sz="0" w:space="0" w:color="auto"/>
                        <w:right w:val="none" w:sz="0" w:space="0" w:color="auto"/>
                      </w:divBdr>
                    </w:div>
                  </w:divsChild>
                </w:div>
                <w:div w:id="180433459">
                  <w:marLeft w:val="0"/>
                  <w:marRight w:val="0"/>
                  <w:marTop w:val="0"/>
                  <w:marBottom w:val="0"/>
                  <w:divBdr>
                    <w:top w:val="none" w:sz="0" w:space="0" w:color="auto"/>
                    <w:left w:val="none" w:sz="0" w:space="0" w:color="auto"/>
                    <w:bottom w:val="none" w:sz="0" w:space="0" w:color="auto"/>
                    <w:right w:val="none" w:sz="0" w:space="0" w:color="auto"/>
                  </w:divBdr>
                  <w:divsChild>
                    <w:div w:id="1490557720">
                      <w:marLeft w:val="0"/>
                      <w:marRight w:val="0"/>
                      <w:marTop w:val="0"/>
                      <w:marBottom w:val="0"/>
                      <w:divBdr>
                        <w:top w:val="none" w:sz="0" w:space="0" w:color="auto"/>
                        <w:left w:val="none" w:sz="0" w:space="0" w:color="auto"/>
                        <w:bottom w:val="none" w:sz="0" w:space="0" w:color="auto"/>
                        <w:right w:val="none" w:sz="0" w:space="0" w:color="auto"/>
                      </w:divBdr>
                    </w:div>
                  </w:divsChild>
                </w:div>
                <w:div w:id="260382644">
                  <w:marLeft w:val="0"/>
                  <w:marRight w:val="0"/>
                  <w:marTop w:val="0"/>
                  <w:marBottom w:val="0"/>
                  <w:divBdr>
                    <w:top w:val="none" w:sz="0" w:space="0" w:color="auto"/>
                    <w:left w:val="none" w:sz="0" w:space="0" w:color="auto"/>
                    <w:bottom w:val="none" w:sz="0" w:space="0" w:color="auto"/>
                    <w:right w:val="none" w:sz="0" w:space="0" w:color="auto"/>
                  </w:divBdr>
                  <w:divsChild>
                    <w:div w:id="1178691225">
                      <w:marLeft w:val="0"/>
                      <w:marRight w:val="0"/>
                      <w:marTop w:val="0"/>
                      <w:marBottom w:val="0"/>
                      <w:divBdr>
                        <w:top w:val="none" w:sz="0" w:space="0" w:color="auto"/>
                        <w:left w:val="none" w:sz="0" w:space="0" w:color="auto"/>
                        <w:bottom w:val="none" w:sz="0" w:space="0" w:color="auto"/>
                        <w:right w:val="none" w:sz="0" w:space="0" w:color="auto"/>
                      </w:divBdr>
                    </w:div>
                  </w:divsChild>
                </w:div>
                <w:div w:id="303514036">
                  <w:marLeft w:val="0"/>
                  <w:marRight w:val="0"/>
                  <w:marTop w:val="0"/>
                  <w:marBottom w:val="0"/>
                  <w:divBdr>
                    <w:top w:val="none" w:sz="0" w:space="0" w:color="auto"/>
                    <w:left w:val="none" w:sz="0" w:space="0" w:color="auto"/>
                    <w:bottom w:val="none" w:sz="0" w:space="0" w:color="auto"/>
                    <w:right w:val="none" w:sz="0" w:space="0" w:color="auto"/>
                  </w:divBdr>
                  <w:divsChild>
                    <w:div w:id="854418735">
                      <w:marLeft w:val="0"/>
                      <w:marRight w:val="0"/>
                      <w:marTop w:val="0"/>
                      <w:marBottom w:val="0"/>
                      <w:divBdr>
                        <w:top w:val="none" w:sz="0" w:space="0" w:color="auto"/>
                        <w:left w:val="none" w:sz="0" w:space="0" w:color="auto"/>
                        <w:bottom w:val="none" w:sz="0" w:space="0" w:color="auto"/>
                        <w:right w:val="none" w:sz="0" w:space="0" w:color="auto"/>
                      </w:divBdr>
                    </w:div>
                    <w:div w:id="1438258054">
                      <w:marLeft w:val="0"/>
                      <w:marRight w:val="0"/>
                      <w:marTop w:val="0"/>
                      <w:marBottom w:val="0"/>
                      <w:divBdr>
                        <w:top w:val="none" w:sz="0" w:space="0" w:color="auto"/>
                        <w:left w:val="none" w:sz="0" w:space="0" w:color="auto"/>
                        <w:bottom w:val="none" w:sz="0" w:space="0" w:color="auto"/>
                        <w:right w:val="none" w:sz="0" w:space="0" w:color="auto"/>
                      </w:divBdr>
                    </w:div>
                  </w:divsChild>
                </w:div>
                <w:div w:id="322709624">
                  <w:marLeft w:val="0"/>
                  <w:marRight w:val="0"/>
                  <w:marTop w:val="0"/>
                  <w:marBottom w:val="0"/>
                  <w:divBdr>
                    <w:top w:val="none" w:sz="0" w:space="0" w:color="auto"/>
                    <w:left w:val="none" w:sz="0" w:space="0" w:color="auto"/>
                    <w:bottom w:val="none" w:sz="0" w:space="0" w:color="auto"/>
                    <w:right w:val="none" w:sz="0" w:space="0" w:color="auto"/>
                  </w:divBdr>
                  <w:divsChild>
                    <w:div w:id="875392038">
                      <w:marLeft w:val="0"/>
                      <w:marRight w:val="0"/>
                      <w:marTop w:val="0"/>
                      <w:marBottom w:val="0"/>
                      <w:divBdr>
                        <w:top w:val="none" w:sz="0" w:space="0" w:color="auto"/>
                        <w:left w:val="none" w:sz="0" w:space="0" w:color="auto"/>
                        <w:bottom w:val="none" w:sz="0" w:space="0" w:color="auto"/>
                        <w:right w:val="none" w:sz="0" w:space="0" w:color="auto"/>
                      </w:divBdr>
                    </w:div>
                  </w:divsChild>
                </w:div>
                <w:div w:id="334236195">
                  <w:marLeft w:val="0"/>
                  <w:marRight w:val="0"/>
                  <w:marTop w:val="0"/>
                  <w:marBottom w:val="0"/>
                  <w:divBdr>
                    <w:top w:val="none" w:sz="0" w:space="0" w:color="auto"/>
                    <w:left w:val="none" w:sz="0" w:space="0" w:color="auto"/>
                    <w:bottom w:val="none" w:sz="0" w:space="0" w:color="auto"/>
                    <w:right w:val="none" w:sz="0" w:space="0" w:color="auto"/>
                  </w:divBdr>
                  <w:divsChild>
                    <w:div w:id="87121587">
                      <w:marLeft w:val="0"/>
                      <w:marRight w:val="0"/>
                      <w:marTop w:val="0"/>
                      <w:marBottom w:val="0"/>
                      <w:divBdr>
                        <w:top w:val="none" w:sz="0" w:space="0" w:color="auto"/>
                        <w:left w:val="none" w:sz="0" w:space="0" w:color="auto"/>
                        <w:bottom w:val="none" w:sz="0" w:space="0" w:color="auto"/>
                        <w:right w:val="none" w:sz="0" w:space="0" w:color="auto"/>
                      </w:divBdr>
                    </w:div>
                    <w:div w:id="369301519">
                      <w:marLeft w:val="0"/>
                      <w:marRight w:val="0"/>
                      <w:marTop w:val="0"/>
                      <w:marBottom w:val="0"/>
                      <w:divBdr>
                        <w:top w:val="none" w:sz="0" w:space="0" w:color="auto"/>
                        <w:left w:val="none" w:sz="0" w:space="0" w:color="auto"/>
                        <w:bottom w:val="none" w:sz="0" w:space="0" w:color="auto"/>
                        <w:right w:val="none" w:sz="0" w:space="0" w:color="auto"/>
                      </w:divBdr>
                    </w:div>
                  </w:divsChild>
                </w:div>
                <w:div w:id="362830509">
                  <w:marLeft w:val="0"/>
                  <w:marRight w:val="0"/>
                  <w:marTop w:val="0"/>
                  <w:marBottom w:val="0"/>
                  <w:divBdr>
                    <w:top w:val="none" w:sz="0" w:space="0" w:color="auto"/>
                    <w:left w:val="none" w:sz="0" w:space="0" w:color="auto"/>
                    <w:bottom w:val="none" w:sz="0" w:space="0" w:color="auto"/>
                    <w:right w:val="none" w:sz="0" w:space="0" w:color="auto"/>
                  </w:divBdr>
                  <w:divsChild>
                    <w:div w:id="914514261">
                      <w:marLeft w:val="0"/>
                      <w:marRight w:val="0"/>
                      <w:marTop w:val="0"/>
                      <w:marBottom w:val="0"/>
                      <w:divBdr>
                        <w:top w:val="none" w:sz="0" w:space="0" w:color="auto"/>
                        <w:left w:val="none" w:sz="0" w:space="0" w:color="auto"/>
                        <w:bottom w:val="none" w:sz="0" w:space="0" w:color="auto"/>
                        <w:right w:val="none" w:sz="0" w:space="0" w:color="auto"/>
                      </w:divBdr>
                    </w:div>
                  </w:divsChild>
                </w:div>
                <w:div w:id="488711027">
                  <w:marLeft w:val="0"/>
                  <w:marRight w:val="0"/>
                  <w:marTop w:val="0"/>
                  <w:marBottom w:val="0"/>
                  <w:divBdr>
                    <w:top w:val="none" w:sz="0" w:space="0" w:color="auto"/>
                    <w:left w:val="none" w:sz="0" w:space="0" w:color="auto"/>
                    <w:bottom w:val="none" w:sz="0" w:space="0" w:color="auto"/>
                    <w:right w:val="none" w:sz="0" w:space="0" w:color="auto"/>
                  </w:divBdr>
                  <w:divsChild>
                    <w:div w:id="481580142">
                      <w:marLeft w:val="0"/>
                      <w:marRight w:val="0"/>
                      <w:marTop w:val="0"/>
                      <w:marBottom w:val="0"/>
                      <w:divBdr>
                        <w:top w:val="none" w:sz="0" w:space="0" w:color="auto"/>
                        <w:left w:val="none" w:sz="0" w:space="0" w:color="auto"/>
                        <w:bottom w:val="none" w:sz="0" w:space="0" w:color="auto"/>
                        <w:right w:val="none" w:sz="0" w:space="0" w:color="auto"/>
                      </w:divBdr>
                    </w:div>
                  </w:divsChild>
                </w:div>
                <w:div w:id="497037440">
                  <w:marLeft w:val="0"/>
                  <w:marRight w:val="0"/>
                  <w:marTop w:val="0"/>
                  <w:marBottom w:val="0"/>
                  <w:divBdr>
                    <w:top w:val="none" w:sz="0" w:space="0" w:color="auto"/>
                    <w:left w:val="none" w:sz="0" w:space="0" w:color="auto"/>
                    <w:bottom w:val="none" w:sz="0" w:space="0" w:color="auto"/>
                    <w:right w:val="none" w:sz="0" w:space="0" w:color="auto"/>
                  </w:divBdr>
                  <w:divsChild>
                    <w:div w:id="2026128499">
                      <w:marLeft w:val="0"/>
                      <w:marRight w:val="0"/>
                      <w:marTop w:val="0"/>
                      <w:marBottom w:val="0"/>
                      <w:divBdr>
                        <w:top w:val="none" w:sz="0" w:space="0" w:color="auto"/>
                        <w:left w:val="none" w:sz="0" w:space="0" w:color="auto"/>
                        <w:bottom w:val="none" w:sz="0" w:space="0" w:color="auto"/>
                        <w:right w:val="none" w:sz="0" w:space="0" w:color="auto"/>
                      </w:divBdr>
                    </w:div>
                  </w:divsChild>
                </w:div>
                <w:div w:id="511451670">
                  <w:marLeft w:val="0"/>
                  <w:marRight w:val="0"/>
                  <w:marTop w:val="0"/>
                  <w:marBottom w:val="0"/>
                  <w:divBdr>
                    <w:top w:val="none" w:sz="0" w:space="0" w:color="auto"/>
                    <w:left w:val="none" w:sz="0" w:space="0" w:color="auto"/>
                    <w:bottom w:val="none" w:sz="0" w:space="0" w:color="auto"/>
                    <w:right w:val="none" w:sz="0" w:space="0" w:color="auto"/>
                  </w:divBdr>
                  <w:divsChild>
                    <w:div w:id="923420161">
                      <w:marLeft w:val="0"/>
                      <w:marRight w:val="0"/>
                      <w:marTop w:val="0"/>
                      <w:marBottom w:val="0"/>
                      <w:divBdr>
                        <w:top w:val="none" w:sz="0" w:space="0" w:color="auto"/>
                        <w:left w:val="none" w:sz="0" w:space="0" w:color="auto"/>
                        <w:bottom w:val="none" w:sz="0" w:space="0" w:color="auto"/>
                        <w:right w:val="none" w:sz="0" w:space="0" w:color="auto"/>
                      </w:divBdr>
                    </w:div>
                  </w:divsChild>
                </w:div>
                <w:div w:id="578251513">
                  <w:marLeft w:val="0"/>
                  <w:marRight w:val="0"/>
                  <w:marTop w:val="0"/>
                  <w:marBottom w:val="0"/>
                  <w:divBdr>
                    <w:top w:val="none" w:sz="0" w:space="0" w:color="auto"/>
                    <w:left w:val="none" w:sz="0" w:space="0" w:color="auto"/>
                    <w:bottom w:val="none" w:sz="0" w:space="0" w:color="auto"/>
                    <w:right w:val="none" w:sz="0" w:space="0" w:color="auto"/>
                  </w:divBdr>
                  <w:divsChild>
                    <w:div w:id="530536869">
                      <w:marLeft w:val="0"/>
                      <w:marRight w:val="0"/>
                      <w:marTop w:val="0"/>
                      <w:marBottom w:val="0"/>
                      <w:divBdr>
                        <w:top w:val="none" w:sz="0" w:space="0" w:color="auto"/>
                        <w:left w:val="none" w:sz="0" w:space="0" w:color="auto"/>
                        <w:bottom w:val="none" w:sz="0" w:space="0" w:color="auto"/>
                        <w:right w:val="none" w:sz="0" w:space="0" w:color="auto"/>
                      </w:divBdr>
                    </w:div>
                  </w:divsChild>
                </w:div>
                <w:div w:id="648939506">
                  <w:marLeft w:val="0"/>
                  <w:marRight w:val="0"/>
                  <w:marTop w:val="0"/>
                  <w:marBottom w:val="0"/>
                  <w:divBdr>
                    <w:top w:val="none" w:sz="0" w:space="0" w:color="auto"/>
                    <w:left w:val="none" w:sz="0" w:space="0" w:color="auto"/>
                    <w:bottom w:val="none" w:sz="0" w:space="0" w:color="auto"/>
                    <w:right w:val="none" w:sz="0" w:space="0" w:color="auto"/>
                  </w:divBdr>
                  <w:divsChild>
                    <w:div w:id="1791968595">
                      <w:marLeft w:val="0"/>
                      <w:marRight w:val="0"/>
                      <w:marTop w:val="0"/>
                      <w:marBottom w:val="0"/>
                      <w:divBdr>
                        <w:top w:val="none" w:sz="0" w:space="0" w:color="auto"/>
                        <w:left w:val="none" w:sz="0" w:space="0" w:color="auto"/>
                        <w:bottom w:val="none" w:sz="0" w:space="0" w:color="auto"/>
                        <w:right w:val="none" w:sz="0" w:space="0" w:color="auto"/>
                      </w:divBdr>
                    </w:div>
                  </w:divsChild>
                </w:div>
                <w:div w:id="656110651">
                  <w:marLeft w:val="0"/>
                  <w:marRight w:val="0"/>
                  <w:marTop w:val="0"/>
                  <w:marBottom w:val="0"/>
                  <w:divBdr>
                    <w:top w:val="none" w:sz="0" w:space="0" w:color="auto"/>
                    <w:left w:val="none" w:sz="0" w:space="0" w:color="auto"/>
                    <w:bottom w:val="none" w:sz="0" w:space="0" w:color="auto"/>
                    <w:right w:val="none" w:sz="0" w:space="0" w:color="auto"/>
                  </w:divBdr>
                  <w:divsChild>
                    <w:div w:id="592589261">
                      <w:marLeft w:val="0"/>
                      <w:marRight w:val="0"/>
                      <w:marTop w:val="0"/>
                      <w:marBottom w:val="0"/>
                      <w:divBdr>
                        <w:top w:val="none" w:sz="0" w:space="0" w:color="auto"/>
                        <w:left w:val="none" w:sz="0" w:space="0" w:color="auto"/>
                        <w:bottom w:val="none" w:sz="0" w:space="0" w:color="auto"/>
                        <w:right w:val="none" w:sz="0" w:space="0" w:color="auto"/>
                      </w:divBdr>
                    </w:div>
                  </w:divsChild>
                </w:div>
                <w:div w:id="659844910">
                  <w:marLeft w:val="0"/>
                  <w:marRight w:val="0"/>
                  <w:marTop w:val="0"/>
                  <w:marBottom w:val="0"/>
                  <w:divBdr>
                    <w:top w:val="none" w:sz="0" w:space="0" w:color="auto"/>
                    <w:left w:val="none" w:sz="0" w:space="0" w:color="auto"/>
                    <w:bottom w:val="none" w:sz="0" w:space="0" w:color="auto"/>
                    <w:right w:val="none" w:sz="0" w:space="0" w:color="auto"/>
                  </w:divBdr>
                  <w:divsChild>
                    <w:div w:id="1112553227">
                      <w:marLeft w:val="0"/>
                      <w:marRight w:val="0"/>
                      <w:marTop w:val="0"/>
                      <w:marBottom w:val="0"/>
                      <w:divBdr>
                        <w:top w:val="none" w:sz="0" w:space="0" w:color="auto"/>
                        <w:left w:val="none" w:sz="0" w:space="0" w:color="auto"/>
                        <w:bottom w:val="none" w:sz="0" w:space="0" w:color="auto"/>
                        <w:right w:val="none" w:sz="0" w:space="0" w:color="auto"/>
                      </w:divBdr>
                    </w:div>
                  </w:divsChild>
                </w:div>
                <w:div w:id="749472831">
                  <w:marLeft w:val="0"/>
                  <w:marRight w:val="0"/>
                  <w:marTop w:val="0"/>
                  <w:marBottom w:val="0"/>
                  <w:divBdr>
                    <w:top w:val="none" w:sz="0" w:space="0" w:color="auto"/>
                    <w:left w:val="none" w:sz="0" w:space="0" w:color="auto"/>
                    <w:bottom w:val="none" w:sz="0" w:space="0" w:color="auto"/>
                    <w:right w:val="none" w:sz="0" w:space="0" w:color="auto"/>
                  </w:divBdr>
                  <w:divsChild>
                    <w:div w:id="1692299810">
                      <w:marLeft w:val="0"/>
                      <w:marRight w:val="0"/>
                      <w:marTop w:val="0"/>
                      <w:marBottom w:val="0"/>
                      <w:divBdr>
                        <w:top w:val="none" w:sz="0" w:space="0" w:color="auto"/>
                        <w:left w:val="none" w:sz="0" w:space="0" w:color="auto"/>
                        <w:bottom w:val="none" w:sz="0" w:space="0" w:color="auto"/>
                        <w:right w:val="none" w:sz="0" w:space="0" w:color="auto"/>
                      </w:divBdr>
                    </w:div>
                  </w:divsChild>
                </w:div>
                <w:div w:id="781608880">
                  <w:marLeft w:val="0"/>
                  <w:marRight w:val="0"/>
                  <w:marTop w:val="0"/>
                  <w:marBottom w:val="0"/>
                  <w:divBdr>
                    <w:top w:val="none" w:sz="0" w:space="0" w:color="auto"/>
                    <w:left w:val="none" w:sz="0" w:space="0" w:color="auto"/>
                    <w:bottom w:val="none" w:sz="0" w:space="0" w:color="auto"/>
                    <w:right w:val="none" w:sz="0" w:space="0" w:color="auto"/>
                  </w:divBdr>
                  <w:divsChild>
                    <w:div w:id="708263141">
                      <w:marLeft w:val="0"/>
                      <w:marRight w:val="0"/>
                      <w:marTop w:val="0"/>
                      <w:marBottom w:val="0"/>
                      <w:divBdr>
                        <w:top w:val="none" w:sz="0" w:space="0" w:color="auto"/>
                        <w:left w:val="none" w:sz="0" w:space="0" w:color="auto"/>
                        <w:bottom w:val="none" w:sz="0" w:space="0" w:color="auto"/>
                        <w:right w:val="none" w:sz="0" w:space="0" w:color="auto"/>
                      </w:divBdr>
                    </w:div>
                  </w:divsChild>
                </w:div>
                <w:div w:id="790783322">
                  <w:marLeft w:val="0"/>
                  <w:marRight w:val="0"/>
                  <w:marTop w:val="0"/>
                  <w:marBottom w:val="0"/>
                  <w:divBdr>
                    <w:top w:val="none" w:sz="0" w:space="0" w:color="auto"/>
                    <w:left w:val="none" w:sz="0" w:space="0" w:color="auto"/>
                    <w:bottom w:val="none" w:sz="0" w:space="0" w:color="auto"/>
                    <w:right w:val="none" w:sz="0" w:space="0" w:color="auto"/>
                  </w:divBdr>
                  <w:divsChild>
                    <w:div w:id="1833326783">
                      <w:marLeft w:val="0"/>
                      <w:marRight w:val="0"/>
                      <w:marTop w:val="0"/>
                      <w:marBottom w:val="0"/>
                      <w:divBdr>
                        <w:top w:val="none" w:sz="0" w:space="0" w:color="auto"/>
                        <w:left w:val="none" w:sz="0" w:space="0" w:color="auto"/>
                        <w:bottom w:val="none" w:sz="0" w:space="0" w:color="auto"/>
                        <w:right w:val="none" w:sz="0" w:space="0" w:color="auto"/>
                      </w:divBdr>
                    </w:div>
                  </w:divsChild>
                </w:div>
                <w:div w:id="850533738">
                  <w:marLeft w:val="0"/>
                  <w:marRight w:val="0"/>
                  <w:marTop w:val="0"/>
                  <w:marBottom w:val="0"/>
                  <w:divBdr>
                    <w:top w:val="none" w:sz="0" w:space="0" w:color="auto"/>
                    <w:left w:val="none" w:sz="0" w:space="0" w:color="auto"/>
                    <w:bottom w:val="none" w:sz="0" w:space="0" w:color="auto"/>
                    <w:right w:val="none" w:sz="0" w:space="0" w:color="auto"/>
                  </w:divBdr>
                  <w:divsChild>
                    <w:div w:id="758718607">
                      <w:marLeft w:val="0"/>
                      <w:marRight w:val="0"/>
                      <w:marTop w:val="0"/>
                      <w:marBottom w:val="0"/>
                      <w:divBdr>
                        <w:top w:val="none" w:sz="0" w:space="0" w:color="auto"/>
                        <w:left w:val="none" w:sz="0" w:space="0" w:color="auto"/>
                        <w:bottom w:val="none" w:sz="0" w:space="0" w:color="auto"/>
                        <w:right w:val="none" w:sz="0" w:space="0" w:color="auto"/>
                      </w:divBdr>
                    </w:div>
                  </w:divsChild>
                </w:div>
                <w:div w:id="893736908">
                  <w:marLeft w:val="0"/>
                  <w:marRight w:val="0"/>
                  <w:marTop w:val="0"/>
                  <w:marBottom w:val="0"/>
                  <w:divBdr>
                    <w:top w:val="none" w:sz="0" w:space="0" w:color="auto"/>
                    <w:left w:val="none" w:sz="0" w:space="0" w:color="auto"/>
                    <w:bottom w:val="none" w:sz="0" w:space="0" w:color="auto"/>
                    <w:right w:val="none" w:sz="0" w:space="0" w:color="auto"/>
                  </w:divBdr>
                  <w:divsChild>
                    <w:div w:id="1544057679">
                      <w:marLeft w:val="0"/>
                      <w:marRight w:val="0"/>
                      <w:marTop w:val="0"/>
                      <w:marBottom w:val="0"/>
                      <w:divBdr>
                        <w:top w:val="none" w:sz="0" w:space="0" w:color="auto"/>
                        <w:left w:val="none" w:sz="0" w:space="0" w:color="auto"/>
                        <w:bottom w:val="none" w:sz="0" w:space="0" w:color="auto"/>
                        <w:right w:val="none" w:sz="0" w:space="0" w:color="auto"/>
                      </w:divBdr>
                    </w:div>
                  </w:divsChild>
                </w:div>
                <w:div w:id="899902931">
                  <w:marLeft w:val="0"/>
                  <w:marRight w:val="0"/>
                  <w:marTop w:val="0"/>
                  <w:marBottom w:val="0"/>
                  <w:divBdr>
                    <w:top w:val="none" w:sz="0" w:space="0" w:color="auto"/>
                    <w:left w:val="none" w:sz="0" w:space="0" w:color="auto"/>
                    <w:bottom w:val="none" w:sz="0" w:space="0" w:color="auto"/>
                    <w:right w:val="none" w:sz="0" w:space="0" w:color="auto"/>
                  </w:divBdr>
                  <w:divsChild>
                    <w:div w:id="208687998">
                      <w:marLeft w:val="0"/>
                      <w:marRight w:val="0"/>
                      <w:marTop w:val="0"/>
                      <w:marBottom w:val="0"/>
                      <w:divBdr>
                        <w:top w:val="none" w:sz="0" w:space="0" w:color="auto"/>
                        <w:left w:val="none" w:sz="0" w:space="0" w:color="auto"/>
                        <w:bottom w:val="none" w:sz="0" w:space="0" w:color="auto"/>
                        <w:right w:val="none" w:sz="0" w:space="0" w:color="auto"/>
                      </w:divBdr>
                    </w:div>
                  </w:divsChild>
                </w:div>
                <w:div w:id="918364533">
                  <w:marLeft w:val="0"/>
                  <w:marRight w:val="0"/>
                  <w:marTop w:val="0"/>
                  <w:marBottom w:val="0"/>
                  <w:divBdr>
                    <w:top w:val="none" w:sz="0" w:space="0" w:color="auto"/>
                    <w:left w:val="none" w:sz="0" w:space="0" w:color="auto"/>
                    <w:bottom w:val="none" w:sz="0" w:space="0" w:color="auto"/>
                    <w:right w:val="none" w:sz="0" w:space="0" w:color="auto"/>
                  </w:divBdr>
                  <w:divsChild>
                    <w:div w:id="986205090">
                      <w:marLeft w:val="0"/>
                      <w:marRight w:val="0"/>
                      <w:marTop w:val="0"/>
                      <w:marBottom w:val="0"/>
                      <w:divBdr>
                        <w:top w:val="none" w:sz="0" w:space="0" w:color="auto"/>
                        <w:left w:val="none" w:sz="0" w:space="0" w:color="auto"/>
                        <w:bottom w:val="none" w:sz="0" w:space="0" w:color="auto"/>
                        <w:right w:val="none" w:sz="0" w:space="0" w:color="auto"/>
                      </w:divBdr>
                    </w:div>
                  </w:divsChild>
                </w:div>
                <w:div w:id="1023047907">
                  <w:marLeft w:val="0"/>
                  <w:marRight w:val="0"/>
                  <w:marTop w:val="0"/>
                  <w:marBottom w:val="0"/>
                  <w:divBdr>
                    <w:top w:val="none" w:sz="0" w:space="0" w:color="auto"/>
                    <w:left w:val="none" w:sz="0" w:space="0" w:color="auto"/>
                    <w:bottom w:val="none" w:sz="0" w:space="0" w:color="auto"/>
                    <w:right w:val="none" w:sz="0" w:space="0" w:color="auto"/>
                  </w:divBdr>
                  <w:divsChild>
                    <w:div w:id="1576696645">
                      <w:marLeft w:val="0"/>
                      <w:marRight w:val="0"/>
                      <w:marTop w:val="0"/>
                      <w:marBottom w:val="0"/>
                      <w:divBdr>
                        <w:top w:val="none" w:sz="0" w:space="0" w:color="auto"/>
                        <w:left w:val="none" w:sz="0" w:space="0" w:color="auto"/>
                        <w:bottom w:val="none" w:sz="0" w:space="0" w:color="auto"/>
                        <w:right w:val="none" w:sz="0" w:space="0" w:color="auto"/>
                      </w:divBdr>
                    </w:div>
                  </w:divsChild>
                </w:div>
                <w:div w:id="1043750828">
                  <w:marLeft w:val="0"/>
                  <w:marRight w:val="0"/>
                  <w:marTop w:val="0"/>
                  <w:marBottom w:val="0"/>
                  <w:divBdr>
                    <w:top w:val="none" w:sz="0" w:space="0" w:color="auto"/>
                    <w:left w:val="none" w:sz="0" w:space="0" w:color="auto"/>
                    <w:bottom w:val="none" w:sz="0" w:space="0" w:color="auto"/>
                    <w:right w:val="none" w:sz="0" w:space="0" w:color="auto"/>
                  </w:divBdr>
                  <w:divsChild>
                    <w:div w:id="971524880">
                      <w:marLeft w:val="0"/>
                      <w:marRight w:val="0"/>
                      <w:marTop w:val="0"/>
                      <w:marBottom w:val="0"/>
                      <w:divBdr>
                        <w:top w:val="none" w:sz="0" w:space="0" w:color="auto"/>
                        <w:left w:val="none" w:sz="0" w:space="0" w:color="auto"/>
                        <w:bottom w:val="none" w:sz="0" w:space="0" w:color="auto"/>
                        <w:right w:val="none" w:sz="0" w:space="0" w:color="auto"/>
                      </w:divBdr>
                    </w:div>
                  </w:divsChild>
                </w:div>
                <w:div w:id="1056201686">
                  <w:marLeft w:val="0"/>
                  <w:marRight w:val="0"/>
                  <w:marTop w:val="0"/>
                  <w:marBottom w:val="0"/>
                  <w:divBdr>
                    <w:top w:val="none" w:sz="0" w:space="0" w:color="auto"/>
                    <w:left w:val="none" w:sz="0" w:space="0" w:color="auto"/>
                    <w:bottom w:val="none" w:sz="0" w:space="0" w:color="auto"/>
                    <w:right w:val="none" w:sz="0" w:space="0" w:color="auto"/>
                  </w:divBdr>
                  <w:divsChild>
                    <w:div w:id="1811745020">
                      <w:marLeft w:val="0"/>
                      <w:marRight w:val="0"/>
                      <w:marTop w:val="0"/>
                      <w:marBottom w:val="0"/>
                      <w:divBdr>
                        <w:top w:val="none" w:sz="0" w:space="0" w:color="auto"/>
                        <w:left w:val="none" w:sz="0" w:space="0" w:color="auto"/>
                        <w:bottom w:val="none" w:sz="0" w:space="0" w:color="auto"/>
                        <w:right w:val="none" w:sz="0" w:space="0" w:color="auto"/>
                      </w:divBdr>
                    </w:div>
                    <w:div w:id="2143885610">
                      <w:marLeft w:val="0"/>
                      <w:marRight w:val="0"/>
                      <w:marTop w:val="0"/>
                      <w:marBottom w:val="0"/>
                      <w:divBdr>
                        <w:top w:val="none" w:sz="0" w:space="0" w:color="auto"/>
                        <w:left w:val="none" w:sz="0" w:space="0" w:color="auto"/>
                        <w:bottom w:val="none" w:sz="0" w:space="0" w:color="auto"/>
                        <w:right w:val="none" w:sz="0" w:space="0" w:color="auto"/>
                      </w:divBdr>
                    </w:div>
                  </w:divsChild>
                </w:div>
                <w:div w:id="1094394843">
                  <w:marLeft w:val="0"/>
                  <w:marRight w:val="0"/>
                  <w:marTop w:val="0"/>
                  <w:marBottom w:val="0"/>
                  <w:divBdr>
                    <w:top w:val="none" w:sz="0" w:space="0" w:color="auto"/>
                    <w:left w:val="none" w:sz="0" w:space="0" w:color="auto"/>
                    <w:bottom w:val="none" w:sz="0" w:space="0" w:color="auto"/>
                    <w:right w:val="none" w:sz="0" w:space="0" w:color="auto"/>
                  </w:divBdr>
                  <w:divsChild>
                    <w:div w:id="1967344920">
                      <w:marLeft w:val="0"/>
                      <w:marRight w:val="0"/>
                      <w:marTop w:val="0"/>
                      <w:marBottom w:val="0"/>
                      <w:divBdr>
                        <w:top w:val="none" w:sz="0" w:space="0" w:color="auto"/>
                        <w:left w:val="none" w:sz="0" w:space="0" w:color="auto"/>
                        <w:bottom w:val="none" w:sz="0" w:space="0" w:color="auto"/>
                        <w:right w:val="none" w:sz="0" w:space="0" w:color="auto"/>
                      </w:divBdr>
                    </w:div>
                  </w:divsChild>
                </w:div>
                <w:div w:id="1111164565">
                  <w:marLeft w:val="0"/>
                  <w:marRight w:val="0"/>
                  <w:marTop w:val="0"/>
                  <w:marBottom w:val="0"/>
                  <w:divBdr>
                    <w:top w:val="none" w:sz="0" w:space="0" w:color="auto"/>
                    <w:left w:val="none" w:sz="0" w:space="0" w:color="auto"/>
                    <w:bottom w:val="none" w:sz="0" w:space="0" w:color="auto"/>
                    <w:right w:val="none" w:sz="0" w:space="0" w:color="auto"/>
                  </w:divBdr>
                  <w:divsChild>
                    <w:div w:id="41448374">
                      <w:marLeft w:val="0"/>
                      <w:marRight w:val="0"/>
                      <w:marTop w:val="0"/>
                      <w:marBottom w:val="0"/>
                      <w:divBdr>
                        <w:top w:val="none" w:sz="0" w:space="0" w:color="auto"/>
                        <w:left w:val="none" w:sz="0" w:space="0" w:color="auto"/>
                        <w:bottom w:val="none" w:sz="0" w:space="0" w:color="auto"/>
                        <w:right w:val="none" w:sz="0" w:space="0" w:color="auto"/>
                      </w:divBdr>
                    </w:div>
                    <w:div w:id="1534616486">
                      <w:marLeft w:val="0"/>
                      <w:marRight w:val="0"/>
                      <w:marTop w:val="0"/>
                      <w:marBottom w:val="0"/>
                      <w:divBdr>
                        <w:top w:val="none" w:sz="0" w:space="0" w:color="auto"/>
                        <w:left w:val="none" w:sz="0" w:space="0" w:color="auto"/>
                        <w:bottom w:val="none" w:sz="0" w:space="0" w:color="auto"/>
                        <w:right w:val="none" w:sz="0" w:space="0" w:color="auto"/>
                      </w:divBdr>
                    </w:div>
                  </w:divsChild>
                </w:div>
                <w:div w:id="1116438495">
                  <w:marLeft w:val="0"/>
                  <w:marRight w:val="0"/>
                  <w:marTop w:val="0"/>
                  <w:marBottom w:val="0"/>
                  <w:divBdr>
                    <w:top w:val="none" w:sz="0" w:space="0" w:color="auto"/>
                    <w:left w:val="none" w:sz="0" w:space="0" w:color="auto"/>
                    <w:bottom w:val="none" w:sz="0" w:space="0" w:color="auto"/>
                    <w:right w:val="none" w:sz="0" w:space="0" w:color="auto"/>
                  </w:divBdr>
                  <w:divsChild>
                    <w:div w:id="1566724927">
                      <w:marLeft w:val="0"/>
                      <w:marRight w:val="0"/>
                      <w:marTop w:val="0"/>
                      <w:marBottom w:val="0"/>
                      <w:divBdr>
                        <w:top w:val="none" w:sz="0" w:space="0" w:color="auto"/>
                        <w:left w:val="none" w:sz="0" w:space="0" w:color="auto"/>
                        <w:bottom w:val="none" w:sz="0" w:space="0" w:color="auto"/>
                        <w:right w:val="none" w:sz="0" w:space="0" w:color="auto"/>
                      </w:divBdr>
                    </w:div>
                  </w:divsChild>
                </w:div>
                <w:div w:id="1134834215">
                  <w:marLeft w:val="0"/>
                  <w:marRight w:val="0"/>
                  <w:marTop w:val="0"/>
                  <w:marBottom w:val="0"/>
                  <w:divBdr>
                    <w:top w:val="none" w:sz="0" w:space="0" w:color="auto"/>
                    <w:left w:val="none" w:sz="0" w:space="0" w:color="auto"/>
                    <w:bottom w:val="none" w:sz="0" w:space="0" w:color="auto"/>
                    <w:right w:val="none" w:sz="0" w:space="0" w:color="auto"/>
                  </w:divBdr>
                  <w:divsChild>
                    <w:div w:id="39016743">
                      <w:marLeft w:val="0"/>
                      <w:marRight w:val="0"/>
                      <w:marTop w:val="0"/>
                      <w:marBottom w:val="0"/>
                      <w:divBdr>
                        <w:top w:val="none" w:sz="0" w:space="0" w:color="auto"/>
                        <w:left w:val="none" w:sz="0" w:space="0" w:color="auto"/>
                        <w:bottom w:val="none" w:sz="0" w:space="0" w:color="auto"/>
                        <w:right w:val="none" w:sz="0" w:space="0" w:color="auto"/>
                      </w:divBdr>
                    </w:div>
                  </w:divsChild>
                </w:div>
                <w:div w:id="1141534069">
                  <w:marLeft w:val="0"/>
                  <w:marRight w:val="0"/>
                  <w:marTop w:val="0"/>
                  <w:marBottom w:val="0"/>
                  <w:divBdr>
                    <w:top w:val="none" w:sz="0" w:space="0" w:color="auto"/>
                    <w:left w:val="none" w:sz="0" w:space="0" w:color="auto"/>
                    <w:bottom w:val="none" w:sz="0" w:space="0" w:color="auto"/>
                    <w:right w:val="none" w:sz="0" w:space="0" w:color="auto"/>
                  </w:divBdr>
                  <w:divsChild>
                    <w:div w:id="1155023948">
                      <w:marLeft w:val="0"/>
                      <w:marRight w:val="0"/>
                      <w:marTop w:val="0"/>
                      <w:marBottom w:val="0"/>
                      <w:divBdr>
                        <w:top w:val="none" w:sz="0" w:space="0" w:color="auto"/>
                        <w:left w:val="none" w:sz="0" w:space="0" w:color="auto"/>
                        <w:bottom w:val="none" w:sz="0" w:space="0" w:color="auto"/>
                        <w:right w:val="none" w:sz="0" w:space="0" w:color="auto"/>
                      </w:divBdr>
                    </w:div>
                  </w:divsChild>
                </w:div>
                <w:div w:id="1170369565">
                  <w:marLeft w:val="0"/>
                  <w:marRight w:val="0"/>
                  <w:marTop w:val="0"/>
                  <w:marBottom w:val="0"/>
                  <w:divBdr>
                    <w:top w:val="none" w:sz="0" w:space="0" w:color="auto"/>
                    <w:left w:val="none" w:sz="0" w:space="0" w:color="auto"/>
                    <w:bottom w:val="none" w:sz="0" w:space="0" w:color="auto"/>
                    <w:right w:val="none" w:sz="0" w:space="0" w:color="auto"/>
                  </w:divBdr>
                  <w:divsChild>
                    <w:div w:id="1446727687">
                      <w:marLeft w:val="0"/>
                      <w:marRight w:val="0"/>
                      <w:marTop w:val="0"/>
                      <w:marBottom w:val="0"/>
                      <w:divBdr>
                        <w:top w:val="none" w:sz="0" w:space="0" w:color="auto"/>
                        <w:left w:val="none" w:sz="0" w:space="0" w:color="auto"/>
                        <w:bottom w:val="none" w:sz="0" w:space="0" w:color="auto"/>
                        <w:right w:val="none" w:sz="0" w:space="0" w:color="auto"/>
                      </w:divBdr>
                    </w:div>
                  </w:divsChild>
                </w:div>
                <w:div w:id="1178547280">
                  <w:marLeft w:val="0"/>
                  <w:marRight w:val="0"/>
                  <w:marTop w:val="0"/>
                  <w:marBottom w:val="0"/>
                  <w:divBdr>
                    <w:top w:val="none" w:sz="0" w:space="0" w:color="auto"/>
                    <w:left w:val="none" w:sz="0" w:space="0" w:color="auto"/>
                    <w:bottom w:val="none" w:sz="0" w:space="0" w:color="auto"/>
                    <w:right w:val="none" w:sz="0" w:space="0" w:color="auto"/>
                  </w:divBdr>
                  <w:divsChild>
                    <w:div w:id="168108500">
                      <w:marLeft w:val="0"/>
                      <w:marRight w:val="0"/>
                      <w:marTop w:val="0"/>
                      <w:marBottom w:val="0"/>
                      <w:divBdr>
                        <w:top w:val="none" w:sz="0" w:space="0" w:color="auto"/>
                        <w:left w:val="none" w:sz="0" w:space="0" w:color="auto"/>
                        <w:bottom w:val="none" w:sz="0" w:space="0" w:color="auto"/>
                        <w:right w:val="none" w:sz="0" w:space="0" w:color="auto"/>
                      </w:divBdr>
                    </w:div>
                  </w:divsChild>
                </w:div>
                <w:div w:id="1258172423">
                  <w:marLeft w:val="0"/>
                  <w:marRight w:val="0"/>
                  <w:marTop w:val="0"/>
                  <w:marBottom w:val="0"/>
                  <w:divBdr>
                    <w:top w:val="none" w:sz="0" w:space="0" w:color="auto"/>
                    <w:left w:val="none" w:sz="0" w:space="0" w:color="auto"/>
                    <w:bottom w:val="none" w:sz="0" w:space="0" w:color="auto"/>
                    <w:right w:val="none" w:sz="0" w:space="0" w:color="auto"/>
                  </w:divBdr>
                  <w:divsChild>
                    <w:div w:id="1751191165">
                      <w:marLeft w:val="0"/>
                      <w:marRight w:val="0"/>
                      <w:marTop w:val="0"/>
                      <w:marBottom w:val="0"/>
                      <w:divBdr>
                        <w:top w:val="none" w:sz="0" w:space="0" w:color="auto"/>
                        <w:left w:val="none" w:sz="0" w:space="0" w:color="auto"/>
                        <w:bottom w:val="none" w:sz="0" w:space="0" w:color="auto"/>
                        <w:right w:val="none" w:sz="0" w:space="0" w:color="auto"/>
                      </w:divBdr>
                    </w:div>
                  </w:divsChild>
                </w:div>
                <w:div w:id="1277061879">
                  <w:marLeft w:val="0"/>
                  <w:marRight w:val="0"/>
                  <w:marTop w:val="0"/>
                  <w:marBottom w:val="0"/>
                  <w:divBdr>
                    <w:top w:val="none" w:sz="0" w:space="0" w:color="auto"/>
                    <w:left w:val="none" w:sz="0" w:space="0" w:color="auto"/>
                    <w:bottom w:val="none" w:sz="0" w:space="0" w:color="auto"/>
                    <w:right w:val="none" w:sz="0" w:space="0" w:color="auto"/>
                  </w:divBdr>
                  <w:divsChild>
                    <w:div w:id="234827912">
                      <w:marLeft w:val="0"/>
                      <w:marRight w:val="0"/>
                      <w:marTop w:val="0"/>
                      <w:marBottom w:val="0"/>
                      <w:divBdr>
                        <w:top w:val="none" w:sz="0" w:space="0" w:color="auto"/>
                        <w:left w:val="none" w:sz="0" w:space="0" w:color="auto"/>
                        <w:bottom w:val="none" w:sz="0" w:space="0" w:color="auto"/>
                        <w:right w:val="none" w:sz="0" w:space="0" w:color="auto"/>
                      </w:divBdr>
                    </w:div>
                    <w:div w:id="1804958867">
                      <w:marLeft w:val="0"/>
                      <w:marRight w:val="0"/>
                      <w:marTop w:val="0"/>
                      <w:marBottom w:val="0"/>
                      <w:divBdr>
                        <w:top w:val="none" w:sz="0" w:space="0" w:color="auto"/>
                        <w:left w:val="none" w:sz="0" w:space="0" w:color="auto"/>
                        <w:bottom w:val="none" w:sz="0" w:space="0" w:color="auto"/>
                        <w:right w:val="none" w:sz="0" w:space="0" w:color="auto"/>
                      </w:divBdr>
                    </w:div>
                  </w:divsChild>
                </w:div>
                <w:div w:id="1308241807">
                  <w:marLeft w:val="0"/>
                  <w:marRight w:val="0"/>
                  <w:marTop w:val="0"/>
                  <w:marBottom w:val="0"/>
                  <w:divBdr>
                    <w:top w:val="none" w:sz="0" w:space="0" w:color="auto"/>
                    <w:left w:val="none" w:sz="0" w:space="0" w:color="auto"/>
                    <w:bottom w:val="none" w:sz="0" w:space="0" w:color="auto"/>
                    <w:right w:val="none" w:sz="0" w:space="0" w:color="auto"/>
                  </w:divBdr>
                  <w:divsChild>
                    <w:div w:id="129251649">
                      <w:marLeft w:val="0"/>
                      <w:marRight w:val="0"/>
                      <w:marTop w:val="0"/>
                      <w:marBottom w:val="0"/>
                      <w:divBdr>
                        <w:top w:val="none" w:sz="0" w:space="0" w:color="auto"/>
                        <w:left w:val="none" w:sz="0" w:space="0" w:color="auto"/>
                        <w:bottom w:val="none" w:sz="0" w:space="0" w:color="auto"/>
                        <w:right w:val="none" w:sz="0" w:space="0" w:color="auto"/>
                      </w:divBdr>
                    </w:div>
                    <w:div w:id="315259141">
                      <w:marLeft w:val="0"/>
                      <w:marRight w:val="0"/>
                      <w:marTop w:val="0"/>
                      <w:marBottom w:val="0"/>
                      <w:divBdr>
                        <w:top w:val="none" w:sz="0" w:space="0" w:color="auto"/>
                        <w:left w:val="none" w:sz="0" w:space="0" w:color="auto"/>
                        <w:bottom w:val="none" w:sz="0" w:space="0" w:color="auto"/>
                        <w:right w:val="none" w:sz="0" w:space="0" w:color="auto"/>
                      </w:divBdr>
                    </w:div>
                  </w:divsChild>
                </w:div>
                <w:div w:id="1325007549">
                  <w:marLeft w:val="0"/>
                  <w:marRight w:val="0"/>
                  <w:marTop w:val="0"/>
                  <w:marBottom w:val="0"/>
                  <w:divBdr>
                    <w:top w:val="none" w:sz="0" w:space="0" w:color="auto"/>
                    <w:left w:val="none" w:sz="0" w:space="0" w:color="auto"/>
                    <w:bottom w:val="none" w:sz="0" w:space="0" w:color="auto"/>
                    <w:right w:val="none" w:sz="0" w:space="0" w:color="auto"/>
                  </w:divBdr>
                  <w:divsChild>
                    <w:div w:id="1017196356">
                      <w:marLeft w:val="0"/>
                      <w:marRight w:val="0"/>
                      <w:marTop w:val="0"/>
                      <w:marBottom w:val="0"/>
                      <w:divBdr>
                        <w:top w:val="none" w:sz="0" w:space="0" w:color="auto"/>
                        <w:left w:val="none" w:sz="0" w:space="0" w:color="auto"/>
                        <w:bottom w:val="none" w:sz="0" w:space="0" w:color="auto"/>
                        <w:right w:val="none" w:sz="0" w:space="0" w:color="auto"/>
                      </w:divBdr>
                    </w:div>
                  </w:divsChild>
                </w:div>
                <w:div w:id="1335374478">
                  <w:marLeft w:val="0"/>
                  <w:marRight w:val="0"/>
                  <w:marTop w:val="0"/>
                  <w:marBottom w:val="0"/>
                  <w:divBdr>
                    <w:top w:val="none" w:sz="0" w:space="0" w:color="auto"/>
                    <w:left w:val="none" w:sz="0" w:space="0" w:color="auto"/>
                    <w:bottom w:val="none" w:sz="0" w:space="0" w:color="auto"/>
                    <w:right w:val="none" w:sz="0" w:space="0" w:color="auto"/>
                  </w:divBdr>
                  <w:divsChild>
                    <w:div w:id="1433820475">
                      <w:marLeft w:val="0"/>
                      <w:marRight w:val="0"/>
                      <w:marTop w:val="0"/>
                      <w:marBottom w:val="0"/>
                      <w:divBdr>
                        <w:top w:val="none" w:sz="0" w:space="0" w:color="auto"/>
                        <w:left w:val="none" w:sz="0" w:space="0" w:color="auto"/>
                        <w:bottom w:val="none" w:sz="0" w:space="0" w:color="auto"/>
                        <w:right w:val="none" w:sz="0" w:space="0" w:color="auto"/>
                      </w:divBdr>
                    </w:div>
                  </w:divsChild>
                </w:div>
                <w:div w:id="1362319688">
                  <w:marLeft w:val="0"/>
                  <w:marRight w:val="0"/>
                  <w:marTop w:val="0"/>
                  <w:marBottom w:val="0"/>
                  <w:divBdr>
                    <w:top w:val="none" w:sz="0" w:space="0" w:color="auto"/>
                    <w:left w:val="none" w:sz="0" w:space="0" w:color="auto"/>
                    <w:bottom w:val="none" w:sz="0" w:space="0" w:color="auto"/>
                    <w:right w:val="none" w:sz="0" w:space="0" w:color="auto"/>
                  </w:divBdr>
                  <w:divsChild>
                    <w:div w:id="1318218301">
                      <w:marLeft w:val="0"/>
                      <w:marRight w:val="0"/>
                      <w:marTop w:val="0"/>
                      <w:marBottom w:val="0"/>
                      <w:divBdr>
                        <w:top w:val="none" w:sz="0" w:space="0" w:color="auto"/>
                        <w:left w:val="none" w:sz="0" w:space="0" w:color="auto"/>
                        <w:bottom w:val="none" w:sz="0" w:space="0" w:color="auto"/>
                        <w:right w:val="none" w:sz="0" w:space="0" w:color="auto"/>
                      </w:divBdr>
                    </w:div>
                  </w:divsChild>
                </w:div>
                <w:div w:id="1411654524">
                  <w:marLeft w:val="0"/>
                  <w:marRight w:val="0"/>
                  <w:marTop w:val="0"/>
                  <w:marBottom w:val="0"/>
                  <w:divBdr>
                    <w:top w:val="none" w:sz="0" w:space="0" w:color="auto"/>
                    <w:left w:val="none" w:sz="0" w:space="0" w:color="auto"/>
                    <w:bottom w:val="none" w:sz="0" w:space="0" w:color="auto"/>
                    <w:right w:val="none" w:sz="0" w:space="0" w:color="auto"/>
                  </w:divBdr>
                  <w:divsChild>
                    <w:div w:id="1840080101">
                      <w:marLeft w:val="0"/>
                      <w:marRight w:val="0"/>
                      <w:marTop w:val="0"/>
                      <w:marBottom w:val="0"/>
                      <w:divBdr>
                        <w:top w:val="none" w:sz="0" w:space="0" w:color="auto"/>
                        <w:left w:val="none" w:sz="0" w:space="0" w:color="auto"/>
                        <w:bottom w:val="none" w:sz="0" w:space="0" w:color="auto"/>
                        <w:right w:val="none" w:sz="0" w:space="0" w:color="auto"/>
                      </w:divBdr>
                    </w:div>
                  </w:divsChild>
                </w:div>
                <w:div w:id="1411804912">
                  <w:marLeft w:val="0"/>
                  <w:marRight w:val="0"/>
                  <w:marTop w:val="0"/>
                  <w:marBottom w:val="0"/>
                  <w:divBdr>
                    <w:top w:val="none" w:sz="0" w:space="0" w:color="auto"/>
                    <w:left w:val="none" w:sz="0" w:space="0" w:color="auto"/>
                    <w:bottom w:val="none" w:sz="0" w:space="0" w:color="auto"/>
                    <w:right w:val="none" w:sz="0" w:space="0" w:color="auto"/>
                  </w:divBdr>
                  <w:divsChild>
                    <w:div w:id="1822429534">
                      <w:marLeft w:val="0"/>
                      <w:marRight w:val="0"/>
                      <w:marTop w:val="0"/>
                      <w:marBottom w:val="0"/>
                      <w:divBdr>
                        <w:top w:val="none" w:sz="0" w:space="0" w:color="auto"/>
                        <w:left w:val="none" w:sz="0" w:space="0" w:color="auto"/>
                        <w:bottom w:val="none" w:sz="0" w:space="0" w:color="auto"/>
                        <w:right w:val="none" w:sz="0" w:space="0" w:color="auto"/>
                      </w:divBdr>
                    </w:div>
                  </w:divsChild>
                </w:div>
                <w:div w:id="1413967995">
                  <w:marLeft w:val="0"/>
                  <w:marRight w:val="0"/>
                  <w:marTop w:val="0"/>
                  <w:marBottom w:val="0"/>
                  <w:divBdr>
                    <w:top w:val="none" w:sz="0" w:space="0" w:color="auto"/>
                    <w:left w:val="none" w:sz="0" w:space="0" w:color="auto"/>
                    <w:bottom w:val="none" w:sz="0" w:space="0" w:color="auto"/>
                    <w:right w:val="none" w:sz="0" w:space="0" w:color="auto"/>
                  </w:divBdr>
                  <w:divsChild>
                    <w:div w:id="552081912">
                      <w:marLeft w:val="0"/>
                      <w:marRight w:val="0"/>
                      <w:marTop w:val="0"/>
                      <w:marBottom w:val="0"/>
                      <w:divBdr>
                        <w:top w:val="none" w:sz="0" w:space="0" w:color="auto"/>
                        <w:left w:val="none" w:sz="0" w:space="0" w:color="auto"/>
                        <w:bottom w:val="none" w:sz="0" w:space="0" w:color="auto"/>
                        <w:right w:val="none" w:sz="0" w:space="0" w:color="auto"/>
                      </w:divBdr>
                    </w:div>
                    <w:div w:id="591596632">
                      <w:marLeft w:val="0"/>
                      <w:marRight w:val="0"/>
                      <w:marTop w:val="0"/>
                      <w:marBottom w:val="0"/>
                      <w:divBdr>
                        <w:top w:val="none" w:sz="0" w:space="0" w:color="auto"/>
                        <w:left w:val="none" w:sz="0" w:space="0" w:color="auto"/>
                        <w:bottom w:val="none" w:sz="0" w:space="0" w:color="auto"/>
                        <w:right w:val="none" w:sz="0" w:space="0" w:color="auto"/>
                      </w:divBdr>
                    </w:div>
                  </w:divsChild>
                </w:div>
                <w:div w:id="1433741607">
                  <w:marLeft w:val="0"/>
                  <w:marRight w:val="0"/>
                  <w:marTop w:val="0"/>
                  <w:marBottom w:val="0"/>
                  <w:divBdr>
                    <w:top w:val="none" w:sz="0" w:space="0" w:color="auto"/>
                    <w:left w:val="none" w:sz="0" w:space="0" w:color="auto"/>
                    <w:bottom w:val="none" w:sz="0" w:space="0" w:color="auto"/>
                    <w:right w:val="none" w:sz="0" w:space="0" w:color="auto"/>
                  </w:divBdr>
                  <w:divsChild>
                    <w:div w:id="613054428">
                      <w:marLeft w:val="0"/>
                      <w:marRight w:val="0"/>
                      <w:marTop w:val="0"/>
                      <w:marBottom w:val="0"/>
                      <w:divBdr>
                        <w:top w:val="none" w:sz="0" w:space="0" w:color="auto"/>
                        <w:left w:val="none" w:sz="0" w:space="0" w:color="auto"/>
                        <w:bottom w:val="none" w:sz="0" w:space="0" w:color="auto"/>
                        <w:right w:val="none" w:sz="0" w:space="0" w:color="auto"/>
                      </w:divBdr>
                    </w:div>
                    <w:div w:id="1053846363">
                      <w:marLeft w:val="0"/>
                      <w:marRight w:val="0"/>
                      <w:marTop w:val="0"/>
                      <w:marBottom w:val="0"/>
                      <w:divBdr>
                        <w:top w:val="none" w:sz="0" w:space="0" w:color="auto"/>
                        <w:left w:val="none" w:sz="0" w:space="0" w:color="auto"/>
                        <w:bottom w:val="none" w:sz="0" w:space="0" w:color="auto"/>
                        <w:right w:val="none" w:sz="0" w:space="0" w:color="auto"/>
                      </w:divBdr>
                    </w:div>
                  </w:divsChild>
                </w:div>
                <w:div w:id="1461457255">
                  <w:marLeft w:val="0"/>
                  <w:marRight w:val="0"/>
                  <w:marTop w:val="0"/>
                  <w:marBottom w:val="0"/>
                  <w:divBdr>
                    <w:top w:val="none" w:sz="0" w:space="0" w:color="auto"/>
                    <w:left w:val="none" w:sz="0" w:space="0" w:color="auto"/>
                    <w:bottom w:val="none" w:sz="0" w:space="0" w:color="auto"/>
                    <w:right w:val="none" w:sz="0" w:space="0" w:color="auto"/>
                  </w:divBdr>
                  <w:divsChild>
                    <w:div w:id="711923309">
                      <w:marLeft w:val="0"/>
                      <w:marRight w:val="0"/>
                      <w:marTop w:val="0"/>
                      <w:marBottom w:val="0"/>
                      <w:divBdr>
                        <w:top w:val="none" w:sz="0" w:space="0" w:color="auto"/>
                        <w:left w:val="none" w:sz="0" w:space="0" w:color="auto"/>
                        <w:bottom w:val="none" w:sz="0" w:space="0" w:color="auto"/>
                        <w:right w:val="none" w:sz="0" w:space="0" w:color="auto"/>
                      </w:divBdr>
                    </w:div>
                  </w:divsChild>
                </w:div>
                <w:div w:id="1471363498">
                  <w:marLeft w:val="0"/>
                  <w:marRight w:val="0"/>
                  <w:marTop w:val="0"/>
                  <w:marBottom w:val="0"/>
                  <w:divBdr>
                    <w:top w:val="none" w:sz="0" w:space="0" w:color="auto"/>
                    <w:left w:val="none" w:sz="0" w:space="0" w:color="auto"/>
                    <w:bottom w:val="none" w:sz="0" w:space="0" w:color="auto"/>
                    <w:right w:val="none" w:sz="0" w:space="0" w:color="auto"/>
                  </w:divBdr>
                  <w:divsChild>
                    <w:div w:id="584458108">
                      <w:marLeft w:val="0"/>
                      <w:marRight w:val="0"/>
                      <w:marTop w:val="0"/>
                      <w:marBottom w:val="0"/>
                      <w:divBdr>
                        <w:top w:val="none" w:sz="0" w:space="0" w:color="auto"/>
                        <w:left w:val="none" w:sz="0" w:space="0" w:color="auto"/>
                        <w:bottom w:val="none" w:sz="0" w:space="0" w:color="auto"/>
                        <w:right w:val="none" w:sz="0" w:space="0" w:color="auto"/>
                      </w:divBdr>
                    </w:div>
                  </w:divsChild>
                </w:div>
                <w:div w:id="1538934796">
                  <w:marLeft w:val="0"/>
                  <w:marRight w:val="0"/>
                  <w:marTop w:val="0"/>
                  <w:marBottom w:val="0"/>
                  <w:divBdr>
                    <w:top w:val="none" w:sz="0" w:space="0" w:color="auto"/>
                    <w:left w:val="none" w:sz="0" w:space="0" w:color="auto"/>
                    <w:bottom w:val="none" w:sz="0" w:space="0" w:color="auto"/>
                    <w:right w:val="none" w:sz="0" w:space="0" w:color="auto"/>
                  </w:divBdr>
                  <w:divsChild>
                    <w:div w:id="824011185">
                      <w:marLeft w:val="0"/>
                      <w:marRight w:val="0"/>
                      <w:marTop w:val="0"/>
                      <w:marBottom w:val="0"/>
                      <w:divBdr>
                        <w:top w:val="none" w:sz="0" w:space="0" w:color="auto"/>
                        <w:left w:val="none" w:sz="0" w:space="0" w:color="auto"/>
                        <w:bottom w:val="none" w:sz="0" w:space="0" w:color="auto"/>
                        <w:right w:val="none" w:sz="0" w:space="0" w:color="auto"/>
                      </w:divBdr>
                    </w:div>
                  </w:divsChild>
                </w:div>
                <w:div w:id="1773088298">
                  <w:marLeft w:val="0"/>
                  <w:marRight w:val="0"/>
                  <w:marTop w:val="0"/>
                  <w:marBottom w:val="0"/>
                  <w:divBdr>
                    <w:top w:val="none" w:sz="0" w:space="0" w:color="auto"/>
                    <w:left w:val="none" w:sz="0" w:space="0" w:color="auto"/>
                    <w:bottom w:val="none" w:sz="0" w:space="0" w:color="auto"/>
                    <w:right w:val="none" w:sz="0" w:space="0" w:color="auto"/>
                  </w:divBdr>
                  <w:divsChild>
                    <w:div w:id="1997033237">
                      <w:marLeft w:val="0"/>
                      <w:marRight w:val="0"/>
                      <w:marTop w:val="0"/>
                      <w:marBottom w:val="0"/>
                      <w:divBdr>
                        <w:top w:val="none" w:sz="0" w:space="0" w:color="auto"/>
                        <w:left w:val="none" w:sz="0" w:space="0" w:color="auto"/>
                        <w:bottom w:val="none" w:sz="0" w:space="0" w:color="auto"/>
                        <w:right w:val="none" w:sz="0" w:space="0" w:color="auto"/>
                      </w:divBdr>
                    </w:div>
                  </w:divsChild>
                </w:div>
                <w:div w:id="1778984069">
                  <w:marLeft w:val="0"/>
                  <w:marRight w:val="0"/>
                  <w:marTop w:val="0"/>
                  <w:marBottom w:val="0"/>
                  <w:divBdr>
                    <w:top w:val="none" w:sz="0" w:space="0" w:color="auto"/>
                    <w:left w:val="none" w:sz="0" w:space="0" w:color="auto"/>
                    <w:bottom w:val="none" w:sz="0" w:space="0" w:color="auto"/>
                    <w:right w:val="none" w:sz="0" w:space="0" w:color="auto"/>
                  </w:divBdr>
                  <w:divsChild>
                    <w:div w:id="650058583">
                      <w:marLeft w:val="0"/>
                      <w:marRight w:val="0"/>
                      <w:marTop w:val="0"/>
                      <w:marBottom w:val="0"/>
                      <w:divBdr>
                        <w:top w:val="none" w:sz="0" w:space="0" w:color="auto"/>
                        <w:left w:val="none" w:sz="0" w:space="0" w:color="auto"/>
                        <w:bottom w:val="none" w:sz="0" w:space="0" w:color="auto"/>
                        <w:right w:val="none" w:sz="0" w:space="0" w:color="auto"/>
                      </w:divBdr>
                    </w:div>
                  </w:divsChild>
                </w:div>
                <w:div w:id="1792090760">
                  <w:marLeft w:val="0"/>
                  <w:marRight w:val="0"/>
                  <w:marTop w:val="0"/>
                  <w:marBottom w:val="0"/>
                  <w:divBdr>
                    <w:top w:val="none" w:sz="0" w:space="0" w:color="auto"/>
                    <w:left w:val="none" w:sz="0" w:space="0" w:color="auto"/>
                    <w:bottom w:val="none" w:sz="0" w:space="0" w:color="auto"/>
                    <w:right w:val="none" w:sz="0" w:space="0" w:color="auto"/>
                  </w:divBdr>
                  <w:divsChild>
                    <w:div w:id="489907804">
                      <w:marLeft w:val="0"/>
                      <w:marRight w:val="0"/>
                      <w:marTop w:val="0"/>
                      <w:marBottom w:val="0"/>
                      <w:divBdr>
                        <w:top w:val="none" w:sz="0" w:space="0" w:color="auto"/>
                        <w:left w:val="none" w:sz="0" w:space="0" w:color="auto"/>
                        <w:bottom w:val="none" w:sz="0" w:space="0" w:color="auto"/>
                        <w:right w:val="none" w:sz="0" w:space="0" w:color="auto"/>
                      </w:divBdr>
                    </w:div>
                  </w:divsChild>
                </w:div>
                <w:div w:id="1872910760">
                  <w:marLeft w:val="0"/>
                  <w:marRight w:val="0"/>
                  <w:marTop w:val="0"/>
                  <w:marBottom w:val="0"/>
                  <w:divBdr>
                    <w:top w:val="none" w:sz="0" w:space="0" w:color="auto"/>
                    <w:left w:val="none" w:sz="0" w:space="0" w:color="auto"/>
                    <w:bottom w:val="none" w:sz="0" w:space="0" w:color="auto"/>
                    <w:right w:val="none" w:sz="0" w:space="0" w:color="auto"/>
                  </w:divBdr>
                  <w:divsChild>
                    <w:div w:id="663701242">
                      <w:marLeft w:val="0"/>
                      <w:marRight w:val="0"/>
                      <w:marTop w:val="0"/>
                      <w:marBottom w:val="0"/>
                      <w:divBdr>
                        <w:top w:val="none" w:sz="0" w:space="0" w:color="auto"/>
                        <w:left w:val="none" w:sz="0" w:space="0" w:color="auto"/>
                        <w:bottom w:val="none" w:sz="0" w:space="0" w:color="auto"/>
                        <w:right w:val="none" w:sz="0" w:space="0" w:color="auto"/>
                      </w:divBdr>
                    </w:div>
                  </w:divsChild>
                </w:div>
                <w:div w:id="1937328935">
                  <w:marLeft w:val="0"/>
                  <w:marRight w:val="0"/>
                  <w:marTop w:val="0"/>
                  <w:marBottom w:val="0"/>
                  <w:divBdr>
                    <w:top w:val="none" w:sz="0" w:space="0" w:color="auto"/>
                    <w:left w:val="none" w:sz="0" w:space="0" w:color="auto"/>
                    <w:bottom w:val="none" w:sz="0" w:space="0" w:color="auto"/>
                    <w:right w:val="none" w:sz="0" w:space="0" w:color="auto"/>
                  </w:divBdr>
                  <w:divsChild>
                    <w:div w:id="819660933">
                      <w:marLeft w:val="0"/>
                      <w:marRight w:val="0"/>
                      <w:marTop w:val="0"/>
                      <w:marBottom w:val="0"/>
                      <w:divBdr>
                        <w:top w:val="none" w:sz="0" w:space="0" w:color="auto"/>
                        <w:left w:val="none" w:sz="0" w:space="0" w:color="auto"/>
                        <w:bottom w:val="none" w:sz="0" w:space="0" w:color="auto"/>
                        <w:right w:val="none" w:sz="0" w:space="0" w:color="auto"/>
                      </w:divBdr>
                    </w:div>
                  </w:divsChild>
                </w:div>
                <w:div w:id="2042436064">
                  <w:marLeft w:val="0"/>
                  <w:marRight w:val="0"/>
                  <w:marTop w:val="0"/>
                  <w:marBottom w:val="0"/>
                  <w:divBdr>
                    <w:top w:val="none" w:sz="0" w:space="0" w:color="auto"/>
                    <w:left w:val="none" w:sz="0" w:space="0" w:color="auto"/>
                    <w:bottom w:val="none" w:sz="0" w:space="0" w:color="auto"/>
                    <w:right w:val="none" w:sz="0" w:space="0" w:color="auto"/>
                  </w:divBdr>
                  <w:divsChild>
                    <w:div w:id="1075782568">
                      <w:marLeft w:val="0"/>
                      <w:marRight w:val="0"/>
                      <w:marTop w:val="0"/>
                      <w:marBottom w:val="0"/>
                      <w:divBdr>
                        <w:top w:val="none" w:sz="0" w:space="0" w:color="auto"/>
                        <w:left w:val="none" w:sz="0" w:space="0" w:color="auto"/>
                        <w:bottom w:val="none" w:sz="0" w:space="0" w:color="auto"/>
                        <w:right w:val="none" w:sz="0" w:space="0" w:color="auto"/>
                      </w:divBdr>
                    </w:div>
                  </w:divsChild>
                </w:div>
                <w:div w:id="2061321467">
                  <w:marLeft w:val="0"/>
                  <w:marRight w:val="0"/>
                  <w:marTop w:val="0"/>
                  <w:marBottom w:val="0"/>
                  <w:divBdr>
                    <w:top w:val="none" w:sz="0" w:space="0" w:color="auto"/>
                    <w:left w:val="none" w:sz="0" w:space="0" w:color="auto"/>
                    <w:bottom w:val="none" w:sz="0" w:space="0" w:color="auto"/>
                    <w:right w:val="none" w:sz="0" w:space="0" w:color="auto"/>
                  </w:divBdr>
                  <w:divsChild>
                    <w:div w:id="544486480">
                      <w:marLeft w:val="0"/>
                      <w:marRight w:val="0"/>
                      <w:marTop w:val="0"/>
                      <w:marBottom w:val="0"/>
                      <w:divBdr>
                        <w:top w:val="none" w:sz="0" w:space="0" w:color="auto"/>
                        <w:left w:val="none" w:sz="0" w:space="0" w:color="auto"/>
                        <w:bottom w:val="none" w:sz="0" w:space="0" w:color="auto"/>
                        <w:right w:val="none" w:sz="0" w:space="0" w:color="auto"/>
                      </w:divBdr>
                    </w:div>
                  </w:divsChild>
                </w:div>
                <w:div w:id="2080907157">
                  <w:marLeft w:val="0"/>
                  <w:marRight w:val="0"/>
                  <w:marTop w:val="0"/>
                  <w:marBottom w:val="0"/>
                  <w:divBdr>
                    <w:top w:val="none" w:sz="0" w:space="0" w:color="auto"/>
                    <w:left w:val="none" w:sz="0" w:space="0" w:color="auto"/>
                    <w:bottom w:val="none" w:sz="0" w:space="0" w:color="auto"/>
                    <w:right w:val="none" w:sz="0" w:space="0" w:color="auto"/>
                  </w:divBdr>
                  <w:divsChild>
                    <w:div w:id="1527644286">
                      <w:marLeft w:val="0"/>
                      <w:marRight w:val="0"/>
                      <w:marTop w:val="0"/>
                      <w:marBottom w:val="0"/>
                      <w:divBdr>
                        <w:top w:val="none" w:sz="0" w:space="0" w:color="auto"/>
                        <w:left w:val="none" w:sz="0" w:space="0" w:color="auto"/>
                        <w:bottom w:val="none" w:sz="0" w:space="0" w:color="auto"/>
                        <w:right w:val="none" w:sz="0" w:space="0" w:color="auto"/>
                      </w:divBdr>
                    </w:div>
                  </w:divsChild>
                </w:div>
                <w:div w:id="2094159528">
                  <w:marLeft w:val="0"/>
                  <w:marRight w:val="0"/>
                  <w:marTop w:val="0"/>
                  <w:marBottom w:val="0"/>
                  <w:divBdr>
                    <w:top w:val="none" w:sz="0" w:space="0" w:color="auto"/>
                    <w:left w:val="none" w:sz="0" w:space="0" w:color="auto"/>
                    <w:bottom w:val="none" w:sz="0" w:space="0" w:color="auto"/>
                    <w:right w:val="none" w:sz="0" w:space="0" w:color="auto"/>
                  </w:divBdr>
                  <w:divsChild>
                    <w:div w:id="12234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3039">
          <w:marLeft w:val="0"/>
          <w:marRight w:val="0"/>
          <w:marTop w:val="0"/>
          <w:marBottom w:val="0"/>
          <w:divBdr>
            <w:top w:val="none" w:sz="0" w:space="0" w:color="auto"/>
            <w:left w:val="none" w:sz="0" w:space="0" w:color="auto"/>
            <w:bottom w:val="none" w:sz="0" w:space="0" w:color="auto"/>
            <w:right w:val="none" w:sz="0" w:space="0" w:color="auto"/>
          </w:divBdr>
        </w:div>
        <w:div w:id="1453475898">
          <w:marLeft w:val="0"/>
          <w:marRight w:val="0"/>
          <w:marTop w:val="0"/>
          <w:marBottom w:val="0"/>
          <w:divBdr>
            <w:top w:val="none" w:sz="0" w:space="0" w:color="auto"/>
            <w:left w:val="none" w:sz="0" w:space="0" w:color="auto"/>
            <w:bottom w:val="none" w:sz="0" w:space="0" w:color="auto"/>
            <w:right w:val="none" w:sz="0" w:space="0" w:color="auto"/>
          </w:divBdr>
        </w:div>
        <w:div w:id="1481652066">
          <w:marLeft w:val="0"/>
          <w:marRight w:val="0"/>
          <w:marTop w:val="0"/>
          <w:marBottom w:val="0"/>
          <w:divBdr>
            <w:top w:val="none" w:sz="0" w:space="0" w:color="auto"/>
            <w:left w:val="none" w:sz="0" w:space="0" w:color="auto"/>
            <w:bottom w:val="none" w:sz="0" w:space="0" w:color="auto"/>
            <w:right w:val="none" w:sz="0" w:space="0" w:color="auto"/>
          </w:divBdr>
        </w:div>
      </w:divsChild>
    </w:div>
    <w:div w:id="814371116">
      <w:bodyDiv w:val="1"/>
      <w:marLeft w:val="0"/>
      <w:marRight w:val="0"/>
      <w:marTop w:val="0"/>
      <w:marBottom w:val="0"/>
      <w:divBdr>
        <w:top w:val="none" w:sz="0" w:space="0" w:color="auto"/>
        <w:left w:val="none" w:sz="0" w:space="0" w:color="auto"/>
        <w:bottom w:val="none" w:sz="0" w:space="0" w:color="auto"/>
        <w:right w:val="none" w:sz="0" w:space="0" w:color="auto"/>
      </w:divBdr>
    </w:div>
    <w:div w:id="835657313">
      <w:bodyDiv w:val="1"/>
      <w:marLeft w:val="0"/>
      <w:marRight w:val="0"/>
      <w:marTop w:val="0"/>
      <w:marBottom w:val="0"/>
      <w:divBdr>
        <w:top w:val="none" w:sz="0" w:space="0" w:color="auto"/>
        <w:left w:val="none" w:sz="0" w:space="0" w:color="auto"/>
        <w:bottom w:val="none" w:sz="0" w:space="0" w:color="auto"/>
        <w:right w:val="none" w:sz="0" w:space="0" w:color="auto"/>
      </w:divBdr>
    </w:div>
    <w:div w:id="908879636">
      <w:bodyDiv w:val="1"/>
      <w:marLeft w:val="0"/>
      <w:marRight w:val="0"/>
      <w:marTop w:val="0"/>
      <w:marBottom w:val="0"/>
      <w:divBdr>
        <w:top w:val="none" w:sz="0" w:space="0" w:color="auto"/>
        <w:left w:val="none" w:sz="0" w:space="0" w:color="auto"/>
        <w:bottom w:val="none" w:sz="0" w:space="0" w:color="auto"/>
        <w:right w:val="none" w:sz="0" w:space="0" w:color="auto"/>
      </w:divBdr>
    </w:div>
    <w:div w:id="1003781293">
      <w:bodyDiv w:val="1"/>
      <w:marLeft w:val="0"/>
      <w:marRight w:val="0"/>
      <w:marTop w:val="0"/>
      <w:marBottom w:val="0"/>
      <w:divBdr>
        <w:top w:val="none" w:sz="0" w:space="0" w:color="auto"/>
        <w:left w:val="none" w:sz="0" w:space="0" w:color="auto"/>
        <w:bottom w:val="none" w:sz="0" w:space="0" w:color="auto"/>
        <w:right w:val="none" w:sz="0" w:space="0" w:color="auto"/>
      </w:divBdr>
    </w:div>
    <w:div w:id="1044402587">
      <w:bodyDiv w:val="1"/>
      <w:marLeft w:val="0"/>
      <w:marRight w:val="0"/>
      <w:marTop w:val="0"/>
      <w:marBottom w:val="0"/>
      <w:divBdr>
        <w:top w:val="none" w:sz="0" w:space="0" w:color="auto"/>
        <w:left w:val="none" w:sz="0" w:space="0" w:color="auto"/>
        <w:bottom w:val="none" w:sz="0" w:space="0" w:color="auto"/>
        <w:right w:val="none" w:sz="0" w:space="0" w:color="auto"/>
      </w:divBdr>
    </w:div>
    <w:div w:id="1044794174">
      <w:bodyDiv w:val="1"/>
      <w:marLeft w:val="0"/>
      <w:marRight w:val="0"/>
      <w:marTop w:val="0"/>
      <w:marBottom w:val="0"/>
      <w:divBdr>
        <w:top w:val="none" w:sz="0" w:space="0" w:color="auto"/>
        <w:left w:val="none" w:sz="0" w:space="0" w:color="auto"/>
        <w:bottom w:val="none" w:sz="0" w:space="0" w:color="auto"/>
        <w:right w:val="none" w:sz="0" w:space="0" w:color="auto"/>
      </w:divBdr>
    </w:div>
    <w:div w:id="1049767931">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3691210">
      <w:bodyDiv w:val="1"/>
      <w:marLeft w:val="0"/>
      <w:marRight w:val="0"/>
      <w:marTop w:val="0"/>
      <w:marBottom w:val="0"/>
      <w:divBdr>
        <w:top w:val="none" w:sz="0" w:space="0" w:color="auto"/>
        <w:left w:val="none" w:sz="0" w:space="0" w:color="auto"/>
        <w:bottom w:val="none" w:sz="0" w:space="0" w:color="auto"/>
        <w:right w:val="none" w:sz="0" w:space="0" w:color="auto"/>
      </w:divBdr>
    </w:div>
    <w:div w:id="1131825722">
      <w:bodyDiv w:val="1"/>
      <w:marLeft w:val="0"/>
      <w:marRight w:val="0"/>
      <w:marTop w:val="0"/>
      <w:marBottom w:val="0"/>
      <w:divBdr>
        <w:top w:val="none" w:sz="0" w:space="0" w:color="auto"/>
        <w:left w:val="none" w:sz="0" w:space="0" w:color="auto"/>
        <w:bottom w:val="none" w:sz="0" w:space="0" w:color="auto"/>
        <w:right w:val="none" w:sz="0" w:space="0" w:color="auto"/>
      </w:divBdr>
    </w:div>
    <w:div w:id="1148933961">
      <w:bodyDiv w:val="1"/>
      <w:marLeft w:val="0"/>
      <w:marRight w:val="0"/>
      <w:marTop w:val="0"/>
      <w:marBottom w:val="0"/>
      <w:divBdr>
        <w:top w:val="none" w:sz="0" w:space="0" w:color="auto"/>
        <w:left w:val="none" w:sz="0" w:space="0" w:color="auto"/>
        <w:bottom w:val="none" w:sz="0" w:space="0" w:color="auto"/>
        <w:right w:val="none" w:sz="0" w:space="0" w:color="auto"/>
      </w:divBdr>
    </w:div>
    <w:div w:id="1149788075">
      <w:bodyDiv w:val="1"/>
      <w:marLeft w:val="0"/>
      <w:marRight w:val="0"/>
      <w:marTop w:val="0"/>
      <w:marBottom w:val="0"/>
      <w:divBdr>
        <w:top w:val="none" w:sz="0" w:space="0" w:color="auto"/>
        <w:left w:val="none" w:sz="0" w:space="0" w:color="auto"/>
        <w:bottom w:val="none" w:sz="0" w:space="0" w:color="auto"/>
        <w:right w:val="none" w:sz="0" w:space="0" w:color="auto"/>
      </w:divBdr>
    </w:div>
    <w:div w:id="1153332451">
      <w:bodyDiv w:val="1"/>
      <w:marLeft w:val="0"/>
      <w:marRight w:val="0"/>
      <w:marTop w:val="0"/>
      <w:marBottom w:val="0"/>
      <w:divBdr>
        <w:top w:val="none" w:sz="0" w:space="0" w:color="auto"/>
        <w:left w:val="none" w:sz="0" w:space="0" w:color="auto"/>
        <w:bottom w:val="none" w:sz="0" w:space="0" w:color="auto"/>
        <w:right w:val="none" w:sz="0" w:space="0" w:color="auto"/>
      </w:divBdr>
    </w:div>
    <w:div w:id="1200049730">
      <w:bodyDiv w:val="1"/>
      <w:marLeft w:val="0"/>
      <w:marRight w:val="0"/>
      <w:marTop w:val="0"/>
      <w:marBottom w:val="0"/>
      <w:divBdr>
        <w:top w:val="none" w:sz="0" w:space="0" w:color="auto"/>
        <w:left w:val="none" w:sz="0" w:space="0" w:color="auto"/>
        <w:bottom w:val="none" w:sz="0" w:space="0" w:color="auto"/>
        <w:right w:val="none" w:sz="0" w:space="0" w:color="auto"/>
      </w:divBdr>
    </w:div>
    <w:div w:id="1223827290">
      <w:bodyDiv w:val="1"/>
      <w:marLeft w:val="0"/>
      <w:marRight w:val="0"/>
      <w:marTop w:val="0"/>
      <w:marBottom w:val="0"/>
      <w:divBdr>
        <w:top w:val="none" w:sz="0" w:space="0" w:color="auto"/>
        <w:left w:val="none" w:sz="0" w:space="0" w:color="auto"/>
        <w:bottom w:val="none" w:sz="0" w:space="0" w:color="auto"/>
        <w:right w:val="none" w:sz="0" w:space="0" w:color="auto"/>
      </w:divBdr>
    </w:div>
    <w:div w:id="1234240477">
      <w:bodyDiv w:val="1"/>
      <w:marLeft w:val="0"/>
      <w:marRight w:val="0"/>
      <w:marTop w:val="0"/>
      <w:marBottom w:val="0"/>
      <w:divBdr>
        <w:top w:val="none" w:sz="0" w:space="0" w:color="auto"/>
        <w:left w:val="none" w:sz="0" w:space="0" w:color="auto"/>
        <w:bottom w:val="none" w:sz="0" w:space="0" w:color="auto"/>
        <w:right w:val="none" w:sz="0" w:space="0" w:color="auto"/>
      </w:divBdr>
      <w:divsChild>
        <w:div w:id="1290933665">
          <w:marLeft w:val="0"/>
          <w:marRight w:val="0"/>
          <w:marTop w:val="0"/>
          <w:marBottom w:val="0"/>
          <w:divBdr>
            <w:top w:val="none" w:sz="0" w:space="0" w:color="auto"/>
            <w:left w:val="none" w:sz="0" w:space="0" w:color="auto"/>
            <w:bottom w:val="none" w:sz="0" w:space="0" w:color="auto"/>
            <w:right w:val="none" w:sz="0" w:space="0" w:color="auto"/>
          </w:divBdr>
          <w:divsChild>
            <w:div w:id="1512797895">
              <w:marLeft w:val="0"/>
              <w:marRight w:val="0"/>
              <w:marTop w:val="0"/>
              <w:marBottom w:val="0"/>
              <w:divBdr>
                <w:top w:val="none" w:sz="0" w:space="0" w:color="auto"/>
                <w:left w:val="none" w:sz="0" w:space="0" w:color="auto"/>
                <w:bottom w:val="none" w:sz="0" w:space="0" w:color="auto"/>
                <w:right w:val="none" w:sz="0" w:space="0" w:color="auto"/>
              </w:divBdr>
              <w:divsChild>
                <w:div w:id="1934893417">
                  <w:marLeft w:val="0"/>
                  <w:marRight w:val="0"/>
                  <w:marTop w:val="0"/>
                  <w:marBottom w:val="0"/>
                  <w:divBdr>
                    <w:top w:val="none" w:sz="0" w:space="0" w:color="auto"/>
                    <w:left w:val="none" w:sz="0" w:space="0" w:color="auto"/>
                    <w:bottom w:val="none" w:sz="0" w:space="0" w:color="auto"/>
                    <w:right w:val="none" w:sz="0" w:space="0" w:color="auto"/>
                  </w:divBdr>
                  <w:divsChild>
                    <w:div w:id="1889604902">
                      <w:marLeft w:val="0"/>
                      <w:marRight w:val="0"/>
                      <w:marTop w:val="0"/>
                      <w:marBottom w:val="0"/>
                      <w:divBdr>
                        <w:top w:val="none" w:sz="0" w:space="0" w:color="auto"/>
                        <w:left w:val="none" w:sz="0" w:space="0" w:color="auto"/>
                        <w:bottom w:val="none" w:sz="0" w:space="0" w:color="auto"/>
                        <w:right w:val="none" w:sz="0" w:space="0" w:color="auto"/>
                      </w:divBdr>
                      <w:divsChild>
                        <w:div w:id="18488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516900">
      <w:bodyDiv w:val="1"/>
      <w:marLeft w:val="0"/>
      <w:marRight w:val="0"/>
      <w:marTop w:val="0"/>
      <w:marBottom w:val="0"/>
      <w:divBdr>
        <w:top w:val="none" w:sz="0" w:space="0" w:color="auto"/>
        <w:left w:val="none" w:sz="0" w:space="0" w:color="auto"/>
        <w:bottom w:val="none" w:sz="0" w:space="0" w:color="auto"/>
        <w:right w:val="none" w:sz="0" w:space="0" w:color="auto"/>
      </w:divBdr>
    </w:div>
    <w:div w:id="1296981209">
      <w:bodyDiv w:val="1"/>
      <w:marLeft w:val="0"/>
      <w:marRight w:val="0"/>
      <w:marTop w:val="0"/>
      <w:marBottom w:val="0"/>
      <w:divBdr>
        <w:top w:val="none" w:sz="0" w:space="0" w:color="auto"/>
        <w:left w:val="none" w:sz="0" w:space="0" w:color="auto"/>
        <w:bottom w:val="none" w:sz="0" w:space="0" w:color="auto"/>
        <w:right w:val="none" w:sz="0" w:space="0" w:color="auto"/>
      </w:divBdr>
    </w:div>
    <w:div w:id="1333334036">
      <w:bodyDiv w:val="1"/>
      <w:marLeft w:val="0"/>
      <w:marRight w:val="0"/>
      <w:marTop w:val="0"/>
      <w:marBottom w:val="0"/>
      <w:divBdr>
        <w:top w:val="none" w:sz="0" w:space="0" w:color="auto"/>
        <w:left w:val="none" w:sz="0" w:space="0" w:color="auto"/>
        <w:bottom w:val="none" w:sz="0" w:space="0" w:color="auto"/>
        <w:right w:val="none" w:sz="0" w:space="0" w:color="auto"/>
      </w:divBdr>
    </w:div>
    <w:div w:id="1367296003">
      <w:bodyDiv w:val="1"/>
      <w:marLeft w:val="0"/>
      <w:marRight w:val="0"/>
      <w:marTop w:val="0"/>
      <w:marBottom w:val="0"/>
      <w:divBdr>
        <w:top w:val="none" w:sz="0" w:space="0" w:color="auto"/>
        <w:left w:val="none" w:sz="0" w:space="0" w:color="auto"/>
        <w:bottom w:val="none" w:sz="0" w:space="0" w:color="auto"/>
        <w:right w:val="none" w:sz="0" w:space="0" w:color="auto"/>
      </w:divBdr>
    </w:div>
    <w:div w:id="1423914046">
      <w:bodyDiv w:val="1"/>
      <w:marLeft w:val="0"/>
      <w:marRight w:val="0"/>
      <w:marTop w:val="0"/>
      <w:marBottom w:val="0"/>
      <w:divBdr>
        <w:top w:val="none" w:sz="0" w:space="0" w:color="auto"/>
        <w:left w:val="none" w:sz="0" w:space="0" w:color="auto"/>
        <w:bottom w:val="none" w:sz="0" w:space="0" w:color="auto"/>
        <w:right w:val="none" w:sz="0" w:space="0" w:color="auto"/>
      </w:divBdr>
    </w:div>
    <w:div w:id="1451780309">
      <w:bodyDiv w:val="1"/>
      <w:marLeft w:val="0"/>
      <w:marRight w:val="0"/>
      <w:marTop w:val="0"/>
      <w:marBottom w:val="0"/>
      <w:divBdr>
        <w:top w:val="none" w:sz="0" w:space="0" w:color="auto"/>
        <w:left w:val="none" w:sz="0" w:space="0" w:color="auto"/>
        <w:bottom w:val="none" w:sz="0" w:space="0" w:color="auto"/>
        <w:right w:val="none" w:sz="0" w:space="0" w:color="auto"/>
      </w:divBdr>
    </w:div>
    <w:div w:id="1472359646">
      <w:bodyDiv w:val="1"/>
      <w:marLeft w:val="0"/>
      <w:marRight w:val="0"/>
      <w:marTop w:val="0"/>
      <w:marBottom w:val="0"/>
      <w:divBdr>
        <w:top w:val="none" w:sz="0" w:space="0" w:color="auto"/>
        <w:left w:val="none" w:sz="0" w:space="0" w:color="auto"/>
        <w:bottom w:val="none" w:sz="0" w:space="0" w:color="auto"/>
        <w:right w:val="none" w:sz="0" w:space="0" w:color="auto"/>
      </w:divBdr>
    </w:div>
    <w:div w:id="1474516691">
      <w:bodyDiv w:val="1"/>
      <w:marLeft w:val="0"/>
      <w:marRight w:val="0"/>
      <w:marTop w:val="0"/>
      <w:marBottom w:val="0"/>
      <w:divBdr>
        <w:top w:val="none" w:sz="0" w:space="0" w:color="auto"/>
        <w:left w:val="none" w:sz="0" w:space="0" w:color="auto"/>
        <w:bottom w:val="none" w:sz="0" w:space="0" w:color="auto"/>
        <w:right w:val="none" w:sz="0" w:space="0" w:color="auto"/>
      </w:divBdr>
    </w:div>
    <w:div w:id="1486429588">
      <w:bodyDiv w:val="1"/>
      <w:marLeft w:val="0"/>
      <w:marRight w:val="0"/>
      <w:marTop w:val="0"/>
      <w:marBottom w:val="0"/>
      <w:divBdr>
        <w:top w:val="none" w:sz="0" w:space="0" w:color="auto"/>
        <w:left w:val="none" w:sz="0" w:space="0" w:color="auto"/>
        <w:bottom w:val="none" w:sz="0" w:space="0" w:color="auto"/>
        <w:right w:val="none" w:sz="0" w:space="0" w:color="auto"/>
      </w:divBdr>
    </w:div>
    <w:div w:id="1487362530">
      <w:bodyDiv w:val="1"/>
      <w:marLeft w:val="0"/>
      <w:marRight w:val="0"/>
      <w:marTop w:val="0"/>
      <w:marBottom w:val="0"/>
      <w:divBdr>
        <w:top w:val="none" w:sz="0" w:space="0" w:color="auto"/>
        <w:left w:val="none" w:sz="0" w:space="0" w:color="auto"/>
        <w:bottom w:val="none" w:sz="0" w:space="0" w:color="auto"/>
        <w:right w:val="none" w:sz="0" w:space="0" w:color="auto"/>
      </w:divBdr>
      <w:divsChild>
        <w:div w:id="1844471307">
          <w:marLeft w:val="0"/>
          <w:marRight w:val="0"/>
          <w:marTop w:val="0"/>
          <w:marBottom w:val="0"/>
          <w:divBdr>
            <w:top w:val="none" w:sz="0" w:space="0" w:color="auto"/>
            <w:left w:val="none" w:sz="0" w:space="0" w:color="auto"/>
            <w:bottom w:val="none" w:sz="0" w:space="0" w:color="auto"/>
            <w:right w:val="none" w:sz="0" w:space="0" w:color="auto"/>
          </w:divBdr>
          <w:divsChild>
            <w:div w:id="2038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5820">
      <w:bodyDiv w:val="1"/>
      <w:marLeft w:val="0"/>
      <w:marRight w:val="0"/>
      <w:marTop w:val="0"/>
      <w:marBottom w:val="0"/>
      <w:divBdr>
        <w:top w:val="none" w:sz="0" w:space="0" w:color="auto"/>
        <w:left w:val="none" w:sz="0" w:space="0" w:color="auto"/>
        <w:bottom w:val="none" w:sz="0" w:space="0" w:color="auto"/>
        <w:right w:val="none" w:sz="0" w:space="0" w:color="auto"/>
      </w:divBdr>
    </w:div>
    <w:div w:id="1572500628">
      <w:bodyDiv w:val="1"/>
      <w:marLeft w:val="0"/>
      <w:marRight w:val="0"/>
      <w:marTop w:val="0"/>
      <w:marBottom w:val="0"/>
      <w:divBdr>
        <w:top w:val="none" w:sz="0" w:space="0" w:color="auto"/>
        <w:left w:val="none" w:sz="0" w:space="0" w:color="auto"/>
        <w:bottom w:val="none" w:sz="0" w:space="0" w:color="auto"/>
        <w:right w:val="none" w:sz="0" w:space="0" w:color="auto"/>
      </w:divBdr>
    </w:div>
    <w:div w:id="1621954944">
      <w:bodyDiv w:val="1"/>
      <w:marLeft w:val="0"/>
      <w:marRight w:val="0"/>
      <w:marTop w:val="0"/>
      <w:marBottom w:val="0"/>
      <w:divBdr>
        <w:top w:val="none" w:sz="0" w:space="0" w:color="auto"/>
        <w:left w:val="none" w:sz="0" w:space="0" w:color="auto"/>
        <w:bottom w:val="none" w:sz="0" w:space="0" w:color="auto"/>
        <w:right w:val="none" w:sz="0" w:space="0" w:color="auto"/>
      </w:divBdr>
    </w:div>
    <w:div w:id="1632705399">
      <w:bodyDiv w:val="1"/>
      <w:marLeft w:val="0"/>
      <w:marRight w:val="0"/>
      <w:marTop w:val="0"/>
      <w:marBottom w:val="0"/>
      <w:divBdr>
        <w:top w:val="none" w:sz="0" w:space="0" w:color="auto"/>
        <w:left w:val="none" w:sz="0" w:space="0" w:color="auto"/>
        <w:bottom w:val="none" w:sz="0" w:space="0" w:color="auto"/>
        <w:right w:val="none" w:sz="0" w:space="0" w:color="auto"/>
      </w:divBdr>
    </w:div>
    <w:div w:id="1720788322">
      <w:bodyDiv w:val="1"/>
      <w:marLeft w:val="0"/>
      <w:marRight w:val="0"/>
      <w:marTop w:val="0"/>
      <w:marBottom w:val="0"/>
      <w:divBdr>
        <w:top w:val="none" w:sz="0" w:space="0" w:color="auto"/>
        <w:left w:val="none" w:sz="0" w:space="0" w:color="auto"/>
        <w:bottom w:val="none" w:sz="0" w:space="0" w:color="auto"/>
        <w:right w:val="none" w:sz="0" w:space="0" w:color="auto"/>
      </w:divBdr>
    </w:div>
    <w:div w:id="1754005670">
      <w:bodyDiv w:val="1"/>
      <w:marLeft w:val="0"/>
      <w:marRight w:val="0"/>
      <w:marTop w:val="0"/>
      <w:marBottom w:val="0"/>
      <w:divBdr>
        <w:top w:val="none" w:sz="0" w:space="0" w:color="auto"/>
        <w:left w:val="none" w:sz="0" w:space="0" w:color="auto"/>
        <w:bottom w:val="none" w:sz="0" w:space="0" w:color="auto"/>
        <w:right w:val="none" w:sz="0" w:space="0" w:color="auto"/>
      </w:divBdr>
    </w:div>
    <w:div w:id="1886478798">
      <w:bodyDiv w:val="1"/>
      <w:marLeft w:val="0"/>
      <w:marRight w:val="0"/>
      <w:marTop w:val="0"/>
      <w:marBottom w:val="0"/>
      <w:divBdr>
        <w:top w:val="none" w:sz="0" w:space="0" w:color="auto"/>
        <w:left w:val="none" w:sz="0" w:space="0" w:color="auto"/>
        <w:bottom w:val="none" w:sz="0" w:space="0" w:color="auto"/>
        <w:right w:val="none" w:sz="0" w:space="0" w:color="auto"/>
      </w:divBdr>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914268449">
      <w:bodyDiv w:val="1"/>
      <w:marLeft w:val="0"/>
      <w:marRight w:val="0"/>
      <w:marTop w:val="0"/>
      <w:marBottom w:val="0"/>
      <w:divBdr>
        <w:top w:val="none" w:sz="0" w:space="0" w:color="auto"/>
        <w:left w:val="none" w:sz="0" w:space="0" w:color="auto"/>
        <w:bottom w:val="none" w:sz="0" w:space="0" w:color="auto"/>
        <w:right w:val="none" w:sz="0" w:space="0" w:color="auto"/>
      </w:divBdr>
    </w:div>
    <w:div w:id="1956596658">
      <w:bodyDiv w:val="1"/>
      <w:marLeft w:val="0"/>
      <w:marRight w:val="0"/>
      <w:marTop w:val="0"/>
      <w:marBottom w:val="0"/>
      <w:divBdr>
        <w:top w:val="none" w:sz="0" w:space="0" w:color="auto"/>
        <w:left w:val="none" w:sz="0" w:space="0" w:color="auto"/>
        <w:bottom w:val="none" w:sz="0" w:space="0" w:color="auto"/>
        <w:right w:val="none" w:sz="0" w:space="0" w:color="auto"/>
      </w:divBdr>
    </w:div>
    <w:div w:id="1966227115">
      <w:bodyDiv w:val="1"/>
      <w:marLeft w:val="0"/>
      <w:marRight w:val="0"/>
      <w:marTop w:val="0"/>
      <w:marBottom w:val="0"/>
      <w:divBdr>
        <w:top w:val="none" w:sz="0" w:space="0" w:color="auto"/>
        <w:left w:val="none" w:sz="0" w:space="0" w:color="auto"/>
        <w:bottom w:val="none" w:sz="0" w:space="0" w:color="auto"/>
        <w:right w:val="none" w:sz="0" w:space="0" w:color="auto"/>
      </w:divBdr>
    </w:div>
    <w:div w:id="1977251176">
      <w:bodyDiv w:val="1"/>
      <w:marLeft w:val="0"/>
      <w:marRight w:val="0"/>
      <w:marTop w:val="0"/>
      <w:marBottom w:val="0"/>
      <w:divBdr>
        <w:top w:val="none" w:sz="0" w:space="0" w:color="auto"/>
        <w:left w:val="none" w:sz="0" w:space="0" w:color="auto"/>
        <w:bottom w:val="none" w:sz="0" w:space="0" w:color="auto"/>
        <w:right w:val="none" w:sz="0" w:space="0" w:color="auto"/>
      </w:divBdr>
    </w:div>
    <w:div w:id="1992441669">
      <w:bodyDiv w:val="1"/>
      <w:marLeft w:val="0"/>
      <w:marRight w:val="0"/>
      <w:marTop w:val="0"/>
      <w:marBottom w:val="0"/>
      <w:divBdr>
        <w:top w:val="none" w:sz="0" w:space="0" w:color="auto"/>
        <w:left w:val="none" w:sz="0" w:space="0" w:color="auto"/>
        <w:bottom w:val="none" w:sz="0" w:space="0" w:color="auto"/>
        <w:right w:val="none" w:sz="0" w:space="0" w:color="auto"/>
      </w:divBdr>
    </w:div>
    <w:div w:id="2016878079">
      <w:bodyDiv w:val="1"/>
      <w:marLeft w:val="0"/>
      <w:marRight w:val="0"/>
      <w:marTop w:val="0"/>
      <w:marBottom w:val="0"/>
      <w:divBdr>
        <w:top w:val="none" w:sz="0" w:space="0" w:color="auto"/>
        <w:left w:val="none" w:sz="0" w:space="0" w:color="auto"/>
        <w:bottom w:val="none" w:sz="0" w:space="0" w:color="auto"/>
        <w:right w:val="none" w:sz="0" w:space="0" w:color="auto"/>
      </w:divBdr>
    </w:div>
    <w:div w:id="2025351903">
      <w:bodyDiv w:val="1"/>
      <w:marLeft w:val="0"/>
      <w:marRight w:val="0"/>
      <w:marTop w:val="0"/>
      <w:marBottom w:val="0"/>
      <w:divBdr>
        <w:top w:val="none" w:sz="0" w:space="0" w:color="auto"/>
        <w:left w:val="none" w:sz="0" w:space="0" w:color="auto"/>
        <w:bottom w:val="none" w:sz="0" w:space="0" w:color="auto"/>
        <w:right w:val="none" w:sz="0" w:space="0" w:color="auto"/>
      </w:divBdr>
    </w:div>
    <w:div w:id="2027049445">
      <w:bodyDiv w:val="1"/>
      <w:marLeft w:val="0"/>
      <w:marRight w:val="0"/>
      <w:marTop w:val="0"/>
      <w:marBottom w:val="0"/>
      <w:divBdr>
        <w:top w:val="none" w:sz="0" w:space="0" w:color="auto"/>
        <w:left w:val="none" w:sz="0" w:space="0" w:color="auto"/>
        <w:bottom w:val="none" w:sz="0" w:space="0" w:color="auto"/>
        <w:right w:val="none" w:sz="0" w:space="0" w:color="auto"/>
      </w:divBdr>
    </w:div>
    <w:div w:id="2063675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chart" Target="charts/chart15.xml"/><Relationship Id="rId21" Type="http://schemas.openxmlformats.org/officeDocument/2006/relationships/image" Target="media/image9.png"/><Relationship Id="rId34" Type="http://schemas.openxmlformats.org/officeDocument/2006/relationships/image" Target="media/image10.png"/><Relationship Id="rId42" Type="http://schemas.openxmlformats.org/officeDocument/2006/relationships/chart" Target="charts/chart17.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6.xml"/><Relationship Id="rId11" Type="http://schemas.openxmlformats.org/officeDocument/2006/relationships/image" Target="media/image1.emf"/><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0.xml"/><Relationship Id="rId53" Type="http://schemas.openxmlformats.org/officeDocument/2006/relationships/image" Target="media/image19.svg"/><Relationship Id="rId58" Type="http://schemas.openxmlformats.org/officeDocument/2006/relationships/hyperlink" Target="http://www.trinomics.eu"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image" Target="media/image14.png"/><Relationship Id="rId56" Type="http://schemas.openxmlformats.org/officeDocument/2006/relationships/image" Target="media/image22.emf"/><Relationship Id="rId8" Type="http://schemas.openxmlformats.org/officeDocument/2006/relationships/webSettings" Target="webSettings.xml"/><Relationship Id="rId51" Type="http://schemas.openxmlformats.org/officeDocument/2006/relationships/image" Target="media/image17.sv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4.xml"/><Relationship Id="rId46" Type="http://schemas.openxmlformats.org/officeDocument/2006/relationships/image" Target="media/image12.png"/><Relationship Id="rId59" Type="http://schemas.openxmlformats.org/officeDocument/2006/relationships/image" Target="media/image23.png"/><Relationship Id="rId20" Type="http://schemas.openxmlformats.org/officeDocument/2006/relationships/header" Target="header1.xml"/><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image" Target="media/image15.png"/><Relationship Id="rId57" Type="http://schemas.openxmlformats.org/officeDocument/2006/relationships/hyperlink" Target="http://www.trinomics.eu" TargetMode="Externa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chart" Target="charts/chart19.xml"/><Relationship Id="rId52" Type="http://schemas.openxmlformats.org/officeDocument/2006/relationships/image" Target="media/image18.pn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13" Type="http://schemas.openxmlformats.org/officeDocument/2006/relationships/hyperlink" Target="https://elering.ee/en/biomethane" TargetMode="External"/><Relationship Id="rId18" Type="http://schemas.openxmlformats.org/officeDocument/2006/relationships/hyperlink" Target="https://iea.blob.core.windows.net/assets/9e3a3493-b9a6-4b7d-b499-7ca48e357561/The_Future_of_Hydrogen.pdf" TargetMode="External"/><Relationship Id="rId26" Type="http://schemas.openxmlformats.org/officeDocument/2006/relationships/hyperlink" Target="https://www.hydrogenious.net/wp-content/uploads/2018/08/Hydrogenious_Technologies_LOHC_Products.pdf" TargetMode="External"/><Relationship Id="rId21" Type="http://schemas.openxmlformats.org/officeDocument/2006/relationships/hyperlink" Target="https://www.europeangashub.com/wp-content/uploads/2019/11/Trinomics-biomethane-and-hydrogen-study.pdf" TargetMode="External"/><Relationship Id="rId34" Type="http://schemas.openxmlformats.org/officeDocument/2006/relationships/hyperlink" Target="https://www.gie.eu/wp-content/uploads/filr/3517/Picturing%20the%20value%20of%20gas%20storage%20to%20the%20European%20hydrogen%20system_FINAL_140621.pdf" TargetMode="External"/><Relationship Id="rId7" Type="http://schemas.openxmlformats.org/officeDocument/2006/relationships/hyperlink" Target="https://www.conexus.lv/information-about-storage" TargetMode="External"/><Relationship Id="rId12" Type="http://schemas.openxmlformats.org/officeDocument/2006/relationships/hyperlink" Target="https://www.businessfinland.fi/4abb35/globalassets/finnish-customers/02-build-your-network/bioeconomy--cleantech/alykas-energia/bf_national_hydrogen_roadmap_2020.pdf" TargetMode="External"/><Relationship Id="rId17" Type="http://schemas.openxmlformats.org/officeDocument/2006/relationships/hyperlink" Target="https://www.ise.fraunhofer.de/content/dam/ise/en/documents/information-material/Hydrogen-Technologies/17_en_ISE_Flyer_PEM_electrolysis.pdf" TargetMode="External"/><Relationship Id="rId25" Type="http://schemas.openxmlformats.org/officeDocument/2006/relationships/hyperlink" Target="https://futuregas.dk/wp-content/uploads/2018/06/FutureGas-WP1-Deliverable-1.1.1.-Technologies-and-status-of-methanation-of-biogas-2017_Final.pdf" TargetMode="External"/><Relationship Id="rId33" Type="http://schemas.openxmlformats.org/officeDocument/2006/relationships/hyperlink" Target="https://www.conexus.lv/information-about-storage" TargetMode="External"/><Relationship Id="rId38" Type="http://schemas.openxmlformats.org/officeDocument/2006/relationships/hyperlink" Target="https://h2-project-visualisation-platform.entsog.eu/" TargetMode="External"/><Relationship Id="rId2" Type="http://schemas.openxmlformats.org/officeDocument/2006/relationships/hyperlink" Target="https://www.regatrace.eu/wp-content/uploads/2020/02/REGATRACE-D6.1.pdf" TargetMode="External"/><Relationship Id="rId16" Type="http://schemas.openxmlformats.org/officeDocument/2006/relationships/hyperlink" Target="http://www.sgc.se/ckfinder/userfiles/files/BasicDataonBiogas2012.pdf" TargetMode="External"/><Relationship Id="rId20" Type="http://schemas.openxmlformats.org/officeDocument/2006/relationships/hyperlink" Target="https://ec.europa.eu/energy/sites/ener/files/documents/ce_delft_3g84_biogas_beyond_2020_final_report.pdf" TargetMode="External"/><Relationship Id="rId29" Type="http://schemas.openxmlformats.org/officeDocument/2006/relationships/hyperlink" Target="https://www.oxfordenergy.org/wpcms/wp-content/uploads/2018/10/LNG-Plant-Cost-Reduction-2014%E2%80%9318-NG137.pdf" TargetMode="External"/><Relationship Id="rId1" Type="http://schemas.openxmlformats.org/officeDocument/2006/relationships/hyperlink" Target="https://www.businessfinland.fi/4abb35/globalassets/finnish-customers/02-build-your-network/bioeconomy--cleantech/alykas-energia/bf_national_hydrogen_roadmap_2020.pdf" TargetMode="External"/><Relationship Id="rId6" Type="http://schemas.openxmlformats.org/officeDocument/2006/relationships/hyperlink" Target="https://elering.ee/sites/default/files/attachments/Estonian_gas_transmission_network_development_plan_2018_2027.pdf" TargetMode="External"/><Relationship Id="rId11" Type="http://schemas.openxmlformats.org/officeDocument/2006/relationships/hyperlink" Target="https://www.mdpi.com/2071-1050/11/17/4750/pdf" TargetMode="External"/><Relationship Id="rId24" Type="http://schemas.openxmlformats.org/officeDocument/2006/relationships/hyperlink" Target="https://devkopsys.de/ptx-atlas/" TargetMode="External"/><Relationship Id="rId32" Type="http://schemas.openxmlformats.org/officeDocument/2006/relationships/hyperlink" Target="https://tno.maps.arcgis.com/apps/webappviewer/index.html?id=937305e2273847e0bc16503990f79d77" TargetMode="External"/><Relationship Id="rId37" Type="http://schemas.openxmlformats.org/officeDocument/2006/relationships/hyperlink" Target="https://elering.ee/sites/default/files/2021-10/Vesiniku%20ja%20s%C3%BCnteetilise%20gaasi%20kasutamise%20potentsiaal%20ja%20%C3%BChenditest%20tulenev%20m%C3%B5ju%20%C3%BClekandetorustikele%20ja%20l%C3%B5pptarbija%20seadmetele%2C%202020_0.pdf" TargetMode="External"/><Relationship Id="rId5" Type="http://schemas.openxmlformats.org/officeDocument/2006/relationships/hyperlink" Target="https://elering.ee/sites/default/files/attachments/Estonian_gas_transmission_network_development_plan_2018_2027.pdf" TargetMode="External"/><Relationship Id="rId15" Type="http://schemas.openxmlformats.org/officeDocument/2006/relationships/hyperlink" Target="https://www.sei.org/projects-and-tools/projects/transitioning-to-a-climate-neutral-electricity-generation-in-estonia/" TargetMode="External"/><Relationship Id="rId23" Type="http://schemas.openxmlformats.org/officeDocument/2006/relationships/hyperlink" Target="https://elering.ee/sites/default/files/2021-10/Vesiniku%20ja%20s%C3%BCnteetilise%20gaasi%20kasutamise%20potentsiaal%20ja%20%C3%BChenditest%20tulenev%20m%C3%B5ju%20%C3%BClekandetorustikele%20ja%20l%C3%B5pptarbija%20seadmetele%2C%202020_0.pdf" TargetMode="External"/><Relationship Id="rId28" Type="http://schemas.openxmlformats.org/officeDocument/2006/relationships/hyperlink" Target="https://www.sciencedirect.com/science/article/abs/pii/S1364032118306828" TargetMode="External"/><Relationship Id="rId36" Type="http://schemas.openxmlformats.org/officeDocument/2006/relationships/hyperlink" Target="https://sciendo.com/article/10.2478/rtuect-2021-0052" TargetMode="External"/><Relationship Id="rId10" Type="http://schemas.openxmlformats.org/officeDocument/2006/relationships/hyperlink" Target="https://iea.blob.core.windows.net/assets/4d014034-0f94-409d-bb8f-193e17a81d77/Lithuania_2021_Energy_Policy_Review.pdf" TargetMode="External"/><Relationship Id="rId19" Type="http://schemas.openxmlformats.org/officeDocument/2006/relationships/hyperlink" Target="https://www.iea.org/reports/global-hydrogen-review-2021" TargetMode="External"/><Relationship Id="rId31" Type="http://schemas.openxmlformats.org/officeDocument/2006/relationships/hyperlink" Target="https://www.sciencedirect.com/science/article/pii/S0306261917305457" TargetMode="External"/><Relationship Id="rId4" Type="http://schemas.openxmlformats.org/officeDocument/2006/relationships/hyperlink" Target="https://portalcris.vdu.lt/server/api/core/bitstreams/9d40055a-c969-4aae-a75e-33c9f8ac38a1/content" TargetMode="External"/><Relationship Id="rId9" Type="http://schemas.openxmlformats.org/officeDocument/2006/relationships/hyperlink" Target="https://data.europa.eu/doi/10.2833/492414" TargetMode="External"/><Relationship Id="rId14" Type="http://schemas.openxmlformats.org/officeDocument/2006/relationships/hyperlink" Target="https://gasforclimate2050.eu/wp-content/uploads/2021/06/EHB_Analysing-the-future-demand-supply-and-transport-of-hydrogen_June-2021.pdf" TargetMode="External"/><Relationship Id="rId22" Type="http://schemas.openxmlformats.org/officeDocument/2006/relationships/hyperlink" Target="https://www.ergar.org/wp-content/uploads/2018/07/BIOSURF-D3.4.pdf" TargetMode="External"/><Relationship Id="rId27" Type="http://schemas.openxmlformats.org/officeDocument/2006/relationships/hyperlink" Target="https://www.marcogaz.org/biomethane-acceptance-in-underground-gas-storage-facilities/" TargetMode="External"/><Relationship Id="rId30" Type="http://schemas.openxmlformats.org/officeDocument/2006/relationships/hyperlink" Target="https://www.belfercenter.org/sites/default/files/files/publication/Report_EU%20Hydrogen_FINAL.pdf" TargetMode="External"/><Relationship Id="rId35" Type="http://schemas.openxmlformats.org/officeDocument/2006/relationships/hyperlink" Target="https://www.marcogaz.org/wp-content/uploads/2019/09/H2-Infographic.pdf" TargetMode="External"/><Relationship Id="rId8" Type="http://schemas.openxmlformats.org/officeDocument/2006/relationships/hyperlink" Target="https://www.kn.lt/en/for-investors/financial-data/418" TargetMode="External"/><Relationship Id="rId3" Type="http://schemas.openxmlformats.org/officeDocument/2006/relationships/hyperlink" Target="https://www.regatrace.eu/wp%20content/uploads/2020/02/REGATRACE-D6.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gYingLee\Documents\Trinomics%20Housestyle\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raft%20excel%20-%20Gowtha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eiorg-my.sharepoint.com/personal/tayyab_butt_sei_org/Documents/Desktop/SEI%20Gas%20Decarbonization/D2/Data%20map%20updated%2005_08_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owtham.muthukumaran\Desktop\Eston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owtham.muthukumaran\Desktop\Latvi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owtham.muthukumaran\Desktop\Lithuani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owtham.muthukumaran\Desktop\Estoni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gowtham.muthukumaran\Desktop\Latvi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raft%20excel%20-%20Gowtha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Modelling%20demand%20assumptions%20-%2015.06.2022.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2.xml"/></Relationships>
</file>

<file path=word/charts/_rels/chart19.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3/Modelling%20demand%20assumptions%20-%2015.06.2022.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raft%20excel%20-%20Gowtham.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4.xml"/></Relationships>
</file>

<file path=word/charts/_rels/chart3.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raft%20excel%20-%20Gowth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raft%20excel%20-%20Gowtha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raft%20excel%20-%20Gowtha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eiorg.sharepoint.com/sites/CEA-internal/Delade%20dokument/Gas%20Decarbonization%20Pathways%20for%20Estonia/Draft%20excel%20-%20Gowtha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owtham.muthukumaran\Desktop\Finlan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owtham.muthukumaran\Desktop\Lithuani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eiorg-my.sharepoint.com/personal/tayyab_butt_sei_org/Documents/Desktop/SEI%20Gas%20Decarbonization/D2/Data%20map%20(D2)%20_%20Gas%20decarbonization%20projec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Sheet1!$W$37</c:f>
              <c:strCache>
                <c:ptCount val="1"/>
                <c:pt idx="0">
                  <c:v>Power</c:v>
                </c:pt>
              </c:strCache>
            </c:strRef>
          </c:tx>
          <c:spPr>
            <a:solidFill>
              <a:schemeClr val="accent1"/>
            </a:solidFill>
            <a:ln>
              <a:noFill/>
            </a:ln>
            <a:effectLst/>
          </c:spPr>
          <c:cat>
            <c:numRef>
              <c:f>Sheet1!$X$36:$AC$36</c:f>
              <c:numCache>
                <c:formatCode>General</c:formatCode>
                <c:ptCount val="6"/>
                <c:pt idx="0">
                  <c:v>2016</c:v>
                </c:pt>
                <c:pt idx="1">
                  <c:v>2017</c:v>
                </c:pt>
                <c:pt idx="2">
                  <c:v>2018</c:v>
                </c:pt>
                <c:pt idx="3">
                  <c:v>2019</c:v>
                </c:pt>
                <c:pt idx="4">
                  <c:v>2020</c:v>
                </c:pt>
                <c:pt idx="5">
                  <c:v>2021</c:v>
                </c:pt>
              </c:numCache>
            </c:numRef>
          </c:cat>
          <c:val>
            <c:numRef>
              <c:f>Sheet1!$X$37:$AC$37</c:f>
              <c:numCache>
                <c:formatCode>0.0000</c:formatCode>
                <c:ptCount val="6"/>
                <c:pt idx="0">
                  <c:v>0.03</c:v>
                </c:pt>
                <c:pt idx="1">
                  <c:v>0.03</c:v>
                </c:pt>
                <c:pt idx="2">
                  <c:v>0.03</c:v>
                </c:pt>
                <c:pt idx="3">
                  <c:v>0.03</c:v>
                </c:pt>
                <c:pt idx="4">
                  <c:v>0.03</c:v>
                </c:pt>
                <c:pt idx="5">
                  <c:v>0.03</c:v>
                </c:pt>
              </c:numCache>
            </c:numRef>
          </c:val>
          <c:extLst>
            <c:ext xmlns:c16="http://schemas.microsoft.com/office/drawing/2014/chart" uri="{C3380CC4-5D6E-409C-BE32-E72D297353CC}">
              <c16:uniqueId val="{00000000-C6DA-43EF-A03A-99251907A6F5}"/>
            </c:ext>
          </c:extLst>
        </c:ser>
        <c:ser>
          <c:idx val="1"/>
          <c:order val="1"/>
          <c:tx>
            <c:strRef>
              <c:f>Sheet1!$W$38</c:f>
              <c:strCache>
                <c:ptCount val="1"/>
                <c:pt idx="0">
                  <c:v>Heating and others</c:v>
                </c:pt>
              </c:strCache>
            </c:strRef>
          </c:tx>
          <c:spPr>
            <a:solidFill>
              <a:schemeClr val="accent2"/>
            </a:solidFill>
            <a:ln>
              <a:noFill/>
            </a:ln>
            <a:effectLst/>
          </c:spPr>
          <c:cat>
            <c:numRef>
              <c:f>Sheet1!$X$36:$AC$36</c:f>
              <c:numCache>
                <c:formatCode>General</c:formatCode>
                <c:ptCount val="6"/>
                <c:pt idx="0">
                  <c:v>2016</c:v>
                </c:pt>
                <c:pt idx="1">
                  <c:v>2017</c:v>
                </c:pt>
                <c:pt idx="2">
                  <c:v>2018</c:v>
                </c:pt>
                <c:pt idx="3">
                  <c:v>2019</c:v>
                </c:pt>
                <c:pt idx="4">
                  <c:v>2020</c:v>
                </c:pt>
                <c:pt idx="5">
                  <c:v>2021</c:v>
                </c:pt>
              </c:numCache>
            </c:numRef>
          </c:cat>
          <c:val>
            <c:numRef>
              <c:f>Sheet1!$X$38:$AC$38</c:f>
              <c:numCache>
                <c:formatCode>General</c:formatCode>
                <c:ptCount val="6"/>
                <c:pt idx="0">
                  <c:v>2.2060266801619401</c:v>
                </c:pt>
                <c:pt idx="1">
                  <c:v>2.0852683526540599</c:v>
                </c:pt>
                <c:pt idx="2">
                  <c:v>2.00966873974795</c:v>
                </c:pt>
                <c:pt idx="3">
                  <c:v>1.8943819947848799</c:v>
                </c:pt>
                <c:pt idx="4">
                  <c:v>1.5188869614867899</c:v>
                </c:pt>
                <c:pt idx="5" formatCode="0.0000">
                  <c:v>1.667</c:v>
                </c:pt>
              </c:numCache>
            </c:numRef>
          </c:val>
          <c:extLst>
            <c:ext xmlns:c16="http://schemas.microsoft.com/office/drawing/2014/chart" uri="{C3380CC4-5D6E-409C-BE32-E72D297353CC}">
              <c16:uniqueId val="{00000001-C6DA-43EF-A03A-99251907A6F5}"/>
            </c:ext>
          </c:extLst>
        </c:ser>
        <c:ser>
          <c:idx val="2"/>
          <c:order val="2"/>
          <c:tx>
            <c:strRef>
              <c:f>Sheet1!$W$39</c:f>
              <c:strCache>
                <c:ptCount val="1"/>
                <c:pt idx="0">
                  <c:v>Building</c:v>
                </c:pt>
              </c:strCache>
            </c:strRef>
          </c:tx>
          <c:spPr>
            <a:solidFill>
              <a:schemeClr val="accent3"/>
            </a:solidFill>
            <a:ln>
              <a:noFill/>
            </a:ln>
            <a:effectLst/>
          </c:spPr>
          <c:cat>
            <c:numRef>
              <c:f>Sheet1!$X$36:$AC$36</c:f>
              <c:numCache>
                <c:formatCode>General</c:formatCode>
                <c:ptCount val="6"/>
                <c:pt idx="0">
                  <c:v>2016</c:v>
                </c:pt>
                <c:pt idx="1">
                  <c:v>2017</c:v>
                </c:pt>
                <c:pt idx="2">
                  <c:v>2018</c:v>
                </c:pt>
                <c:pt idx="3">
                  <c:v>2019</c:v>
                </c:pt>
                <c:pt idx="4">
                  <c:v>2020</c:v>
                </c:pt>
                <c:pt idx="5">
                  <c:v>2021</c:v>
                </c:pt>
              </c:numCache>
            </c:numRef>
          </c:cat>
          <c:val>
            <c:numRef>
              <c:f>Sheet1!$X$39:$AC$39</c:f>
              <c:numCache>
                <c:formatCode>General</c:formatCode>
                <c:ptCount val="6"/>
                <c:pt idx="0">
                  <c:v>1.5615465587045001</c:v>
                </c:pt>
                <c:pt idx="1">
                  <c:v>1.3147370347773</c:v>
                </c:pt>
                <c:pt idx="2">
                  <c:v>1.4522640528105599</c:v>
                </c:pt>
                <c:pt idx="3">
                  <c:v>1.38060234680574</c:v>
                </c:pt>
                <c:pt idx="4">
                  <c:v>1.3659180362740699</c:v>
                </c:pt>
                <c:pt idx="5" formatCode="0.0000">
                  <c:v>1.5267999999999999</c:v>
                </c:pt>
              </c:numCache>
            </c:numRef>
          </c:val>
          <c:extLst>
            <c:ext xmlns:c16="http://schemas.microsoft.com/office/drawing/2014/chart" uri="{C3380CC4-5D6E-409C-BE32-E72D297353CC}">
              <c16:uniqueId val="{00000002-C6DA-43EF-A03A-99251907A6F5}"/>
            </c:ext>
          </c:extLst>
        </c:ser>
        <c:ser>
          <c:idx val="3"/>
          <c:order val="3"/>
          <c:tx>
            <c:strRef>
              <c:f>Sheet1!$W$40</c:f>
              <c:strCache>
                <c:ptCount val="1"/>
                <c:pt idx="0">
                  <c:v>Transport</c:v>
                </c:pt>
              </c:strCache>
            </c:strRef>
          </c:tx>
          <c:spPr>
            <a:solidFill>
              <a:schemeClr val="accent4"/>
            </a:solidFill>
            <a:ln>
              <a:noFill/>
            </a:ln>
            <a:effectLst/>
          </c:spPr>
          <c:cat>
            <c:numRef>
              <c:f>Sheet1!$X$36:$AC$36</c:f>
              <c:numCache>
                <c:formatCode>General</c:formatCode>
                <c:ptCount val="6"/>
                <c:pt idx="0">
                  <c:v>2016</c:v>
                </c:pt>
                <c:pt idx="1">
                  <c:v>2017</c:v>
                </c:pt>
                <c:pt idx="2">
                  <c:v>2018</c:v>
                </c:pt>
                <c:pt idx="3">
                  <c:v>2019</c:v>
                </c:pt>
                <c:pt idx="4">
                  <c:v>2020</c:v>
                </c:pt>
                <c:pt idx="5">
                  <c:v>2021</c:v>
                </c:pt>
              </c:numCache>
            </c:numRef>
          </c:cat>
          <c:val>
            <c:numRef>
              <c:f>Sheet1!$X$40:$AC$40</c:f>
              <c:numCache>
                <c:formatCode>General</c:formatCode>
                <c:ptCount val="6"/>
                <c:pt idx="0">
                  <c:v>0.41577327935222702</c:v>
                </c:pt>
                <c:pt idx="1">
                  <c:v>0.494222086638194</c:v>
                </c:pt>
                <c:pt idx="2">
                  <c:v>0.463131826365273</c:v>
                </c:pt>
                <c:pt idx="3">
                  <c:v>0.34985006518904799</c:v>
                </c:pt>
                <c:pt idx="4">
                  <c:v>0.43383247872816799</c:v>
                </c:pt>
                <c:pt idx="5" formatCode="0.0000">
                  <c:v>0.48399999999999999</c:v>
                </c:pt>
              </c:numCache>
            </c:numRef>
          </c:val>
          <c:extLst>
            <c:ext xmlns:c16="http://schemas.microsoft.com/office/drawing/2014/chart" uri="{C3380CC4-5D6E-409C-BE32-E72D297353CC}">
              <c16:uniqueId val="{00000003-C6DA-43EF-A03A-99251907A6F5}"/>
            </c:ext>
          </c:extLst>
        </c:ser>
        <c:ser>
          <c:idx val="4"/>
          <c:order val="4"/>
          <c:tx>
            <c:strRef>
              <c:f>Sheet1!$W$41</c:f>
              <c:strCache>
                <c:ptCount val="1"/>
                <c:pt idx="0">
                  <c:v>Industry</c:v>
                </c:pt>
              </c:strCache>
            </c:strRef>
          </c:tx>
          <c:spPr>
            <a:solidFill>
              <a:schemeClr val="accent5"/>
            </a:solidFill>
            <a:ln>
              <a:noFill/>
            </a:ln>
            <a:effectLst/>
          </c:spPr>
          <c:cat>
            <c:numRef>
              <c:f>Sheet1!$X$36:$AC$36</c:f>
              <c:numCache>
                <c:formatCode>General</c:formatCode>
                <c:ptCount val="6"/>
                <c:pt idx="0">
                  <c:v>2016</c:v>
                </c:pt>
                <c:pt idx="1">
                  <c:v>2017</c:v>
                </c:pt>
                <c:pt idx="2">
                  <c:v>2018</c:v>
                </c:pt>
                <c:pt idx="3">
                  <c:v>2019</c:v>
                </c:pt>
                <c:pt idx="4">
                  <c:v>2020</c:v>
                </c:pt>
                <c:pt idx="5">
                  <c:v>2021</c:v>
                </c:pt>
              </c:numCache>
            </c:numRef>
          </c:cat>
          <c:val>
            <c:numRef>
              <c:f>Sheet1!$X$41:$AC$41</c:f>
              <c:numCache>
                <c:formatCode>General</c:formatCode>
                <c:ptCount val="6"/>
                <c:pt idx="0">
                  <c:v>1.3606153846153799</c:v>
                </c:pt>
                <c:pt idx="1">
                  <c:v>1.3317425259304501</c:v>
                </c:pt>
                <c:pt idx="2">
                  <c:v>1.3129053810762199</c:v>
                </c:pt>
                <c:pt idx="3">
                  <c:v>1.18113559322034</c:v>
                </c:pt>
                <c:pt idx="4">
                  <c:v>1.1766825235109699</c:v>
                </c:pt>
                <c:pt idx="5" formatCode="0.0000">
                  <c:v>1.315292524</c:v>
                </c:pt>
              </c:numCache>
            </c:numRef>
          </c:val>
          <c:extLst>
            <c:ext xmlns:c16="http://schemas.microsoft.com/office/drawing/2014/chart" uri="{C3380CC4-5D6E-409C-BE32-E72D297353CC}">
              <c16:uniqueId val="{00000004-C6DA-43EF-A03A-99251907A6F5}"/>
            </c:ext>
          </c:extLst>
        </c:ser>
        <c:dLbls>
          <c:showLegendKey val="0"/>
          <c:showVal val="0"/>
          <c:showCatName val="0"/>
          <c:showSerName val="0"/>
          <c:showPercent val="0"/>
          <c:showBubbleSize val="0"/>
        </c:dLbls>
        <c:axId val="543985392"/>
        <c:axId val="543984144"/>
      </c:areaChart>
      <c:catAx>
        <c:axId val="543985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43984144"/>
        <c:crosses val="autoZero"/>
        <c:auto val="1"/>
        <c:lblAlgn val="ctr"/>
        <c:lblOffset val="100"/>
        <c:noMultiLvlLbl val="0"/>
      </c:catAx>
      <c:valAx>
        <c:axId val="54398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439853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'Gas Consumption '!$K$42</c:f>
              <c:strCache>
                <c:ptCount val="1"/>
                <c:pt idx="0">
                  <c:v>Estonia</c:v>
                </c:pt>
              </c:strCache>
            </c:strRef>
          </c:tx>
          <c:spPr>
            <a:ln w="28575" cap="rnd">
              <a:solidFill>
                <a:schemeClr val="accent1"/>
              </a:solidFill>
              <a:round/>
            </a:ln>
            <a:effectLst/>
          </c:spPr>
          <c:marker>
            <c:symbol val="none"/>
          </c:marker>
          <c:cat>
            <c:numRef>
              <c:f>'Gas Consumption '!$L$41:$R$41</c:f>
              <c:numCache>
                <c:formatCode>General</c:formatCode>
                <c:ptCount val="7"/>
                <c:pt idx="0">
                  <c:v>2015</c:v>
                </c:pt>
                <c:pt idx="1">
                  <c:v>2016</c:v>
                </c:pt>
                <c:pt idx="2">
                  <c:v>2017</c:v>
                </c:pt>
                <c:pt idx="3">
                  <c:v>2018</c:v>
                </c:pt>
                <c:pt idx="4">
                  <c:v>2019</c:v>
                </c:pt>
                <c:pt idx="5">
                  <c:v>2020</c:v>
                </c:pt>
                <c:pt idx="6">
                  <c:v>2021</c:v>
                </c:pt>
              </c:numCache>
            </c:numRef>
          </c:cat>
          <c:val>
            <c:numRef>
              <c:f>'Gas Consumption '!$L$42:$R$42</c:f>
              <c:numCache>
                <c:formatCode>General</c:formatCode>
                <c:ptCount val="7"/>
                <c:pt idx="0">
                  <c:v>0</c:v>
                </c:pt>
                <c:pt idx="1">
                  <c:v>0</c:v>
                </c:pt>
                <c:pt idx="2">
                  <c:v>0</c:v>
                </c:pt>
                <c:pt idx="3" formatCode="0">
                  <c:v>40</c:v>
                </c:pt>
                <c:pt idx="4">
                  <c:v>63</c:v>
                </c:pt>
                <c:pt idx="5">
                  <c:v>97</c:v>
                </c:pt>
                <c:pt idx="6">
                  <c:v>150</c:v>
                </c:pt>
              </c:numCache>
            </c:numRef>
          </c:val>
          <c:smooth val="0"/>
          <c:extLst>
            <c:ext xmlns:c16="http://schemas.microsoft.com/office/drawing/2014/chart" uri="{C3380CC4-5D6E-409C-BE32-E72D297353CC}">
              <c16:uniqueId val="{00000000-E1B3-410A-BD0B-01F750D05917}"/>
            </c:ext>
          </c:extLst>
        </c:ser>
        <c:ser>
          <c:idx val="1"/>
          <c:order val="1"/>
          <c:tx>
            <c:strRef>
              <c:f>'Gas Consumption '!$K$43</c:f>
              <c:strCache>
                <c:ptCount val="1"/>
                <c:pt idx="0">
                  <c:v>Finland</c:v>
                </c:pt>
              </c:strCache>
            </c:strRef>
          </c:tx>
          <c:spPr>
            <a:ln w="28575" cap="rnd">
              <a:solidFill>
                <a:schemeClr val="accent2"/>
              </a:solidFill>
              <a:round/>
            </a:ln>
            <a:effectLst/>
          </c:spPr>
          <c:marker>
            <c:symbol val="none"/>
          </c:marker>
          <c:cat>
            <c:numRef>
              <c:f>'Gas Consumption '!$L$41:$R$41</c:f>
              <c:numCache>
                <c:formatCode>General</c:formatCode>
                <c:ptCount val="7"/>
                <c:pt idx="0">
                  <c:v>2015</c:v>
                </c:pt>
                <c:pt idx="1">
                  <c:v>2016</c:v>
                </c:pt>
                <c:pt idx="2">
                  <c:v>2017</c:v>
                </c:pt>
                <c:pt idx="3">
                  <c:v>2018</c:v>
                </c:pt>
                <c:pt idx="4">
                  <c:v>2019</c:v>
                </c:pt>
                <c:pt idx="5">
                  <c:v>2020</c:v>
                </c:pt>
                <c:pt idx="6">
                  <c:v>2021</c:v>
                </c:pt>
              </c:numCache>
            </c:numRef>
          </c:cat>
          <c:val>
            <c:numRef>
              <c:f>'Gas Consumption '!$L$43:$R$43</c:f>
              <c:numCache>
                <c:formatCode>General</c:formatCode>
                <c:ptCount val="7"/>
                <c:pt idx="0">
                  <c:v>98</c:v>
                </c:pt>
                <c:pt idx="1">
                  <c:v>98</c:v>
                </c:pt>
                <c:pt idx="2">
                  <c:v>106</c:v>
                </c:pt>
                <c:pt idx="3">
                  <c:v>106</c:v>
                </c:pt>
                <c:pt idx="4">
                  <c:v>156</c:v>
                </c:pt>
                <c:pt idx="5">
                  <c:v>156</c:v>
                </c:pt>
                <c:pt idx="6">
                  <c:v>156</c:v>
                </c:pt>
              </c:numCache>
            </c:numRef>
          </c:val>
          <c:smooth val="0"/>
          <c:extLst>
            <c:ext xmlns:c16="http://schemas.microsoft.com/office/drawing/2014/chart" uri="{C3380CC4-5D6E-409C-BE32-E72D297353CC}">
              <c16:uniqueId val="{00000001-E1B3-410A-BD0B-01F750D05917}"/>
            </c:ext>
          </c:extLst>
        </c:ser>
        <c:dLbls>
          <c:showLegendKey val="0"/>
          <c:showVal val="0"/>
          <c:showCatName val="0"/>
          <c:showSerName val="0"/>
          <c:showPercent val="0"/>
          <c:showBubbleSize val="0"/>
        </c:dLbls>
        <c:smooth val="0"/>
        <c:axId val="433998112"/>
        <c:axId val="433996448"/>
      </c:lineChart>
      <c:catAx>
        <c:axId val="43399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33996448"/>
        <c:crosses val="autoZero"/>
        <c:auto val="1"/>
        <c:lblAlgn val="ctr"/>
        <c:lblOffset val="100"/>
        <c:noMultiLvlLbl val="0"/>
      </c:catAx>
      <c:valAx>
        <c:axId val="43399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3399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Sheet1!$M$3</c:f>
              <c:strCache>
                <c:ptCount val="1"/>
                <c:pt idx="0">
                  <c:v>Karksi GMJ</c:v>
                </c:pt>
              </c:strCache>
            </c:strRef>
          </c:tx>
          <c:spPr>
            <a:ln w="28575" cap="rnd">
              <a:solidFill>
                <a:schemeClr val="accent1"/>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Sheet1!$N$3:$S$3</c:f>
              <c:numCache>
                <c:formatCode>General</c:formatCode>
                <c:ptCount val="6"/>
                <c:pt idx="0">
                  <c:v>3.4860957382500004</c:v>
                </c:pt>
                <c:pt idx="1">
                  <c:v>1.5663339999999999</c:v>
                </c:pt>
                <c:pt idx="2">
                  <c:v>1.1236599999999999</c:v>
                </c:pt>
                <c:pt idx="3">
                  <c:v>2.4498819999999997</c:v>
                </c:pt>
                <c:pt idx="4">
                  <c:v>10.100655999999999</c:v>
                </c:pt>
                <c:pt idx="5">
                  <c:v>10.52557</c:v>
                </c:pt>
              </c:numCache>
            </c:numRef>
          </c:val>
          <c:smooth val="0"/>
          <c:extLst>
            <c:ext xmlns:c16="http://schemas.microsoft.com/office/drawing/2014/chart" uri="{C3380CC4-5D6E-409C-BE32-E72D297353CC}">
              <c16:uniqueId val="{00000000-D596-4D6F-B5D3-6B0E37FB5DF0}"/>
            </c:ext>
          </c:extLst>
        </c:ser>
        <c:ser>
          <c:idx val="1"/>
          <c:order val="1"/>
          <c:tx>
            <c:strRef>
              <c:f>Sheet1!$M$4</c:f>
              <c:strCache>
                <c:ptCount val="1"/>
                <c:pt idx="0">
                  <c:v>Värska GMJ</c:v>
                </c:pt>
              </c:strCache>
            </c:strRef>
          </c:tx>
          <c:spPr>
            <a:ln w="28575" cap="rnd">
              <a:solidFill>
                <a:schemeClr val="accent2"/>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Sheet1!$N$4:$S$4</c:f>
              <c:numCache>
                <c:formatCode>General</c:formatCode>
                <c:ptCount val="6"/>
                <c:pt idx="0">
                  <c:v>2.0582549613500003</c:v>
                </c:pt>
                <c:pt idx="1">
                  <c:v>3.6663569999999996</c:v>
                </c:pt>
                <c:pt idx="2">
                  <c:v>3.7138939999999998</c:v>
                </c:pt>
                <c:pt idx="3">
                  <c:v>2.3573969999999997</c:v>
                </c:pt>
                <c:pt idx="4">
                  <c:v>2.8762189999999999</c:v>
                </c:pt>
                <c:pt idx="5">
                  <c:v>0.77637</c:v>
                </c:pt>
              </c:numCache>
            </c:numRef>
          </c:val>
          <c:smooth val="0"/>
          <c:extLst>
            <c:ext xmlns:c16="http://schemas.microsoft.com/office/drawing/2014/chart" uri="{C3380CC4-5D6E-409C-BE32-E72D297353CC}">
              <c16:uniqueId val="{00000001-D596-4D6F-B5D3-6B0E37FB5DF0}"/>
            </c:ext>
          </c:extLst>
        </c:ser>
        <c:ser>
          <c:idx val="2"/>
          <c:order val="2"/>
          <c:tx>
            <c:strRef>
              <c:f>Sheet1!$M$5</c:f>
              <c:strCache>
                <c:ptCount val="1"/>
                <c:pt idx="0">
                  <c:v>Narva GMJ</c:v>
                </c:pt>
              </c:strCache>
            </c:strRef>
          </c:tx>
          <c:spPr>
            <a:ln w="28575" cap="rnd">
              <a:solidFill>
                <a:schemeClr val="accent3"/>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Sheet1!$N$5:$S$5</c:f>
              <c:numCache>
                <c:formatCode>General</c:formatCode>
                <c:ptCount val="6"/>
                <c:pt idx="0">
                  <c:v>0</c:v>
                </c:pt>
                <c:pt idx="1">
                  <c:v>0</c:v>
                </c:pt>
                <c:pt idx="2">
                  <c:v>0.40239599999999998</c:v>
                </c:pt>
                <c:pt idx="3">
                  <c:v>0</c:v>
                </c:pt>
                <c:pt idx="4">
                  <c:v>0</c:v>
                </c:pt>
                <c:pt idx="5">
                  <c:v>0</c:v>
                </c:pt>
              </c:numCache>
            </c:numRef>
          </c:val>
          <c:smooth val="0"/>
          <c:extLst>
            <c:ext xmlns:c16="http://schemas.microsoft.com/office/drawing/2014/chart" uri="{C3380CC4-5D6E-409C-BE32-E72D297353CC}">
              <c16:uniqueId val="{00000002-D596-4D6F-B5D3-6B0E37FB5DF0}"/>
            </c:ext>
          </c:extLst>
        </c:ser>
        <c:ser>
          <c:idx val="3"/>
          <c:order val="3"/>
          <c:tx>
            <c:strRef>
              <c:f>Sheet1!$M$6</c:f>
              <c:strCache>
                <c:ptCount val="1"/>
                <c:pt idx="0">
                  <c:v>Misso GMJ</c:v>
                </c:pt>
              </c:strCache>
            </c:strRef>
          </c:tx>
          <c:spPr>
            <a:ln w="28575" cap="rnd">
              <a:solidFill>
                <a:schemeClr val="accent4"/>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Sheet1!$N$6:$S$6</c:f>
              <c:numCache>
                <c:formatCode>General</c:formatCode>
                <c:ptCount val="6"/>
                <c:pt idx="0">
                  <c:v>1.1464368500000001E-3</c:v>
                </c:pt>
                <c:pt idx="1">
                  <c:v>1.1179999999999999E-3</c:v>
                </c:pt>
                <c:pt idx="2">
                  <c:v>1.0869999999999999E-3</c:v>
                </c:pt>
                <c:pt idx="3">
                  <c:v>1.0609999999999999E-3</c:v>
                </c:pt>
                <c:pt idx="4">
                  <c:v>1.047E-3</c:v>
                </c:pt>
                <c:pt idx="5">
                  <c:v>1.235E-3</c:v>
                </c:pt>
              </c:numCache>
            </c:numRef>
          </c:val>
          <c:smooth val="0"/>
          <c:extLst>
            <c:ext xmlns:c16="http://schemas.microsoft.com/office/drawing/2014/chart" uri="{C3380CC4-5D6E-409C-BE32-E72D297353CC}">
              <c16:uniqueId val="{00000003-D596-4D6F-B5D3-6B0E37FB5DF0}"/>
            </c:ext>
          </c:extLst>
        </c:ser>
        <c:ser>
          <c:idx val="4"/>
          <c:order val="4"/>
          <c:tx>
            <c:strRef>
              <c:f>Sheet1!$M$8</c:f>
              <c:strCache>
                <c:ptCount val="1"/>
                <c:pt idx="0">
                  <c:v>Import Balticconnector</c:v>
                </c:pt>
              </c:strCache>
            </c:strRef>
          </c:tx>
          <c:spPr>
            <a:ln w="28575" cap="rnd">
              <a:solidFill>
                <a:schemeClr val="tx1"/>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Sheet1!$N$8:$S$8</c:f>
              <c:numCache>
                <c:formatCode>General</c:formatCode>
                <c:ptCount val="6"/>
                <c:pt idx="5">
                  <c:v>6.8026000000000003E-2</c:v>
                </c:pt>
              </c:numCache>
            </c:numRef>
          </c:val>
          <c:smooth val="0"/>
          <c:extLst>
            <c:ext xmlns:c16="http://schemas.microsoft.com/office/drawing/2014/chart" uri="{C3380CC4-5D6E-409C-BE32-E72D297353CC}">
              <c16:uniqueId val="{00000004-D596-4D6F-B5D3-6B0E37FB5DF0}"/>
            </c:ext>
          </c:extLst>
        </c:ser>
        <c:ser>
          <c:idx val="5"/>
          <c:order val="5"/>
          <c:tx>
            <c:strRef>
              <c:f>Sheet1!$M$12</c:f>
              <c:strCache>
                <c:ptCount val="1"/>
                <c:pt idx="0">
                  <c:v>Export Karksi</c:v>
                </c:pt>
              </c:strCache>
            </c:strRef>
          </c:tx>
          <c:spPr>
            <a:ln w="28575" cap="rnd">
              <a:solidFill>
                <a:schemeClr val="accent6"/>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Sheet1!$N$12:$S$12</c:f>
              <c:numCache>
                <c:formatCode>General</c:formatCode>
                <c:ptCount val="6"/>
                <c:pt idx="4">
                  <c:v>1.0459E-2</c:v>
                </c:pt>
                <c:pt idx="5">
                  <c:v>3.1099999999999999E-3</c:v>
                </c:pt>
              </c:numCache>
            </c:numRef>
          </c:val>
          <c:smooth val="0"/>
          <c:extLst>
            <c:ext xmlns:c16="http://schemas.microsoft.com/office/drawing/2014/chart" uri="{C3380CC4-5D6E-409C-BE32-E72D297353CC}">
              <c16:uniqueId val="{00000005-D596-4D6F-B5D3-6B0E37FB5DF0}"/>
            </c:ext>
          </c:extLst>
        </c:ser>
        <c:ser>
          <c:idx val="6"/>
          <c:order val="6"/>
          <c:tx>
            <c:strRef>
              <c:f>Sheet1!$M$13</c:f>
              <c:strCache>
                <c:ptCount val="1"/>
                <c:pt idx="0">
                  <c:v>Export Balticconnector</c:v>
                </c:pt>
              </c:strCache>
            </c:strRef>
          </c:tx>
          <c:spPr>
            <a:ln w="28575" cap="rnd">
              <a:solidFill>
                <a:schemeClr val="accent1">
                  <a:lumMod val="75000"/>
                  <a:lumOff val="25000"/>
                </a:schemeClr>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Sheet1!$N$13:$S$13</c:f>
              <c:numCache>
                <c:formatCode>General</c:formatCode>
                <c:ptCount val="6"/>
                <c:pt idx="4">
                  <c:v>8.4708189999999988</c:v>
                </c:pt>
                <c:pt idx="5">
                  <c:v>6.2738339999999999</c:v>
                </c:pt>
              </c:numCache>
            </c:numRef>
          </c:val>
          <c:smooth val="0"/>
          <c:extLst>
            <c:ext xmlns:c16="http://schemas.microsoft.com/office/drawing/2014/chart" uri="{C3380CC4-5D6E-409C-BE32-E72D297353CC}">
              <c16:uniqueId val="{00000006-D596-4D6F-B5D3-6B0E37FB5DF0}"/>
            </c:ext>
          </c:extLst>
        </c:ser>
        <c:ser>
          <c:idx val="7"/>
          <c:order val="7"/>
          <c:tx>
            <c:strRef>
              <c:f>Sheet1!$M$14</c:f>
              <c:strCache>
                <c:ptCount val="1"/>
                <c:pt idx="0">
                  <c:v>Total NG consumption</c:v>
                </c:pt>
              </c:strCache>
            </c:strRef>
          </c:tx>
          <c:spPr>
            <a:ln w="28575" cap="rnd">
              <a:solidFill>
                <a:schemeClr val="accent2">
                  <a:lumMod val="60000"/>
                </a:schemeClr>
              </a:solidFill>
              <a:round/>
            </a:ln>
            <a:effectLst/>
          </c:spPr>
          <c:marker>
            <c:symbol val="none"/>
          </c:marker>
          <c:cat>
            <c:numRef>
              <c:f>Sheet1!$N$2:$S$2</c:f>
              <c:numCache>
                <c:formatCode>General</c:formatCode>
                <c:ptCount val="6"/>
                <c:pt idx="0">
                  <c:v>2016</c:v>
                </c:pt>
                <c:pt idx="1">
                  <c:v>2017</c:v>
                </c:pt>
                <c:pt idx="2">
                  <c:v>2018</c:v>
                </c:pt>
                <c:pt idx="3">
                  <c:v>2019</c:v>
                </c:pt>
                <c:pt idx="4">
                  <c:v>2020</c:v>
                </c:pt>
                <c:pt idx="5">
                  <c:v>2021</c:v>
                </c:pt>
              </c:numCache>
            </c:numRef>
          </c:cat>
          <c:val>
            <c:numRef>
              <c:f>Sheet1!$N$14:$S$14</c:f>
              <c:numCache>
                <c:formatCode>General</c:formatCode>
                <c:ptCount val="6"/>
                <c:pt idx="0">
                  <c:v>5.5454971364500008</c:v>
                </c:pt>
                <c:pt idx="1">
                  <c:v>5.233808999999999</c:v>
                </c:pt>
                <c:pt idx="2">
                  <c:v>5.2410370000000004</c:v>
                </c:pt>
                <c:pt idx="3">
                  <c:v>4.8083399999999994</c:v>
                </c:pt>
                <c:pt idx="4">
                  <c:v>4.4966439999999999</c:v>
                </c:pt>
                <c:pt idx="5">
                  <c:v>5.0942569999999989</c:v>
                </c:pt>
              </c:numCache>
            </c:numRef>
          </c:val>
          <c:smooth val="0"/>
          <c:extLst>
            <c:ext xmlns:c16="http://schemas.microsoft.com/office/drawing/2014/chart" uri="{C3380CC4-5D6E-409C-BE32-E72D297353CC}">
              <c16:uniqueId val="{00000007-D596-4D6F-B5D3-6B0E37FB5DF0}"/>
            </c:ext>
          </c:extLst>
        </c:ser>
        <c:dLbls>
          <c:showLegendKey val="0"/>
          <c:showVal val="0"/>
          <c:showCatName val="0"/>
          <c:showSerName val="0"/>
          <c:showPercent val="0"/>
          <c:showBubbleSize val="0"/>
        </c:dLbls>
        <c:smooth val="0"/>
        <c:axId val="1349820879"/>
        <c:axId val="1349825455"/>
      </c:lineChart>
      <c:catAx>
        <c:axId val="134982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349825455"/>
        <c:crosses val="autoZero"/>
        <c:auto val="1"/>
        <c:lblAlgn val="ctr"/>
        <c:lblOffset val="100"/>
        <c:noMultiLvlLbl val="0"/>
      </c:catAx>
      <c:valAx>
        <c:axId val="1349825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TWh/a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349820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'Gas supply infrastructure'!$Q$19</c:f>
              <c:strCache>
                <c:ptCount val="1"/>
                <c:pt idx="0">
                  <c:v>Karksi to EE</c:v>
                </c:pt>
              </c:strCache>
            </c:strRef>
          </c:tx>
          <c:spPr>
            <a:ln w="28575" cap="rnd">
              <a:solidFill>
                <a:schemeClr val="tx1"/>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infrastructure'!$R$19:$U$19</c:f>
              <c:numCache>
                <c:formatCode>General</c:formatCode>
                <c:ptCount val="4"/>
                <c:pt idx="0">
                  <c:v>1.1235999999999999</c:v>
                </c:pt>
                <c:pt idx="1">
                  <c:v>2.4512</c:v>
                </c:pt>
                <c:pt idx="2">
                  <c:v>10.1006</c:v>
                </c:pt>
                <c:pt idx="3">
                  <c:v>10.525499999999999</c:v>
                </c:pt>
              </c:numCache>
            </c:numRef>
          </c:val>
          <c:smooth val="0"/>
          <c:extLst>
            <c:ext xmlns:c16="http://schemas.microsoft.com/office/drawing/2014/chart" uri="{C3380CC4-5D6E-409C-BE32-E72D297353CC}">
              <c16:uniqueId val="{00000000-8873-4EC9-984A-627B9CD40391}"/>
            </c:ext>
          </c:extLst>
        </c:ser>
        <c:ser>
          <c:idx val="1"/>
          <c:order val="1"/>
          <c:tx>
            <c:strRef>
              <c:f>'Gas supply infrastructure'!$Q$20</c:f>
              <c:strCache>
                <c:ptCount val="1"/>
                <c:pt idx="0">
                  <c:v>Karksi from EE</c:v>
                </c:pt>
              </c:strCache>
            </c:strRef>
          </c:tx>
          <c:spPr>
            <a:ln w="28575" cap="rnd">
              <a:solidFill>
                <a:srgbClr val="C00000"/>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infrastructure'!$R$20:$U$20</c:f>
              <c:numCache>
                <c:formatCode>General</c:formatCode>
                <c:ptCount val="4"/>
                <c:pt idx="0">
                  <c:v>0</c:v>
                </c:pt>
                <c:pt idx="1">
                  <c:v>1.2999999999999999E-3</c:v>
                </c:pt>
                <c:pt idx="2">
                  <c:v>1.0449999999999999E-2</c:v>
                </c:pt>
                <c:pt idx="3">
                  <c:v>3.0999999999999999E-3</c:v>
                </c:pt>
              </c:numCache>
            </c:numRef>
          </c:val>
          <c:smooth val="0"/>
          <c:extLst>
            <c:ext xmlns:c16="http://schemas.microsoft.com/office/drawing/2014/chart" uri="{C3380CC4-5D6E-409C-BE32-E72D297353CC}">
              <c16:uniqueId val="{00000001-8873-4EC9-984A-627B9CD40391}"/>
            </c:ext>
          </c:extLst>
        </c:ser>
        <c:ser>
          <c:idx val="2"/>
          <c:order val="2"/>
          <c:tx>
            <c:strRef>
              <c:f>'Gas supply infrastructure'!$Q$21</c:f>
              <c:strCache>
                <c:ptCount val="1"/>
                <c:pt idx="0">
                  <c:v>Kiemenai to LT</c:v>
                </c:pt>
              </c:strCache>
            </c:strRef>
          </c:tx>
          <c:spPr>
            <a:ln w="28575" cap="rnd">
              <a:solidFill>
                <a:schemeClr val="tx2">
                  <a:lumMod val="60000"/>
                  <a:lumOff val="40000"/>
                </a:schemeClr>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infrastructure'!$R$21:$U$21</c:f>
              <c:numCache>
                <c:formatCode>General</c:formatCode>
                <c:ptCount val="4"/>
                <c:pt idx="0">
                  <c:v>2.4239000000000002</c:v>
                </c:pt>
                <c:pt idx="1">
                  <c:v>0.62060000000000004</c:v>
                </c:pt>
                <c:pt idx="2">
                  <c:v>1.6473</c:v>
                </c:pt>
                <c:pt idx="3">
                  <c:v>2.9870000000000001</c:v>
                </c:pt>
              </c:numCache>
            </c:numRef>
          </c:val>
          <c:smooth val="0"/>
          <c:extLst>
            <c:ext xmlns:c16="http://schemas.microsoft.com/office/drawing/2014/chart" uri="{C3380CC4-5D6E-409C-BE32-E72D297353CC}">
              <c16:uniqueId val="{00000002-8873-4EC9-984A-627B9CD40391}"/>
            </c:ext>
          </c:extLst>
        </c:ser>
        <c:ser>
          <c:idx val="3"/>
          <c:order val="3"/>
          <c:tx>
            <c:strRef>
              <c:f>'Gas supply infrastructure'!$Q$22</c:f>
              <c:strCache>
                <c:ptCount val="1"/>
                <c:pt idx="0">
                  <c:v>Kiemenai from LT</c:v>
                </c:pt>
              </c:strCache>
            </c:strRef>
          </c:tx>
          <c:spPr>
            <a:ln w="28575" cap="rnd">
              <a:solidFill>
                <a:srgbClr val="446180"/>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infrastructure'!$R$22:$U$22</c:f>
              <c:numCache>
                <c:formatCode>General</c:formatCode>
                <c:ptCount val="4"/>
                <c:pt idx="0">
                  <c:v>2.2044999999999999</c:v>
                </c:pt>
                <c:pt idx="1">
                  <c:v>5.1786000000000003</c:v>
                </c:pt>
                <c:pt idx="2">
                  <c:v>7.9051999999999998</c:v>
                </c:pt>
                <c:pt idx="3">
                  <c:v>1.7341</c:v>
                </c:pt>
              </c:numCache>
            </c:numRef>
          </c:val>
          <c:smooth val="0"/>
          <c:extLst>
            <c:ext xmlns:c16="http://schemas.microsoft.com/office/drawing/2014/chart" uri="{C3380CC4-5D6E-409C-BE32-E72D297353CC}">
              <c16:uniqueId val="{00000003-8873-4EC9-984A-627B9CD40391}"/>
            </c:ext>
          </c:extLst>
        </c:ser>
        <c:ser>
          <c:idx val="4"/>
          <c:order val="4"/>
          <c:tx>
            <c:strRef>
              <c:f>'Gas supply infrastructure'!$Q$23</c:f>
              <c:strCache>
                <c:ptCount val="1"/>
                <c:pt idx="0">
                  <c:v>Korneti to RU</c:v>
                </c:pt>
              </c:strCache>
            </c:strRef>
          </c:tx>
          <c:spPr>
            <a:ln w="28575" cap="rnd">
              <a:solidFill>
                <a:schemeClr val="accent1">
                  <a:lumMod val="50000"/>
                  <a:lumOff val="50000"/>
                </a:schemeClr>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infrastructure'!$R$23:$U$23</c:f>
              <c:numCache>
                <c:formatCode>General</c:formatCode>
                <c:ptCount val="4"/>
                <c:pt idx="0">
                  <c:v>0.58640000000000003</c:v>
                </c:pt>
                <c:pt idx="1">
                  <c:v>0.98440000000000005</c:v>
                </c:pt>
                <c:pt idx="2">
                  <c:v>0.14760000000000001</c:v>
                </c:pt>
                <c:pt idx="3">
                  <c:v>0.25929999999999997</c:v>
                </c:pt>
              </c:numCache>
            </c:numRef>
          </c:val>
          <c:smooth val="0"/>
          <c:extLst>
            <c:ext xmlns:c16="http://schemas.microsoft.com/office/drawing/2014/chart" uri="{C3380CC4-5D6E-409C-BE32-E72D297353CC}">
              <c16:uniqueId val="{00000004-8873-4EC9-984A-627B9CD40391}"/>
            </c:ext>
          </c:extLst>
        </c:ser>
        <c:ser>
          <c:idx val="5"/>
          <c:order val="5"/>
          <c:tx>
            <c:strRef>
              <c:f>'Gas supply infrastructure'!$Q$24</c:f>
              <c:strCache>
                <c:ptCount val="1"/>
                <c:pt idx="0">
                  <c:v>Korneti from RU</c:v>
                </c:pt>
              </c:strCache>
            </c:strRef>
          </c:tx>
          <c:spPr>
            <a:ln w="28575" cap="rnd">
              <a:solidFill>
                <a:schemeClr val="accent6">
                  <a:lumMod val="75000"/>
                </a:schemeClr>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infrastructure'!$R$24:$U$24</c:f>
              <c:numCache>
                <c:formatCode>General</c:formatCode>
                <c:ptCount val="4"/>
                <c:pt idx="0">
                  <c:v>15.3179</c:v>
                </c:pt>
                <c:pt idx="1">
                  <c:v>18.285900000000002</c:v>
                </c:pt>
                <c:pt idx="2">
                  <c:v>17.9725</c:v>
                </c:pt>
                <c:pt idx="3">
                  <c:v>19.693000000000001</c:v>
                </c:pt>
              </c:numCache>
            </c:numRef>
          </c:val>
          <c:smooth val="0"/>
          <c:extLst>
            <c:ext xmlns:c16="http://schemas.microsoft.com/office/drawing/2014/chart" uri="{C3380CC4-5D6E-409C-BE32-E72D297353CC}">
              <c16:uniqueId val="{00000005-8873-4EC9-984A-627B9CD40391}"/>
            </c:ext>
          </c:extLst>
        </c:ser>
        <c:ser>
          <c:idx val="6"/>
          <c:order val="6"/>
          <c:tx>
            <c:strRef>
              <c:f>'Gas supply infrastructure'!$Q$25</c:f>
              <c:strCache>
                <c:ptCount val="1"/>
                <c:pt idx="0">
                  <c:v>IUGS - In</c:v>
                </c:pt>
              </c:strCache>
            </c:strRef>
          </c:tx>
          <c:spPr>
            <a:ln w="28575" cap="rnd">
              <a:solidFill>
                <a:srgbClr val="00B0F0"/>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infrastructure'!$R$25:$U$25</c:f>
              <c:numCache>
                <c:formatCode>General</c:formatCode>
                <c:ptCount val="4"/>
                <c:pt idx="0">
                  <c:v>10.8476</c:v>
                </c:pt>
                <c:pt idx="1">
                  <c:v>15.4748</c:v>
                </c:pt>
                <c:pt idx="2">
                  <c:v>13.827500000000001</c:v>
                </c:pt>
                <c:pt idx="3">
                  <c:v>12.9625</c:v>
                </c:pt>
              </c:numCache>
            </c:numRef>
          </c:val>
          <c:smooth val="0"/>
          <c:extLst>
            <c:ext xmlns:c16="http://schemas.microsoft.com/office/drawing/2014/chart" uri="{C3380CC4-5D6E-409C-BE32-E72D297353CC}">
              <c16:uniqueId val="{00000006-8873-4EC9-984A-627B9CD40391}"/>
            </c:ext>
          </c:extLst>
        </c:ser>
        <c:ser>
          <c:idx val="7"/>
          <c:order val="7"/>
          <c:tx>
            <c:strRef>
              <c:f>'Gas supply infrastructure'!$Q$26</c:f>
              <c:strCache>
                <c:ptCount val="1"/>
                <c:pt idx="0">
                  <c:v>IUGS - out</c:v>
                </c:pt>
              </c:strCache>
            </c:strRef>
          </c:tx>
          <c:spPr>
            <a:ln w="28575" cap="rnd">
              <a:solidFill>
                <a:srgbClr val="0070C0"/>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infrastructure'!$R$26:$U$26</c:f>
              <c:numCache>
                <c:formatCode>General</c:formatCode>
                <c:ptCount val="4"/>
                <c:pt idx="0">
                  <c:v>12.6281</c:v>
                </c:pt>
                <c:pt idx="1">
                  <c:v>10.528499999999999</c:v>
                </c:pt>
                <c:pt idx="2">
                  <c:v>11.5526</c:v>
                </c:pt>
                <c:pt idx="3">
                  <c:v>17.918900000000001</c:v>
                </c:pt>
              </c:numCache>
            </c:numRef>
          </c:val>
          <c:smooth val="0"/>
          <c:extLst>
            <c:ext xmlns:c16="http://schemas.microsoft.com/office/drawing/2014/chart" uri="{C3380CC4-5D6E-409C-BE32-E72D297353CC}">
              <c16:uniqueId val="{00000007-8873-4EC9-984A-627B9CD40391}"/>
            </c:ext>
          </c:extLst>
        </c:ser>
        <c:ser>
          <c:idx val="8"/>
          <c:order val="8"/>
          <c:tx>
            <c:strRef>
              <c:f>'Gas supply infrastructure'!$Q$27</c:f>
              <c:strCache>
                <c:ptCount val="1"/>
                <c:pt idx="0">
                  <c:v>Total NG consumption</c:v>
                </c:pt>
              </c:strCache>
            </c:strRef>
          </c:tx>
          <c:spPr>
            <a:ln w="28575" cap="rnd">
              <a:solidFill>
                <a:schemeClr val="accent2"/>
              </a:solidFill>
              <a:round/>
            </a:ln>
            <a:effectLst/>
          </c:spPr>
          <c:marker>
            <c:symbol val="none"/>
          </c:marker>
          <c:cat>
            <c:numRef>
              <c:f>'Gas supply infrastructure'!$R$18:$U$18</c:f>
              <c:numCache>
                <c:formatCode>General</c:formatCode>
                <c:ptCount val="4"/>
                <c:pt idx="0">
                  <c:v>2018</c:v>
                </c:pt>
                <c:pt idx="1">
                  <c:v>2019</c:v>
                </c:pt>
                <c:pt idx="2">
                  <c:v>2020</c:v>
                </c:pt>
                <c:pt idx="3">
                  <c:v>2021</c:v>
                </c:pt>
              </c:numCache>
            </c:numRef>
          </c:cat>
          <c:val>
            <c:numRef>
              <c:f>'Gas supply infrastructure'!$R$27:$U$27</c:f>
              <c:numCache>
                <c:formatCode>General</c:formatCode>
                <c:ptCount val="4"/>
                <c:pt idx="0">
                  <c:v>15.168999999999999</c:v>
                </c:pt>
                <c:pt idx="1">
                  <c:v>14.4633</c:v>
                </c:pt>
                <c:pt idx="2">
                  <c:v>11.717750000000001</c:v>
                </c:pt>
                <c:pt idx="3">
                  <c:v>12.614800000000002</c:v>
                </c:pt>
              </c:numCache>
            </c:numRef>
          </c:val>
          <c:smooth val="0"/>
          <c:extLst>
            <c:ext xmlns:c16="http://schemas.microsoft.com/office/drawing/2014/chart" uri="{C3380CC4-5D6E-409C-BE32-E72D297353CC}">
              <c16:uniqueId val="{00000008-8873-4EC9-984A-627B9CD40391}"/>
            </c:ext>
          </c:extLst>
        </c:ser>
        <c:dLbls>
          <c:showLegendKey val="0"/>
          <c:showVal val="0"/>
          <c:showCatName val="0"/>
          <c:showSerName val="0"/>
          <c:showPercent val="0"/>
          <c:showBubbleSize val="0"/>
        </c:dLbls>
        <c:smooth val="0"/>
        <c:axId val="1892170255"/>
        <c:axId val="1892167759"/>
      </c:lineChart>
      <c:catAx>
        <c:axId val="189217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892167759"/>
        <c:crosses val="autoZero"/>
        <c:auto val="1"/>
        <c:lblAlgn val="ctr"/>
        <c:lblOffset val="100"/>
        <c:noMultiLvlLbl val="0"/>
      </c:catAx>
      <c:valAx>
        <c:axId val="1892167759"/>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892170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'Gas Supply infrastructure'!$N$21</c:f>
              <c:strCache>
                <c:ptCount val="1"/>
                <c:pt idx="0">
                  <c:v>Kiemenai GMS (to Latvia)</c:v>
                </c:pt>
              </c:strCache>
            </c:strRef>
          </c:tx>
          <c:spPr>
            <a:ln w="28575" cap="rnd">
              <a:solidFill>
                <a:schemeClr val="accent1">
                  <a:lumMod val="90000"/>
                  <a:lumOff val="10000"/>
                </a:schemeClr>
              </a:solidFill>
              <a:round/>
            </a:ln>
            <a:effectLst/>
          </c:spPr>
          <c:marker>
            <c:symbol val="none"/>
          </c:marker>
          <c:cat>
            <c:numRef>
              <c:f>'Gas Supply infrastructure'!$O$20:$U$20</c:f>
              <c:numCache>
                <c:formatCode>General</c:formatCode>
                <c:ptCount val="7"/>
                <c:pt idx="0">
                  <c:v>2015</c:v>
                </c:pt>
                <c:pt idx="1">
                  <c:v>2016</c:v>
                </c:pt>
                <c:pt idx="2">
                  <c:v>2017</c:v>
                </c:pt>
                <c:pt idx="3">
                  <c:v>2018</c:v>
                </c:pt>
                <c:pt idx="4">
                  <c:v>2019</c:v>
                </c:pt>
                <c:pt idx="5">
                  <c:v>2020</c:v>
                </c:pt>
                <c:pt idx="6">
                  <c:v>2021</c:v>
                </c:pt>
              </c:numCache>
            </c:numRef>
          </c:cat>
          <c:val>
            <c:numRef>
              <c:f>'Gas Supply infrastructure'!$O$21:$U$21</c:f>
              <c:numCache>
                <c:formatCode>General</c:formatCode>
                <c:ptCount val="7"/>
                <c:pt idx="0">
                  <c:v>1</c:v>
                </c:pt>
                <c:pt idx="1">
                  <c:v>0.47</c:v>
                </c:pt>
                <c:pt idx="2">
                  <c:v>2.54</c:v>
                </c:pt>
                <c:pt idx="3">
                  <c:v>2.2000000000000002</c:v>
                </c:pt>
                <c:pt idx="4">
                  <c:v>5.18</c:v>
                </c:pt>
                <c:pt idx="5">
                  <c:v>7.91</c:v>
                </c:pt>
                <c:pt idx="6">
                  <c:v>1.7341</c:v>
                </c:pt>
              </c:numCache>
            </c:numRef>
          </c:val>
          <c:smooth val="0"/>
          <c:extLst>
            <c:ext xmlns:c16="http://schemas.microsoft.com/office/drawing/2014/chart" uri="{C3380CC4-5D6E-409C-BE32-E72D297353CC}">
              <c16:uniqueId val="{00000000-E603-4909-BACF-5CB32D14CD45}"/>
            </c:ext>
          </c:extLst>
        </c:ser>
        <c:ser>
          <c:idx val="1"/>
          <c:order val="1"/>
          <c:tx>
            <c:strRef>
              <c:f>'Gas Supply infrastructure'!$N$22</c:f>
              <c:strCache>
                <c:ptCount val="1"/>
                <c:pt idx="0">
                  <c:v>Kiemenai GMS (to Lithuania)</c:v>
                </c:pt>
              </c:strCache>
            </c:strRef>
          </c:tx>
          <c:spPr>
            <a:ln w="28575" cap="rnd">
              <a:solidFill>
                <a:schemeClr val="accent2"/>
              </a:solidFill>
              <a:round/>
            </a:ln>
            <a:effectLst/>
          </c:spPr>
          <c:marker>
            <c:symbol val="none"/>
          </c:marker>
          <c:cat>
            <c:numRef>
              <c:f>'Gas Supply infrastructure'!$O$20:$U$20</c:f>
              <c:numCache>
                <c:formatCode>General</c:formatCode>
                <c:ptCount val="7"/>
                <c:pt idx="0">
                  <c:v>2015</c:v>
                </c:pt>
                <c:pt idx="1">
                  <c:v>2016</c:v>
                </c:pt>
                <c:pt idx="2">
                  <c:v>2017</c:v>
                </c:pt>
                <c:pt idx="3">
                  <c:v>2018</c:v>
                </c:pt>
                <c:pt idx="4">
                  <c:v>2019</c:v>
                </c:pt>
                <c:pt idx="5">
                  <c:v>2020</c:v>
                </c:pt>
                <c:pt idx="6">
                  <c:v>2021</c:v>
                </c:pt>
              </c:numCache>
            </c:numRef>
          </c:cat>
          <c:val>
            <c:numRef>
              <c:f>'Gas Supply infrastructure'!$O$22:$U$22</c:f>
              <c:numCache>
                <c:formatCode>General</c:formatCode>
                <c:ptCount val="7"/>
                <c:pt idx="0">
                  <c:v>0.46</c:v>
                </c:pt>
                <c:pt idx="1">
                  <c:v>0.4</c:v>
                </c:pt>
                <c:pt idx="2">
                  <c:v>0.21</c:v>
                </c:pt>
                <c:pt idx="3">
                  <c:v>2.42</c:v>
                </c:pt>
                <c:pt idx="4">
                  <c:v>0.67</c:v>
                </c:pt>
                <c:pt idx="5">
                  <c:v>1.65</c:v>
                </c:pt>
                <c:pt idx="6">
                  <c:v>2.99</c:v>
                </c:pt>
              </c:numCache>
            </c:numRef>
          </c:val>
          <c:smooth val="0"/>
          <c:extLst>
            <c:ext xmlns:c16="http://schemas.microsoft.com/office/drawing/2014/chart" uri="{C3380CC4-5D6E-409C-BE32-E72D297353CC}">
              <c16:uniqueId val="{00000001-E603-4909-BACF-5CB32D14CD45}"/>
            </c:ext>
          </c:extLst>
        </c:ser>
        <c:ser>
          <c:idx val="2"/>
          <c:order val="2"/>
          <c:tx>
            <c:strRef>
              <c:f>'Gas Supply infrastructure'!$N$23</c:f>
              <c:strCache>
                <c:ptCount val="1"/>
                <c:pt idx="0">
                  <c:v>Klaipeda GMS (to Lithuania)</c:v>
                </c:pt>
              </c:strCache>
            </c:strRef>
          </c:tx>
          <c:spPr>
            <a:ln w="28575" cap="rnd">
              <a:solidFill>
                <a:schemeClr val="accent3"/>
              </a:solidFill>
              <a:round/>
            </a:ln>
            <a:effectLst/>
          </c:spPr>
          <c:marker>
            <c:symbol val="none"/>
          </c:marker>
          <c:cat>
            <c:numRef>
              <c:f>'Gas Supply infrastructure'!$O$20:$U$20</c:f>
              <c:numCache>
                <c:formatCode>General</c:formatCode>
                <c:ptCount val="7"/>
                <c:pt idx="0">
                  <c:v>2015</c:v>
                </c:pt>
                <c:pt idx="1">
                  <c:v>2016</c:v>
                </c:pt>
                <c:pt idx="2">
                  <c:v>2017</c:v>
                </c:pt>
                <c:pt idx="3">
                  <c:v>2018</c:v>
                </c:pt>
                <c:pt idx="4">
                  <c:v>2019</c:v>
                </c:pt>
                <c:pt idx="5">
                  <c:v>2020</c:v>
                </c:pt>
                <c:pt idx="6">
                  <c:v>2021</c:v>
                </c:pt>
              </c:numCache>
            </c:numRef>
          </c:cat>
          <c:val>
            <c:numRef>
              <c:f>'Gas Supply infrastructure'!$O$23:$U$23</c:f>
              <c:numCache>
                <c:formatCode>General</c:formatCode>
                <c:ptCount val="7"/>
                <c:pt idx="0">
                  <c:v>4.5589000000000004</c:v>
                </c:pt>
                <c:pt idx="1">
                  <c:v>14.67</c:v>
                </c:pt>
                <c:pt idx="2">
                  <c:v>12.36</c:v>
                </c:pt>
                <c:pt idx="3">
                  <c:v>8.83</c:v>
                </c:pt>
                <c:pt idx="4">
                  <c:v>19.600000000000001</c:v>
                </c:pt>
                <c:pt idx="5">
                  <c:v>21.9</c:v>
                </c:pt>
                <c:pt idx="6">
                  <c:v>16.34</c:v>
                </c:pt>
              </c:numCache>
            </c:numRef>
          </c:val>
          <c:smooth val="0"/>
          <c:extLst>
            <c:ext xmlns:c16="http://schemas.microsoft.com/office/drawing/2014/chart" uri="{C3380CC4-5D6E-409C-BE32-E72D297353CC}">
              <c16:uniqueId val="{00000002-E603-4909-BACF-5CB32D14CD45}"/>
            </c:ext>
          </c:extLst>
        </c:ser>
        <c:ser>
          <c:idx val="3"/>
          <c:order val="3"/>
          <c:tx>
            <c:strRef>
              <c:f>'Gas Supply infrastructure'!$N$24</c:f>
              <c:strCache>
                <c:ptCount val="1"/>
                <c:pt idx="0">
                  <c:v>Kotlovka GMS (to Lithuania)</c:v>
                </c:pt>
              </c:strCache>
            </c:strRef>
          </c:tx>
          <c:spPr>
            <a:ln w="28575" cap="rnd">
              <a:solidFill>
                <a:schemeClr val="accent4"/>
              </a:solidFill>
              <a:round/>
            </a:ln>
            <a:effectLst/>
          </c:spPr>
          <c:marker>
            <c:symbol val="none"/>
          </c:marker>
          <c:cat>
            <c:numRef>
              <c:f>'Gas Supply infrastructure'!$O$20:$U$20</c:f>
              <c:numCache>
                <c:formatCode>General</c:formatCode>
                <c:ptCount val="7"/>
                <c:pt idx="0">
                  <c:v>2015</c:v>
                </c:pt>
                <c:pt idx="1">
                  <c:v>2016</c:v>
                </c:pt>
                <c:pt idx="2">
                  <c:v>2017</c:v>
                </c:pt>
                <c:pt idx="3">
                  <c:v>2018</c:v>
                </c:pt>
                <c:pt idx="4">
                  <c:v>2019</c:v>
                </c:pt>
                <c:pt idx="5">
                  <c:v>2020</c:v>
                </c:pt>
                <c:pt idx="6">
                  <c:v>2021</c:v>
                </c:pt>
              </c:numCache>
            </c:numRef>
          </c:cat>
          <c:val>
            <c:numRef>
              <c:f>'Gas Supply infrastructure'!$O$24:$U$24</c:f>
              <c:numCache>
                <c:formatCode>General</c:formatCode>
                <c:ptCount val="7"/>
                <c:pt idx="0">
                  <c:v>44.12</c:v>
                </c:pt>
                <c:pt idx="1">
                  <c:v>32.68</c:v>
                </c:pt>
                <c:pt idx="2">
                  <c:v>40.07</c:v>
                </c:pt>
                <c:pt idx="3">
                  <c:v>41.16</c:v>
                </c:pt>
                <c:pt idx="4">
                  <c:v>34.520000000000003</c:v>
                </c:pt>
                <c:pt idx="5">
                  <c:v>34.53</c:v>
                </c:pt>
                <c:pt idx="6">
                  <c:v>33.36</c:v>
                </c:pt>
              </c:numCache>
            </c:numRef>
          </c:val>
          <c:smooth val="0"/>
          <c:extLst>
            <c:ext xmlns:c16="http://schemas.microsoft.com/office/drawing/2014/chart" uri="{C3380CC4-5D6E-409C-BE32-E72D297353CC}">
              <c16:uniqueId val="{00000003-E603-4909-BACF-5CB32D14CD45}"/>
            </c:ext>
          </c:extLst>
        </c:ser>
        <c:ser>
          <c:idx val="4"/>
          <c:order val="4"/>
          <c:tx>
            <c:strRef>
              <c:f>'Gas Supply infrastructure'!$N$25</c:f>
              <c:strCache>
                <c:ptCount val="1"/>
                <c:pt idx="0">
                  <c:v>Sakiai GMS (to Kaliningrad Region)</c:v>
                </c:pt>
              </c:strCache>
            </c:strRef>
          </c:tx>
          <c:spPr>
            <a:ln w="28575" cap="rnd">
              <a:solidFill>
                <a:schemeClr val="accent5"/>
              </a:solidFill>
              <a:round/>
            </a:ln>
            <a:effectLst/>
          </c:spPr>
          <c:marker>
            <c:symbol val="none"/>
          </c:marker>
          <c:cat>
            <c:numRef>
              <c:f>'Gas Supply infrastructure'!$O$20:$U$20</c:f>
              <c:numCache>
                <c:formatCode>General</c:formatCode>
                <c:ptCount val="7"/>
                <c:pt idx="0">
                  <c:v>2015</c:v>
                </c:pt>
                <c:pt idx="1">
                  <c:v>2016</c:v>
                </c:pt>
                <c:pt idx="2">
                  <c:v>2017</c:v>
                </c:pt>
                <c:pt idx="3">
                  <c:v>2018</c:v>
                </c:pt>
                <c:pt idx="4">
                  <c:v>2019</c:v>
                </c:pt>
                <c:pt idx="5">
                  <c:v>2020</c:v>
                </c:pt>
                <c:pt idx="6">
                  <c:v>2021</c:v>
                </c:pt>
              </c:numCache>
            </c:numRef>
          </c:cat>
          <c:val>
            <c:numRef>
              <c:f>'Gas Supply infrastructure'!$O$25:$U$25</c:f>
              <c:numCache>
                <c:formatCode>General</c:formatCode>
                <c:ptCount val="7"/>
                <c:pt idx="0">
                  <c:v>21.78</c:v>
                </c:pt>
                <c:pt idx="1">
                  <c:v>23.51</c:v>
                </c:pt>
                <c:pt idx="2">
                  <c:v>25.66</c:v>
                </c:pt>
                <c:pt idx="3">
                  <c:v>27.83</c:v>
                </c:pt>
                <c:pt idx="4">
                  <c:v>26</c:v>
                </c:pt>
                <c:pt idx="5">
                  <c:v>24.9</c:v>
                </c:pt>
                <c:pt idx="6">
                  <c:v>26.69</c:v>
                </c:pt>
              </c:numCache>
            </c:numRef>
          </c:val>
          <c:smooth val="0"/>
          <c:extLst>
            <c:ext xmlns:c16="http://schemas.microsoft.com/office/drawing/2014/chart" uri="{C3380CC4-5D6E-409C-BE32-E72D297353CC}">
              <c16:uniqueId val="{00000004-E603-4909-BACF-5CB32D14CD45}"/>
            </c:ext>
          </c:extLst>
        </c:ser>
        <c:ser>
          <c:idx val="5"/>
          <c:order val="5"/>
          <c:tx>
            <c:strRef>
              <c:f>'Gas Supply infrastructure'!$N$28</c:f>
              <c:strCache>
                <c:ptCount val="1"/>
                <c:pt idx="0">
                  <c:v>Total NG consumption</c:v>
                </c:pt>
              </c:strCache>
            </c:strRef>
          </c:tx>
          <c:spPr>
            <a:ln w="28575" cap="rnd">
              <a:solidFill>
                <a:srgbClr val="C00000"/>
              </a:solidFill>
              <a:round/>
            </a:ln>
            <a:effectLst/>
          </c:spPr>
          <c:marker>
            <c:symbol val="none"/>
          </c:marker>
          <c:cat>
            <c:numRef>
              <c:f>'Gas Supply infrastructure'!$O$20:$U$20</c:f>
              <c:numCache>
                <c:formatCode>General</c:formatCode>
                <c:ptCount val="7"/>
                <c:pt idx="0">
                  <c:v>2015</c:v>
                </c:pt>
                <c:pt idx="1">
                  <c:v>2016</c:v>
                </c:pt>
                <c:pt idx="2">
                  <c:v>2017</c:v>
                </c:pt>
                <c:pt idx="3">
                  <c:v>2018</c:v>
                </c:pt>
                <c:pt idx="4">
                  <c:v>2019</c:v>
                </c:pt>
                <c:pt idx="5">
                  <c:v>2020</c:v>
                </c:pt>
                <c:pt idx="6">
                  <c:v>2021</c:v>
                </c:pt>
              </c:numCache>
            </c:numRef>
          </c:cat>
          <c:val>
            <c:numRef>
              <c:f>'Gas Supply infrastructure'!$O$28:$U$28</c:f>
              <c:numCache>
                <c:formatCode>General</c:formatCode>
                <c:ptCount val="7"/>
                <c:pt idx="0">
                  <c:v>26.358899999999998</c:v>
                </c:pt>
                <c:pt idx="1">
                  <c:v>23.77</c:v>
                </c:pt>
                <c:pt idx="2">
                  <c:v>24.44</c:v>
                </c:pt>
                <c:pt idx="3">
                  <c:v>22.379999999999995</c:v>
                </c:pt>
                <c:pt idx="4">
                  <c:v>23.610000000000007</c:v>
                </c:pt>
                <c:pt idx="5">
                  <c:v>25.270000000000003</c:v>
                </c:pt>
                <c:pt idx="6">
                  <c:v>24.265899999999998</c:v>
                </c:pt>
              </c:numCache>
            </c:numRef>
          </c:val>
          <c:smooth val="0"/>
          <c:extLst>
            <c:ext xmlns:c16="http://schemas.microsoft.com/office/drawing/2014/chart" uri="{C3380CC4-5D6E-409C-BE32-E72D297353CC}">
              <c16:uniqueId val="{00000005-E603-4909-BACF-5CB32D14CD45}"/>
            </c:ext>
          </c:extLst>
        </c:ser>
        <c:dLbls>
          <c:showLegendKey val="0"/>
          <c:showVal val="0"/>
          <c:showCatName val="0"/>
          <c:showSerName val="0"/>
          <c:showPercent val="0"/>
          <c:showBubbleSize val="0"/>
        </c:dLbls>
        <c:smooth val="0"/>
        <c:axId val="924976447"/>
        <c:axId val="924976863"/>
      </c:lineChart>
      <c:catAx>
        <c:axId val="92497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24976863"/>
        <c:crosses val="autoZero"/>
        <c:auto val="1"/>
        <c:lblAlgn val="ctr"/>
        <c:lblOffset val="100"/>
        <c:noMultiLvlLbl val="0"/>
      </c:catAx>
      <c:valAx>
        <c:axId val="924976863"/>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lumMod val="65000"/>
                        <a:lumOff val="35000"/>
                      </a:schemeClr>
                    </a:solidFill>
                  </a:rPr>
                  <a:t>TWh/a</a:t>
                </a:r>
              </a:p>
            </c:rich>
          </c:tx>
          <c:layout>
            <c:manualLayout>
              <c:xMode val="edge"/>
              <c:yMode val="edge"/>
              <c:x val="3.0555555555555555E-2"/>
              <c:y val="0.277514581510644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2497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Sheet1!$AB$4</c:f>
              <c:strCache>
                <c:ptCount val="1"/>
                <c:pt idx="0">
                  <c:v>Balticconnector - Export</c:v>
                </c:pt>
              </c:strCache>
            </c:strRef>
          </c:tx>
          <c:spPr>
            <a:ln w="28575" cap="rnd">
              <a:solidFill>
                <a:schemeClr val="accent1"/>
              </a:solidFill>
              <a:round/>
            </a:ln>
            <a:effectLst/>
          </c:spPr>
          <c:marker>
            <c:symbol val="none"/>
          </c:marker>
          <c:cat>
            <c:numRef>
              <c:f>Sheet1!$AC$3:$AD$3</c:f>
              <c:numCache>
                <c:formatCode>General</c:formatCode>
                <c:ptCount val="2"/>
                <c:pt idx="0">
                  <c:v>2020</c:v>
                </c:pt>
                <c:pt idx="1">
                  <c:v>2021</c:v>
                </c:pt>
              </c:numCache>
            </c:numRef>
          </c:cat>
          <c:val>
            <c:numRef>
              <c:f>Sheet1!$AC$4:$AD$4</c:f>
              <c:numCache>
                <c:formatCode>General</c:formatCode>
                <c:ptCount val="2"/>
                <c:pt idx="0">
                  <c:v>0</c:v>
                </c:pt>
                <c:pt idx="1">
                  <c:v>6.8000000000000005E-2</c:v>
                </c:pt>
              </c:numCache>
            </c:numRef>
          </c:val>
          <c:smooth val="0"/>
          <c:extLst>
            <c:ext xmlns:c16="http://schemas.microsoft.com/office/drawing/2014/chart" uri="{C3380CC4-5D6E-409C-BE32-E72D297353CC}">
              <c16:uniqueId val="{00000000-67A6-4D89-AC6F-B4D603D63A08}"/>
            </c:ext>
          </c:extLst>
        </c:ser>
        <c:ser>
          <c:idx val="1"/>
          <c:order val="1"/>
          <c:tx>
            <c:strRef>
              <c:f>Sheet1!$AB$5</c:f>
              <c:strCache>
                <c:ptCount val="1"/>
                <c:pt idx="0">
                  <c:v>Balticconnector - Import</c:v>
                </c:pt>
              </c:strCache>
            </c:strRef>
          </c:tx>
          <c:spPr>
            <a:ln w="28575" cap="rnd">
              <a:solidFill>
                <a:schemeClr val="accent2"/>
              </a:solidFill>
              <a:round/>
            </a:ln>
            <a:effectLst/>
          </c:spPr>
          <c:marker>
            <c:symbol val="none"/>
          </c:marker>
          <c:cat>
            <c:numRef>
              <c:f>Sheet1!$AC$3:$AD$3</c:f>
              <c:numCache>
                <c:formatCode>General</c:formatCode>
                <c:ptCount val="2"/>
                <c:pt idx="0">
                  <c:v>2020</c:v>
                </c:pt>
                <c:pt idx="1">
                  <c:v>2021</c:v>
                </c:pt>
              </c:numCache>
            </c:numRef>
          </c:cat>
          <c:val>
            <c:numRef>
              <c:f>Sheet1!$AC$5:$AD$5</c:f>
              <c:numCache>
                <c:formatCode>General</c:formatCode>
                <c:ptCount val="2"/>
                <c:pt idx="0">
                  <c:v>8.5</c:v>
                </c:pt>
                <c:pt idx="1">
                  <c:v>6.2</c:v>
                </c:pt>
              </c:numCache>
            </c:numRef>
          </c:val>
          <c:smooth val="0"/>
          <c:extLst>
            <c:ext xmlns:c16="http://schemas.microsoft.com/office/drawing/2014/chart" uri="{C3380CC4-5D6E-409C-BE32-E72D297353CC}">
              <c16:uniqueId val="{00000001-67A6-4D89-AC6F-B4D603D63A08}"/>
            </c:ext>
          </c:extLst>
        </c:ser>
        <c:dLbls>
          <c:showLegendKey val="0"/>
          <c:showVal val="0"/>
          <c:showCatName val="0"/>
          <c:showSerName val="0"/>
          <c:showPercent val="0"/>
          <c:showBubbleSize val="0"/>
        </c:dLbls>
        <c:smooth val="0"/>
        <c:axId val="1274410655"/>
        <c:axId val="1276011359"/>
      </c:lineChart>
      <c:catAx>
        <c:axId val="127441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76011359"/>
        <c:crosses val="autoZero"/>
        <c:auto val="1"/>
        <c:lblAlgn val="ctr"/>
        <c:lblOffset val="100"/>
        <c:noMultiLvlLbl val="0"/>
      </c:catAx>
      <c:valAx>
        <c:axId val="127601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lumMod val="65000"/>
                        <a:lumOff val="35000"/>
                      </a:schemeClr>
                    </a:solidFill>
                  </a:rPr>
                  <a:t>TWh/a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74410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116993354554"/>
          <c:y val="6.1624649859943981E-2"/>
          <c:w val="0.83068744066566147"/>
          <c:h val="0.80841306601380714"/>
        </c:manualLayout>
      </c:layout>
      <c:lineChart>
        <c:grouping val="standard"/>
        <c:varyColors val="0"/>
        <c:ser>
          <c:idx val="0"/>
          <c:order val="0"/>
          <c:tx>
            <c:strRef>
              <c:f>'UGS and LNG Terminal '!$A$7</c:f>
              <c:strCache>
                <c:ptCount val="1"/>
                <c:pt idx="0">
                  <c:v>Active gas in TWh</c:v>
                </c:pt>
              </c:strCache>
            </c:strRef>
          </c:tx>
          <c:spPr>
            <a:ln w="28575" cap="rnd">
              <a:solidFill>
                <a:schemeClr val="accent1"/>
              </a:solidFill>
              <a:round/>
            </a:ln>
            <a:effectLst/>
          </c:spPr>
          <c:marker>
            <c:symbol val="none"/>
          </c:marker>
          <c:dLbls>
            <c:delete val="1"/>
          </c:dLbls>
          <c:cat>
            <c:numRef>
              <c:f>'UGS and LNG Terminal '!$B$6:$G$6</c:f>
              <c:numCache>
                <c:formatCode>General</c:formatCode>
                <c:ptCount val="6"/>
                <c:pt idx="0">
                  <c:v>2015</c:v>
                </c:pt>
                <c:pt idx="1">
                  <c:v>2016</c:v>
                </c:pt>
                <c:pt idx="2">
                  <c:v>2017</c:v>
                </c:pt>
                <c:pt idx="3">
                  <c:v>2018</c:v>
                </c:pt>
                <c:pt idx="4">
                  <c:v>2019</c:v>
                </c:pt>
                <c:pt idx="5">
                  <c:v>2020</c:v>
                </c:pt>
              </c:numCache>
            </c:numRef>
          </c:cat>
          <c:val>
            <c:numRef>
              <c:f>'UGS and LNG Terminal '!$B$7:$G$7</c:f>
              <c:numCache>
                <c:formatCode>General</c:formatCode>
                <c:ptCount val="6"/>
                <c:pt idx="0">
                  <c:v>21</c:v>
                </c:pt>
                <c:pt idx="1">
                  <c:v>16.100000000000001</c:v>
                </c:pt>
                <c:pt idx="2">
                  <c:v>15</c:v>
                </c:pt>
                <c:pt idx="3">
                  <c:v>13.5</c:v>
                </c:pt>
                <c:pt idx="4">
                  <c:v>18.100000000000001</c:v>
                </c:pt>
                <c:pt idx="5">
                  <c:v>21.57</c:v>
                </c:pt>
              </c:numCache>
            </c:numRef>
          </c:val>
          <c:smooth val="0"/>
          <c:extLst>
            <c:ext xmlns:c16="http://schemas.microsoft.com/office/drawing/2014/chart" uri="{C3380CC4-5D6E-409C-BE32-E72D297353CC}">
              <c16:uniqueId val="{00000000-01F2-4107-A76D-2BC7EC472AF1}"/>
            </c:ext>
          </c:extLst>
        </c:ser>
        <c:dLbls>
          <c:dLblPos val="t"/>
          <c:showLegendKey val="0"/>
          <c:showVal val="1"/>
          <c:showCatName val="0"/>
          <c:showSerName val="0"/>
          <c:showPercent val="0"/>
          <c:showBubbleSize val="0"/>
        </c:dLbls>
        <c:smooth val="0"/>
        <c:axId val="1438292288"/>
        <c:axId val="1438292704"/>
      </c:lineChart>
      <c:catAx>
        <c:axId val="14382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38292704"/>
        <c:crosses val="autoZero"/>
        <c:auto val="1"/>
        <c:lblAlgn val="ctr"/>
        <c:lblOffset val="100"/>
        <c:noMultiLvlLbl val="0"/>
      </c:catAx>
      <c:valAx>
        <c:axId val="1438292704"/>
        <c:scaling>
          <c:orientation val="minMax"/>
          <c:max val="24"/>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TWh</a:t>
                </a:r>
              </a:p>
            </c:rich>
          </c:tx>
          <c:layout>
            <c:manualLayout>
              <c:xMode val="edge"/>
              <c:yMode val="edge"/>
              <c:x val="1.052856424861786E-2"/>
              <c:y val="0.390130792474470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3829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LNG_Terminals!$A$72:$E$72</c:f>
              <c:numCache>
                <c:formatCode>General</c:formatCode>
                <c:ptCount val="5"/>
                <c:pt idx="0">
                  <c:v>2017</c:v>
                </c:pt>
                <c:pt idx="1">
                  <c:v>2018</c:v>
                </c:pt>
                <c:pt idx="2">
                  <c:v>2019</c:v>
                </c:pt>
                <c:pt idx="3">
                  <c:v>2020</c:v>
                </c:pt>
                <c:pt idx="4">
                  <c:v>2021</c:v>
                </c:pt>
              </c:numCache>
            </c:numRef>
          </c:cat>
          <c:val>
            <c:numRef>
              <c:f>LNG_Terminals!$A$73:$E$73</c:f>
              <c:numCache>
                <c:formatCode>#,##0</c:formatCode>
                <c:ptCount val="5"/>
                <c:pt idx="0">
                  <c:v>12646</c:v>
                </c:pt>
                <c:pt idx="1">
                  <c:v>9213</c:v>
                </c:pt>
                <c:pt idx="2">
                  <c:v>20237</c:v>
                </c:pt>
                <c:pt idx="3">
                  <c:v>21987</c:v>
                </c:pt>
                <c:pt idx="4">
                  <c:v>16569</c:v>
                </c:pt>
              </c:numCache>
            </c:numRef>
          </c:val>
          <c:smooth val="0"/>
          <c:extLst>
            <c:ext xmlns:c16="http://schemas.microsoft.com/office/drawing/2014/chart" uri="{C3380CC4-5D6E-409C-BE32-E72D297353CC}">
              <c16:uniqueId val="{00000000-FCE3-41AC-9130-A29BC7EDB524}"/>
            </c:ext>
          </c:extLst>
        </c:ser>
        <c:dLbls>
          <c:showLegendKey val="0"/>
          <c:showVal val="0"/>
          <c:showCatName val="0"/>
          <c:showSerName val="0"/>
          <c:showPercent val="0"/>
          <c:showBubbleSize val="0"/>
        </c:dLbls>
        <c:smooth val="0"/>
        <c:axId val="2033823407"/>
        <c:axId val="2033807599"/>
      </c:lineChart>
      <c:catAx>
        <c:axId val="20338234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2033807599"/>
        <c:crosses val="autoZero"/>
        <c:auto val="1"/>
        <c:lblAlgn val="ctr"/>
        <c:lblOffset val="100"/>
        <c:noMultiLvlLbl val="0"/>
      </c:catAx>
      <c:valAx>
        <c:axId val="2033807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GWh</a:t>
                </a:r>
              </a:p>
            </c:rich>
          </c:tx>
          <c:layout>
            <c:manualLayout>
              <c:xMode val="edge"/>
              <c:yMode val="edge"/>
              <c:x val="2.3714243367422557E-2"/>
              <c:y val="0.393091073792767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2033823407"/>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solidFill>
            <a:schemeClr val="tx1">
              <a:lumMod val="65000"/>
              <a:lumOff val="35000"/>
            </a:schemeClr>
          </a:solidFill>
        </a:defRPr>
      </a:pPr>
      <a:endParaRPr lang="nl-B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'Appendix 3'!$F$17</c:f>
              <c:strCache>
                <c:ptCount val="1"/>
                <c:pt idx="0">
                  <c:v>Final Electricity Demand - Estonia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539148655800769E-2"/>
                  <c:y val="-4.8576480023330502E-2"/>
                </c:manualLayout>
              </c:layout>
              <c:tx>
                <c:rich>
                  <a:bodyPr/>
                  <a:lstStyle/>
                  <a:p>
                    <a:fld id="{27B93E0C-F84E-4956-A3E9-C33E41811B0E}" type="VALUE">
                      <a:rPr lang="en-US"/>
                      <a:pPr/>
                      <a:t>[WAARDE]</a:t>
                    </a:fld>
                    <a:r>
                      <a:rPr lang="en-US"/>
                      <a:t> TWh/yr</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42F-45E7-AEC7-473D3B431F07}"/>
                </c:ext>
              </c:extLst>
            </c:dLbl>
            <c:dLbl>
              <c:idx val="1"/>
              <c:layout>
                <c:manualLayout>
                  <c:x val="-8.2877955590324431E-2"/>
                  <c:y val="-7.4875246403328211E-2"/>
                </c:manualLayout>
              </c:layout>
              <c:tx>
                <c:rich>
                  <a:bodyPr/>
                  <a:lstStyle/>
                  <a:p>
                    <a:fld id="{C543BD35-556B-48D2-81DE-F33F3DC2CE7E}" type="VALUE">
                      <a:rPr lang="en-US"/>
                      <a:pPr/>
                      <a:t>[WAARDE]</a:t>
                    </a:fld>
                    <a:r>
                      <a:rPr lang="en-US"/>
                      <a:t> TWh/yr</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2F-45E7-AEC7-473D3B431F07}"/>
                </c:ext>
              </c:extLst>
            </c:dLbl>
            <c:dLbl>
              <c:idx val="2"/>
              <c:layout>
                <c:manualLayout>
                  <c:x val="-7.4238683127572119E-2"/>
                  <c:y val="-5.3206109652960049E-2"/>
                </c:manualLayout>
              </c:layout>
              <c:tx>
                <c:rich>
                  <a:bodyPr/>
                  <a:lstStyle/>
                  <a:p>
                    <a:fld id="{97BE72A8-A644-4901-A6AE-1212DFCE0CD3}" type="VALUE">
                      <a:rPr lang="en-US"/>
                      <a:pPr/>
                      <a:t>[WAARDE]</a:t>
                    </a:fld>
                    <a:r>
                      <a:rPr lang="en-US"/>
                      <a:t> TWh/yr</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42F-45E7-AEC7-473D3B431F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'Appendix 3'!$G$16:$I$16</c:f>
              <c:numCache>
                <c:formatCode>General</c:formatCode>
                <c:ptCount val="3"/>
                <c:pt idx="0">
                  <c:v>2030</c:v>
                </c:pt>
                <c:pt idx="1">
                  <c:v>2040</c:v>
                </c:pt>
                <c:pt idx="2">
                  <c:v>2050</c:v>
                </c:pt>
              </c:numCache>
            </c:numRef>
          </c:cat>
          <c:val>
            <c:numRef>
              <c:f>'Appendix 3'!$G$17:$I$17</c:f>
              <c:numCache>
                <c:formatCode>General</c:formatCode>
                <c:ptCount val="3"/>
                <c:pt idx="0">
                  <c:v>11.3</c:v>
                </c:pt>
                <c:pt idx="1">
                  <c:v>13</c:v>
                </c:pt>
                <c:pt idx="2">
                  <c:v>16</c:v>
                </c:pt>
              </c:numCache>
            </c:numRef>
          </c:val>
          <c:smooth val="0"/>
          <c:extLst>
            <c:ext xmlns:c16="http://schemas.microsoft.com/office/drawing/2014/chart" uri="{C3380CC4-5D6E-409C-BE32-E72D297353CC}">
              <c16:uniqueId val="{00000003-642F-45E7-AEC7-473D3B431F07}"/>
            </c:ext>
          </c:extLst>
        </c:ser>
        <c:ser>
          <c:idx val="1"/>
          <c:order val="1"/>
          <c:tx>
            <c:strRef>
              <c:f>'Appendix 3'!$F$18</c:f>
              <c:strCache>
                <c:ptCount val="1"/>
                <c:pt idx="0">
                  <c:v>Hydrogen production potential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4485241180705573E-2"/>
                  <c:y val="8.0262685006697809E-2"/>
                </c:manualLayout>
              </c:layout>
              <c:tx>
                <c:rich>
                  <a:bodyPr/>
                  <a:lstStyle/>
                  <a:p>
                    <a:fld id="{9E95FE00-EB58-482B-BE46-12FF84092164}" type="VALUE">
                      <a:rPr lang="en-US"/>
                      <a:pPr/>
                      <a:t>[WAARDE]</a:t>
                    </a:fld>
                    <a:r>
                      <a:rPr lang="en-US"/>
                      <a:t> TWh</a:t>
                    </a:r>
                    <a:r>
                      <a:rPr lang="en-US" b="1" baseline="-25000"/>
                      <a:t>H2</a:t>
                    </a:r>
                    <a:r>
                      <a:rPr lang="en-US"/>
                      <a:t>/yr</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42F-45E7-AEC7-473D3B431F07}"/>
                </c:ext>
              </c:extLst>
            </c:dLbl>
            <c:dLbl>
              <c:idx val="1"/>
              <c:layout>
                <c:manualLayout>
                  <c:x val="-0.1002447804175666"/>
                  <c:y val="6.9197678091068499E-2"/>
                </c:manualLayout>
              </c:layout>
              <c:tx>
                <c:rich>
                  <a:bodyPr/>
                  <a:lstStyle/>
                  <a:p>
                    <a:fld id="{937AEBF0-21C0-4A54-A541-5DD27947EFEA}" type="VALUE">
                      <a:rPr lang="en-US"/>
                      <a:pPr/>
                      <a:t>[WAARDE]</a:t>
                    </a:fld>
                    <a:r>
                      <a:rPr lang="en-US"/>
                      <a:t> TWh</a:t>
                    </a:r>
                    <a:r>
                      <a:rPr lang="en-US" b="1" baseline="-25000"/>
                      <a:t>H2</a:t>
                    </a:r>
                    <a:r>
                      <a:rPr lang="en-US"/>
                      <a:t>/yr</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2F-45E7-AEC7-473D3B431F07}"/>
                </c:ext>
              </c:extLst>
            </c:dLbl>
            <c:dLbl>
              <c:idx val="2"/>
              <c:layout>
                <c:manualLayout>
                  <c:x val="-7.5377337092122743E-2"/>
                  <c:y val="4.8645742198891805E-2"/>
                </c:manualLayout>
              </c:layout>
              <c:tx>
                <c:rich>
                  <a:bodyPr/>
                  <a:lstStyle/>
                  <a:p>
                    <a:fld id="{986F303B-DBAC-4F6F-932B-5B1D4B8411F0}" type="VALUE">
                      <a:rPr lang="en-US"/>
                      <a:pPr/>
                      <a:t>[WAARDE]</a:t>
                    </a:fld>
                    <a:r>
                      <a:rPr lang="en-US"/>
                      <a:t> </a:t>
                    </a:r>
                    <a:r>
                      <a:rPr lang="en-US" sz="800" b="0" i="0" u="none" strike="noStrike" kern="1200" baseline="0">
                        <a:solidFill>
                          <a:sysClr val="windowText" lastClr="000000"/>
                        </a:solidFill>
                      </a:rPr>
                      <a:t>TWh</a:t>
                    </a:r>
                    <a:r>
                      <a:rPr lang="en-US" sz="800" b="1" i="0" u="none" strike="noStrike" kern="1200" baseline="-25000">
                        <a:solidFill>
                          <a:sysClr val="windowText" lastClr="000000"/>
                        </a:solidFill>
                      </a:rPr>
                      <a:t>H2</a:t>
                    </a:r>
                    <a:r>
                      <a:rPr lang="en-US"/>
                      <a:t>/yr</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42F-45E7-AEC7-473D3B431F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'Appendix 3'!$G$16:$I$16</c:f>
              <c:numCache>
                <c:formatCode>General</c:formatCode>
                <c:ptCount val="3"/>
                <c:pt idx="0">
                  <c:v>2030</c:v>
                </c:pt>
                <c:pt idx="1">
                  <c:v>2040</c:v>
                </c:pt>
                <c:pt idx="2">
                  <c:v>2050</c:v>
                </c:pt>
              </c:numCache>
            </c:numRef>
          </c:cat>
          <c:val>
            <c:numRef>
              <c:f>'Appendix 3'!$G$18:$I$18</c:f>
              <c:numCache>
                <c:formatCode>General</c:formatCode>
                <c:ptCount val="3"/>
                <c:pt idx="0">
                  <c:v>9.0599999999999987</c:v>
                </c:pt>
                <c:pt idx="1">
                  <c:v>8.0399999999999991</c:v>
                </c:pt>
                <c:pt idx="2">
                  <c:v>6.2399999999999993</c:v>
                </c:pt>
              </c:numCache>
            </c:numRef>
          </c:val>
          <c:smooth val="0"/>
          <c:extLst>
            <c:ext xmlns:c16="http://schemas.microsoft.com/office/drawing/2014/chart" uri="{C3380CC4-5D6E-409C-BE32-E72D297353CC}">
              <c16:uniqueId val="{00000007-642F-45E7-AEC7-473D3B431F07}"/>
            </c:ext>
          </c:extLst>
        </c:ser>
        <c:dLbls>
          <c:dLblPos val="t"/>
          <c:showLegendKey val="0"/>
          <c:showVal val="1"/>
          <c:showCatName val="0"/>
          <c:showSerName val="0"/>
          <c:showPercent val="0"/>
          <c:showBubbleSize val="0"/>
        </c:dLbls>
        <c:marker val="1"/>
        <c:smooth val="0"/>
        <c:axId val="311118000"/>
        <c:axId val="311118560"/>
      </c:lineChart>
      <c:catAx>
        <c:axId val="311118000"/>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311118560"/>
        <c:crosses val="autoZero"/>
        <c:auto val="1"/>
        <c:lblAlgn val="ctr"/>
        <c:lblOffset val="100"/>
        <c:noMultiLvlLbl val="0"/>
      </c:catAx>
      <c:valAx>
        <c:axId val="311118560"/>
        <c:scaling>
          <c:orientation val="minMax"/>
          <c:max val="28"/>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Energy (TWh/yr)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BE"/>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311118000"/>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solidFill>
            <a:sysClr val="windowText" lastClr="000000"/>
          </a:solidFill>
        </a:defRPr>
      </a:pPr>
      <a:endParaRPr lang="nl-BE"/>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'Appendix 3'!$F$38</c:f>
              <c:strCache>
                <c:ptCount val="1"/>
                <c:pt idx="0">
                  <c:v>Final Electricity Demand - Latvia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fld id="{861FB278-6625-4534-871D-EB77F019DA0A}"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D7F-415A-BFCF-91B22E958B44}"/>
                </c:ext>
              </c:extLst>
            </c:dLbl>
            <c:dLbl>
              <c:idx val="1"/>
              <c:tx>
                <c:rich>
                  <a:bodyPr/>
                  <a:lstStyle/>
                  <a:p>
                    <a:fld id="{68AAA896-68C1-4FD2-808D-0576C0EA54C6}"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7F-415A-BFCF-91B22E958B44}"/>
                </c:ext>
              </c:extLst>
            </c:dLbl>
            <c:dLbl>
              <c:idx val="2"/>
              <c:tx>
                <c:rich>
                  <a:bodyPr/>
                  <a:lstStyle/>
                  <a:p>
                    <a:fld id="{AE110FEA-0501-47E5-A4DD-AF28A1EEE34D}"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D7F-415A-BFCF-91B22E958B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'Appendix 3'!$G$37:$I$37</c:f>
              <c:numCache>
                <c:formatCode>General</c:formatCode>
                <c:ptCount val="3"/>
                <c:pt idx="0">
                  <c:v>2030</c:v>
                </c:pt>
                <c:pt idx="1">
                  <c:v>2040</c:v>
                </c:pt>
                <c:pt idx="2">
                  <c:v>2050</c:v>
                </c:pt>
              </c:numCache>
            </c:numRef>
          </c:cat>
          <c:val>
            <c:numRef>
              <c:f>'Appendix 3'!$G$38:$I$38</c:f>
              <c:numCache>
                <c:formatCode>General</c:formatCode>
                <c:ptCount val="3"/>
                <c:pt idx="0">
                  <c:v>11</c:v>
                </c:pt>
                <c:pt idx="1">
                  <c:v>15</c:v>
                </c:pt>
                <c:pt idx="2">
                  <c:v>20</c:v>
                </c:pt>
              </c:numCache>
            </c:numRef>
          </c:val>
          <c:smooth val="0"/>
          <c:extLst>
            <c:ext xmlns:c16="http://schemas.microsoft.com/office/drawing/2014/chart" uri="{C3380CC4-5D6E-409C-BE32-E72D297353CC}">
              <c16:uniqueId val="{00000003-5D7F-415A-BFCF-91B22E958B44}"/>
            </c:ext>
          </c:extLst>
        </c:ser>
        <c:ser>
          <c:idx val="1"/>
          <c:order val="1"/>
          <c:tx>
            <c:strRef>
              <c:f>'Appendix 3'!$F$39</c:f>
              <c:strCache>
                <c:ptCount val="1"/>
                <c:pt idx="0">
                  <c:v>Hydrogen production potential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tx>
                <c:rich>
                  <a:bodyPr/>
                  <a:lstStyle/>
                  <a:p>
                    <a:fld id="{9E3BECEC-E19B-49D7-9CF9-31F8D24B094A}"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D7F-415A-BFCF-91B22E958B44}"/>
                </c:ext>
              </c:extLst>
            </c:dLbl>
            <c:dLbl>
              <c:idx val="1"/>
              <c:tx>
                <c:rich>
                  <a:bodyPr/>
                  <a:lstStyle/>
                  <a:p>
                    <a:fld id="{713D07BE-0B71-4F23-A879-007C07DA8171}"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7F-415A-BFCF-91B22E958B44}"/>
                </c:ext>
              </c:extLst>
            </c:dLbl>
            <c:dLbl>
              <c:idx val="2"/>
              <c:tx>
                <c:rich>
                  <a:bodyPr/>
                  <a:lstStyle/>
                  <a:p>
                    <a:fld id="{EA7E553B-A34C-430A-BDDE-D296E9B534F1}"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D7F-415A-BFCF-91B22E958B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'Appendix 3'!$G$37:$I$37</c:f>
              <c:numCache>
                <c:formatCode>General</c:formatCode>
                <c:ptCount val="3"/>
                <c:pt idx="0">
                  <c:v>2030</c:v>
                </c:pt>
                <c:pt idx="1">
                  <c:v>2040</c:v>
                </c:pt>
                <c:pt idx="2">
                  <c:v>2050</c:v>
                </c:pt>
              </c:numCache>
            </c:numRef>
          </c:cat>
          <c:val>
            <c:numRef>
              <c:f>'Appendix 3'!$G$39:$I$39</c:f>
              <c:numCache>
                <c:formatCode>General</c:formatCode>
                <c:ptCount val="3"/>
                <c:pt idx="0">
                  <c:v>46.949999999999996</c:v>
                </c:pt>
                <c:pt idx="1">
                  <c:v>44.55</c:v>
                </c:pt>
                <c:pt idx="2">
                  <c:v>41.55</c:v>
                </c:pt>
              </c:numCache>
            </c:numRef>
          </c:val>
          <c:smooth val="0"/>
          <c:extLst>
            <c:ext xmlns:c16="http://schemas.microsoft.com/office/drawing/2014/chart" uri="{C3380CC4-5D6E-409C-BE32-E72D297353CC}">
              <c16:uniqueId val="{00000007-5D7F-415A-BFCF-91B22E958B44}"/>
            </c:ext>
          </c:extLst>
        </c:ser>
        <c:dLbls>
          <c:dLblPos val="t"/>
          <c:showLegendKey val="0"/>
          <c:showVal val="1"/>
          <c:showCatName val="0"/>
          <c:showSerName val="0"/>
          <c:showPercent val="0"/>
          <c:showBubbleSize val="0"/>
        </c:dLbls>
        <c:marker val="1"/>
        <c:smooth val="0"/>
        <c:axId val="311755120"/>
        <c:axId val="311755680"/>
      </c:lineChart>
      <c:catAx>
        <c:axId val="311755120"/>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311755680"/>
        <c:crosses val="autoZero"/>
        <c:auto val="1"/>
        <c:lblAlgn val="ctr"/>
        <c:lblOffset val="100"/>
        <c:noMultiLvlLbl val="0"/>
      </c:catAx>
      <c:valAx>
        <c:axId val="311755680"/>
        <c:scaling>
          <c:orientation val="minMax"/>
          <c:max val="10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Energy (TWh/yr)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BE"/>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31175512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solidFill>
            <a:sysClr val="windowText" lastClr="000000"/>
          </a:solidFill>
        </a:defRPr>
      </a:pPr>
      <a:endParaRPr lang="nl-BE"/>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'Appendix 3'!$F$58</c:f>
              <c:strCache>
                <c:ptCount val="1"/>
                <c:pt idx="0">
                  <c:v>Final Electricity Demand - Lithuania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fld id="{1B7FE4D7-3970-4142-A4C0-B3E80297CEAC}"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392-4CFA-A28E-7858AAF7C44B}"/>
                </c:ext>
              </c:extLst>
            </c:dLbl>
            <c:dLbl>
              <c:idx val="1"/>
              <c:tx>
                <c:rich>
                  <a:bodyPr/>
                  <a:lstStyle/>
                  <a:p>
                    <a:fld id="{7605ABA5-6F82-4BCE-AB31-A7DDEC3DC89D}"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92-4CFA-A28E-7858AAF7C44B}"/>
                </c:ext>
              </c:extLst>
            </c:dLbl>
            <c:dLbl>
              <c:idx val="2"/>
              <c:tx>
                <c:rich>
                  <a:bodyPr/>
                  <a:lstStyle/>
                  <a:p>
                    <a:fld id="{F4260A5A-E133-4D7C-8715-573E63B4E665}"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392-4CFA-A28E-7858AAF7C4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'Appendix 3'!$G$57:$I$57</c:f>
              <c:numCache>
                <c:formatCode>General</c:formatCode>
                <c:ptCount val="3"/>
                <c:pt idx="0">
                  <c:v>2030</c:v>
                </c:pt>
                <c:pt idx="1">
                  <c:v>2040</c:v>
                </c:pt>
                <c:pt idx="2">
                  <c:v>2050</c:v>
                </c:pt>
              </c:numCache>
            </c:numRef>
          </c:cat>
          <c:val>
            <c:numRef>
              <c:f>'Appendix 3'!$G$58:$I$58</c:f>
              <c:numCache>
                <c:formatCode>General</c:formatCode>
                <c:ptCount val="3"/>
                <c:pt idx="0">
                  <c:v>14</c:v>
                </c:pt>
                <c:pt idx="1">
                  <c:v>18</c:v>
                </c:pt>
                <c:pt idx="2">
                  <c:v>23</c:v>
                </c:pt>
              </c:numCache>
            </c:numRef>
          </c:val>
          <c:smooth val="0"/>
          <c:extLst>
            <c:ext xmlns:c16="http://schemas.microsoft.com/office/drawing/2014/chart" uri="{C3380CC4-5D6E-409C-BE32-E72D297353CC}">
              <c16:uniqueId val="{00000003-8392-4CFA-A28E-7858AAF7C44B}"/>
            </c:ext>
          </c:extLst>
        </c:ser>
        <c:ser>
          <c:idx val="1"/>
          <c:order val="1"/>
          <c:tx>
            <c:strRef>
              <c:f>'Appendix 3'!$F$59</c:f>
              <c:strCache>
                <c:ptCount val="1"/>
                <c:pt idx="0">
                  <c:v>Hydrogen production potential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tx>
                <c:rich>
                  <a:bodyPr/>
                  <a:lstStyle/>
                  <a:p>
                    <a:fld id="{D7F89116-C36C-492F-B2FB-3BA15947737E}"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392-4CFA-A28E-7858AAF7C44B}"/>
                </c:ext>
              </c:extLst>
            </c:dLbl>
            <c:dLbl>
              <c:idx val="1"/>
              <c:tx>
                <c:rich>
                  <a:bodyPr/>
                  <a:lstStyle/>
                  <a:p>
                    <a:fld id="{810F8009-EFD5-41D9-B49E-1174C76C3DE0}"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392-4CFA-A28E-7858AAF7C44B}"/>
                </c:ext>
              </c:extLst>
            </c:dLbl>
            <c:dLbl>
              <c:idx val="2"/>
              <c:tx>
                <c:rich>
                  <a:bodyPr/>
                  <a:lstStyle/>
                  <a:p>
                    <a:fld id="{ECA8281F-911C-4AC2-85D7-3AD58079FB09}"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392-4CFA-A28E-7858AAF7C4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'Appendix 3'!$G$57:$I$57</c:f>
              <c:numCache>
                <c:formatCode>General</c:formatCode>
                <c:ptCount val="3"/>
                <c:pt idx="0">
                  <c:v>2030</c:v>
                </c:pt>
                <c:pt idx="1">
                  <c:v>2040</c:v>
                </c:pt>
                <c:pt idx="2">
                  <c:v>2050</c:v>
                </c:pt>
              </c:numCache>
            </c:numRef>
          </c:cat>
          <c:val>
            <c:numRef>
              <c:f>'Appendix 3'!$G$59:$I$59</c:f>
              <c:numCache>
                <c:formatCode>General</c:formatCode>
                <c:ptCount val="3"/>
                <c:pt idx="0">
                  <c:v>64.649999999999991</c:v>
                </c:pt>
                <c:pt idx="1">
                  <c:v>62.25</c:v>
                </c:pt>
                <c:pt idx="2">
                  <c:v>59.25</c:v>
                </c:pt>
              </c:numCache>
            </c:numRef>
          </c:val>
          <c:smooth val="0"/>
          <c:extLst>
            <c:ext xmlns:c16="http://schemas.microsoft.com/office/drawing/2014/chart" uri="{C3380CC4-5D6E-409C-BE32-E72D297353CC}">
              <c16:uniqueId val="{00000007-8392-4CFA-A28E-7858AAF7C44B}"/>
            </c:ext>
          </c:extLst>
        </c:ser>
        <c:dLbls>
          <c:dLblPos val="t"/>
          <c:showLegendKey val="0"/>
          <c:showVal val="1"/>
          <c:showCatName val="0"/>
          <c:showSerName val="0"/>
          <c:showPercent val="0"/>
          <c:showBubbleSize val="0"/>
        </c:dLbls>
        <c:marker val="1"/>
        <c:smooth val="0"/>
        <c:axId val="763335168"/>
        <c:axId val="763335728"/>
      </c:lineChart>
      <c:catAx>
        <c:axId val="763335168"/>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763335728"/>
        <c:crosses val="autoZero"/>
        <c:auto val="1"/>
        <c:lblAlgn val="ctr"/>
        <c:lblOffset val="100"/>
        <c:noMultiLvlLbl val="0"/>
      </c:catAx>
      <c:valAx>
        <c:axId val="763335728"/>
        <c:scaling>
          <c:orientation val="minMax"/>
          <c:max val="125"/>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Energy (TWh/yr)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BE"/>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763335168"/>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solidFill>
            <a:sysClr val="windowText" lastClr="000000"/>
          </a:solidFill>
        </a:defRPr>
      </a:pPr>
      <a:endParaRPr lang="nl-B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Sheet2!$B$15</c:f>
              <c:strCache>
                <c:ptCount val="1"/>
                <c:pt idx="0">
                  <c:v>Agriculture</c:v>
                </c:pt>
              </c:strCache>
            </c:strRef>
          </c:tx>
          <c:spPr>
            <a:solidFill>
              <a:schemeClr val="accent1"/>
            </a:solidFill>
            <a:ln>
              <a:noFill/>
            </a:ln>
            <a:effectLst/>
          </c:spPr>
          <c:cat>
            <c:numRef>
              <c:f>Sheet2!$C$14:$G$14</c:f>
              <c:numCache>
                <c:formatCode>General</c:formatCode>
                <c:ptCount val="5"/>
                <c:pt idx="0">
                  <c:v>2015</c:v>
                </c:pt>
                <c:pt idx="1">
                  <c:v>2016</c:v>
                </c:pt>
                <c:pt idx="2">
                  <c:v>2017</c:v>
                </c:pt>
                <c:pt idx="3">
                  <c:v>2018</c:v>
                </c:pt>
                <c:pt idx="4">
                  <c:v>2019</c:v>
                </c:pt>
              </c:numCache>
            </c:numRef>
          </c:cat>
          <c:val>
            <c:numRef>
              <c:f>Sheet2!$C$15:$G$15</c:f>
              <c:numCache>
                <c:formatCode>General</c:formatCode>
                <c:ptCount val="5"/>
                <c:pt idx="0">
                  <c:v>78</c:v>
                </c:pt>
                <c:pt idx="1">
                  <c:v>78</c:v>
                </c:pt>
                <c:pt idx="2">
                  <c:v>88</c:v>
                </c:pt>
                <c:pt idx="3">
                  <c:v>86</c:v>
                </c:pt>
                <c:pt idx="4">
                  <c:v>86</c:v>
                </c:pt>
              </c:numCache>
            </c:numRef>
          </c:val>
          <c:extLst>
            <c:ext xmlns:c16="http://schemas.microsoft.com/office/drawing/2014/chart" uri="{C3380CC4-5D6E-409C-BE32-E72D297353CC}">
              <c16:uniqueId val="{00000000-43B1-4CF4-AA9C-DE42D1D0C807}"/>
            </c:ext>
          </c:extLst>
        </c:ser>
        <c:ser>
          <c:idx val="1"/>
          <c:order val="1"/>
          <c:tx>
            <c:strRef>
              <c:f>Sheet2!$B$16</c:f>
              <c:strCache>
                <c:ptCount val="1"/>
                <c:pt idx="0">
                  <c:v>Sewage</c:v>
                </c:pt>
              </c:strCache>
            </c:strRef>
          </c:tx>
          <c:spPr>
            <a:solidFill>
              <a:schemeClr val="accent2"/>
            </a:solidFill>
            <a:ln>
              <a:noFill/>
            </a:ln>
            <a:effectLst/>
          </c:spPr>
          <c:cat>
            <c:numRef>
              <c:f>Sheet2!$C$14:$G$14</c:f>
              <c:numCache>
                <c:formatCode>General</c:formatCode>
                <c:ptCount val="5"/>
                <c:pt idx="0">
                  <c:v>2015</c:v>
                </c:pt>
                <c:pt idx="1">
                  <c:v>2016</c:v>
                </c:pt>
                <c:pt idx="2">
                  <c:v>2017</c:v>
                </c:pt>
                <c:pt idx="3">
                  <c:v>2018</c:v>
                </c:pt>
                <c:pt idx="4">
                  <c:v>2019</c:v>
                </c:pt>
              </c:numCache>
            </c:numRef>
          </c:cat>
          <c:val>
            <c:numRef>
              <c:f>Sheet2!$C$16:$G$16</c:f>
              <c:numCache>
                <c:formatCode>General</c:formatCode>
                <c:ptCount val="5"/>
                <c:pt idx="0">
                  <c:v>2</c:v>
                </c:pt>
                <c:pt idx="1">
                  <c:v>2</c:v>
                </c:pt>
              </c:numCache>
            </c:numRef>
          </c:val>
          <c:extLst>
            <c:ext xmlns:c16="http://schemas.microsoft.com/office/drawing/2014/chart" uri="{C3380CC4-5D6E-409C-BE32-E72D297353CC}">
              <c16:uniqueId val="{00000001-43B1-4CF4-AA9C-DE42D1D0C807}"/>
            </c:ext>
          </c:extLst>
        </c:ser>
        <c:ser>
          <c:idx val="2"/>
          <c:order val="2"/>
          <c:tx>
            <c:strRef>
              <c:f>Sheet2!$B$17</c:f>
              <c:strCache>
                <c:ptCount val="1"/>
                <c:pt idx="0">
                  <c:v>Landfill</c:v>
                </c:pt>
              </c:strCache>
            </c:strRef>
          </c:tx>
          <c:spPr>
            <a:solidFill>
              <a:schemeClr val="accent3"/>
            </a:solidFill>
            <a:ln>
              <a:noFill/>
            </a:ln>
            <a:effectLst/>
          </c:spPr>
          <c:cat>
            <c:numRef>
              <c:f>Sheet2!$C$14:$G$14</c:f>
              <c:numCache>
                <c:formatCode>General</c:formatCode>
                <c:ptCount val="5"/>
                <c:pt idx="0">
                  <c:v>2015</c:v>
                </c:pt>
                <c:pt idx="1">
                  <c:v>2016</c:v>
                </c:pt>
                <c:pt idx="2">
                  <c:v>2017</c:v>
                </c:pt>
                <c:pt idx="3">
                  <c:v>2018</c:v>
                </c:pt>
                <c:pt idx="4">
                  <c:v>2019</c:v>
                </c:pt>
              </c:numCache>
            </c:numRef>
          </c:cat>
          <c:val>
            <c:numRef>
              <c:f>Sheet2!$C$17:$G$17</c:f>
              <c:numCache>
                <c:formatCode>General</c:formatCode>
                <c:ptCount val="5"/>
                <c:pt idx="0">
                  <c:v>33</c:v>
                </c:pt>
                <c:pt idx="1">
                  <c:v>33</c:v>
                </c:pt>
                <c:pt idx="2">
                  <c:v>22</c:v>
                </c:pt>
                <c:pt idx="3">
                  <c:v>12</c:v>
                </c:pt>
                <c:pt idx="4">
                  <c:v>14</c:v>
                </c:pt>
              </c:numCache>
            </c:numRef>
          </c:val>
          <c:extLst>
            <c:ext xmlns:c16="http://schemas.microsoft.com/office/drawing/2014/chart" uri="{C3380CC4-5D6E-409C-BE32-E72D297353CC}">
              <c16:uniqueId val="{00000002-43B1-4CF4-AA9C-DE42D1D0C807}"/>
            </c:ext>
          </c:extLst>
        </c:ser>
        <c:ser>
          <c:idx val="3"/>
          <c:order val="3"/>
          <c:tx>
            <c:strRef>
              <c:f>Sheet2!$B$18</c:f>
              <c:strCache>
                <c:ptCount val="1"/>
                <c:pt idx="0">
                  <c:v>Others</c:v>
                </c:pt>
              </c:strCache>
            </c:strRef>
          </c:tx>
          <c:spPr>
            <a:solidFill>
              <a:schemeClr val="accent4"/>
            </a:solidFill>
            <a:ln>
              <a:noFill/>
            </a:ln>
            <a:effectLst/>
          </c:spPr>
          <c:cat>
            <c:numRef>
              <c:f>Sheet2!$C$14:$G$14</c:f>
              <c:numCache>
                <c:formatCode>General</c:formatCode>
                <c:ptCount val="5"/>
                <c:pt idx="0">
                  <c:v>2015</c:v>
                </c:pt>
                <c:pt idx="1">
                  <c:v>2016</c:v>
                </c:pt>
                <c:pt idx="2">
                  <c:v>2017</c:v>
                </c:pt>
                <c:pt idx="3">
                  <c:v>2018</c:v>
                </c:pt>
                <c:pt idx="4">
                  <c:v>2019</c:v>
                </c:pt>
              </c:numCache>
            </c:numRef>
          </c:cat>
          <c:val>
            <c:numRef>
              <c:f>Sheet2!$C$18:$G$18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43B1-4CF4-AA9C-DE42D1D0C807}"/>
            </c:ext>
          </c:extLst>
        </c:ser>
        <c:dLbls>
          <c:showLegendKey val="0"/>
          <c:showVal val="0"/>
          <c:showCatName val="0"/>
          <c:showSerName val="0"/>
          <c:showPercent val="0"/>
          <c:showBubbleSize val="0"/>
        </c:dLbls>
        <c:axId val="1201291695"/>
        <c:axId val="1201296687"/>
      </c:areaChart>
      <c:catAx>
        <c:axId val="120129169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01296687"/>
        <c:crosses val="autoZero"/>
        <c:auto val="1"/>
        <c:lblAlgn val="ctr"/>
        <c:lblOffset val="100"/>
        <c:noMultiLvlLbl val="0"/>
      </c:catAx>
      <c:valAx>
        <c:axId val="1201296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012916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'Appendix 3'!$F$78</c:f>
              <c:strCache>
                <c:ptCount val="1"/>
                <c:pt idx="0">
                  <c:v>Final Electricity Demand - Finland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fld id="{CDE36886-0257-4AC3-ACCE-F24C6FDD15EE}"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74C-43EF-B088-F570AFA2D5D6}"/>
                </c:ext>
              </c:extLst>
            </c:dLbl>
            <c:dLbl>
              <c:idx val="1"/>
              <c:tx>
                <c:rich>
                  <a:bodyPr/>
                  <a:lstStyle/>
                  <a:p>
                    <a:fld id="{3CA81790-4CFA-414A-9F3F-88CDCB5173BC}"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4C-43EF-B088-F570AFA2D5D6}"/>
                </c:ext>
              </c:extLst>
            </c:dLbl>
            <c:dLbl>
              <c:idx val="2"/>
              <c:tx>
                <c:rich>
                  <a:bodyPr/>
                  <a:lstStyle/>
                  <a:p>
                    <a:fld id="{5BF82C42-3F28-46C9-823F-C65A9DC900D6}" type="VALUE">
                      <a:rPr lang="en-US"/>
                      <a:pPr/>
                      <a:t>[WAARDE]</a:t>
                    </a:fld>
                    <a:r>
                      <a:rPr lang="en-US"/>
                      <a:t> TWh</a:t>
                    </a:r>
                    <a:r>
                      <a:rPr lang="en-US" b="1" baseline="-25000"/>
                      <a:t>H2</a:t>
                    </a:r>
                    <a:r>
                      <a:rPr lang="en-US"/>
                      <a:t>/yr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74C-43EF-B088-F570AFA2D5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'Appendix 3'!$G$77:$I$77</c:f>
              <c:numCache>
                <c:formatCode>General</c:formatCode>
                <c:ptCount val="3"/>
                <c:pt idx="0">
                  <c:v>2030</c:v>
                </c:pt>
                <c:pt idx="1">
                  <c:v>2040</c:v>
                </c:pt>
                <c:pt idx="2">
                  <c:v>2050</c:v>
                </c:pt>
              </c:numCache>
            </c:numRef>
          </c:cat>
          <c:val>
            <c:numRef>
              <c:f>'Appendix 3'!$G$78:$I$78</c:f>
              <c:numCache>
                <c:formatCode>General</c:formatCode>
                <c:ptCount val="3"/>
                <c:pt idx="0">
                  <c:v>111</c:v>
                </c:pt>
                <c:pt idx="1">
                  <c:v>123</c:v>
                </c:pt>
                <c:pt idx="2">
                  <c:v>135</c:v>
                </c:pt>
              </c:numCache>
            </c:numRef>
          </c:val>
          <c:smooth val="0"/>
          <c:extLst>
            <c:ext xmlns:c16="http://schemas.microsoft.com/office/drawing/2014/chart" uri="{C3380CC4-5D6E-409C-BE32-E72D297353CC}">
              <c16:uniqueId val="{00000003-874C-43EF-B088-F570AFA2D5D6}"/>
            </c:ext>
          </c:extLst>
        </c:ser>
        <c:ser>
          <c:idx val="1"/>
          <c:order val="1"/>
          <c:tx>
            <c:strRef>
              <c:f>'Appendix 3'!$F$79</c:f>
              <c:strCache>
                <c:ptCount val="1"/>
                <c:pt idx="0">
                  <c:v>Hydrogen production potential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tx>
                <c:rich>
                  <a:bodyPr/>
                  <a:lstStyle/>
                  <a:p>
                    <a:fld id="{95CF71D4-8F87-44E5-91EA-C3C104AFB7FA}"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74C-43EF-B088-F570AFA2D5D6}"/>
                </c:ext>
              </c:extLst>
            </c:dLbl>
            <c:dLbl>
              <c:idx val="1"/>
              <c:tx>
                <c:rich>
                  <a:bodyPr/>
                  <a:lstStyle/>
                  <a:p>
                    <a:fld id="{AD6140C0-27C0-461B-8CC4-7716669AF08D}"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74C-43EF-B088-F570AFA2D5D6}"/>
                </c:ext>
              </c:extLst>
            </c:dLbl>
            <c:dLbl>
              <c:idx val="2"/>
              <c:tx>
                <c:rich>
                  <a:bodyPr/>
                  <a:lstStyle/>
                  <a:p>
                    <a:fld id="{142AF2F8-38D5-4816-92EF-C056735DBC8B}" type="VALUE">
                      <a:rPr lang="en-US"/>
                      <a:pPr/>
                      <a:t>[WAARDE]</a:t>
                    </a:fld>
                    <a:r>
                      <a:rPr lang="en-US"/>
                      <a:t> TWh/yr</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74C-43EF-B088-F570AFA2D5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'Appendix 3'!$G$77:$I$77</c:f>
              <c:numCache>
                <c:formatCode>General</c:formatCode>
                <c:ptCount val="3"/>
                <c:pt idx="0">
                  <c:v>2030</c:v>
                </c:pt>
                <c:pt idx="1">
                  <c:v>2040</c:v>
                </c:pt>
                <c:pt idx="2">
                  <c:v>2050</c:v>
                </c:pt>
              </c:numCache>
            </c:numRef>
          </c:cat>
          <c:val>
            <c:numRef>
              <c:f>'Appendix 3'!$G$79:$I$79</c:f>
              <c:numCache>
                <c:formatCode>General</c:formatCode>
                <c:ptCount val="3"/>
                <c:pt idx="0">
                  <c:v>43.440000000000005</c:v>
                </c:pt>
                <c:pt idx="1">
                  <c:v>36.24</c:v>
                </c:pt>
                <c:pt idx="2">
                  <c:v>29.040000000000003</c:v>
                </c:pt>
              </c:numCache>
            </c:numRef>
          </c:val>
          <c:smooth val="0"/>
          <c:extLst>
            <c:ext xmlns:c16="http://schemas.microsoft.com/office/drawing/2014/chart" uri="{C3380CC4-5D6E-409C-BE32-E72D297353CC}">
              <c16:uniqueId val="{00000007-874C-43EF-B088-F570AFA2D5D6}"/>
            </c:ext>
          </c:extLst>
        </c:ser>
        <c:dLbls>
          <c:dLblPos val="t"/>
          <c:showLegendKey val="0"/>
          <c:showVal val="1"/>
          <c:showCatName val="0"/>
          <c:showSerName val="0"/>
          <c:showPercent val="0"/>
          <c:showBubbleSize val="0"/>
        </c:dLbls>
        <c:marker val="1"/>
        <c:smooth val="0"/>
        <c:axId val="755831712"/>
        <c:axId val="755832272"/>
      </c:lineChart>
      <c:catAx>
        <c:axId val="755831712"/>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755832272"/>
        <c:crosses val="autoZero"/>
        <c:auto val="1"/>
        <c:lblAlgn val="ctr"/>
        <c:lblOffset val="100"/>
        <c:noMultiLvlLbl val="0"/>
      </c:catAx>
      <c:valAx>
        <c:axId val="755832272"/>
        <c:scaling>
          <c:orientation val="minMax"/>
          <c:max val="200"/>
          <c:min val="0"/>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Energy (TWh/yr)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BE"/>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75583171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solidFill>
            <a:sysClr val="windowText" lastClr="000000"/>
          </a:solidFill>
        </a:defRPr>
      </a:pPr>
      <a:endParaRPr lang="nl-BE"/>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18032309807832"/>
          <c:y val="5.7128018696442483E-2"/>
          <c:w val="0.72333447809302343"/>
          <c:h val="0.61075577056373531"/>
        </c:manualLayout>
      </c:layout>
      <c:areaChart>
        <c:grouping val="stacked"/>
        <c:varyColors val="0"/>
        <c:ser>
          <c:idx val="0"/>
          <c:order val="0"/>
          <c:tx>
            <c:strRef>
              <c:f>NG_DATA!$K$19</c:f>
              <c:strCache>
                <c:ptCount val="1"/>
                <c:pt idx="0">
                  <c:v>Industry</c:v>
                </c:pt>
              </c:strCache>
            </c:strRef>
          </c:tx>
          <c:spPr>
            <a:solidFill>
              <a:schemeClr val="accent1"/>
            </a:solidFill>
            <a:ln>
              <a:noFill/>
            </a:ln>
            <a:effectLst/>
          </c:spPr>
          <c:cat>
            <c:numRef>
              <c:f>NG_DATA!$L$18:$P$18</c:f>
              <c:numCache>
                <c:formatCode>General</c:formatCode>
                <c:ptCount val="5"/>
                <c:pt idx="0">
                  <c:v>2015</c:v>
                </c:pt>
                <c:pt idx="1">
                  <c:v>2016</c:v>
                </c:pt>
                <c:pt idx="2">
                  <c:v>2017</c:v>
                </c:pt>
                <c:pt idx="3">
                  <c:v>2018</c:v>
                </c:pt>
                <c:pt idx="4">
                  <c:v>2019</c:v>
                </c:pt>
              </c:numCache>
            </c:numRef>
          </c:cat>
          <c:val>
            <c:numRef>
              <c:f>NG_DATA!$L$19:$P$19</c:f>
              <c:numCache>
                <c:formatCode>General</c:formatCode>
                <c:ptCount val="5"/>
                <c:pt idx="0">
                  <c:v>1558.4579999999999</c:v>
                </c:pt>
                <c:pt idx="1">
                  <c:v>1390.6668</c:v>
                </c:pt>
                <c:pt idx="2">
                  <c:v>1389.8334</c:v>
                </c:pt>
                <c:pt idx="3">
                  <c:v>1470.3953999999999</c:v>
                </c:pt>
                <c:pt idx="4">
                  <c:v>1257.8784000000001</c:v>
                </c:pt>
              </c:numCache>
            </c:numRef>
          </c:val>
          <c:extLst>
            <c:ext xmlns:c16="http://schemas.microsoft.com/office/drawing/2014/chart" uri="{C3380CC4-5D6E-409C-BE32-E72D297353CC}">
              <c16:uniqueId val="{00000000-57AE-49A1-8460-0DBD3D4DC3E3}"/>
            </c:ext>
          </c:extLst>
        </c:ser>
        <c:ser>
          <c:idx val="1"/>
          <c:order val="1"/>
          <c:tx>
            <c:strRef>
              <c:f>NG_DATA!$K$20</c:f>
              <c:strCache>
                <c:ptCount val="1"/>
                <c:pt idx="0">
                  <c:v>Building</c:v>
                </c:pt>
              </c:strCache>
            </c:strRef>
          </c:tx>
          <c:spPr>
            <a:solidFill>
              <a:schemeClr val="accent2"/>
            </a:solidFill>
            <a:ln>
              <a:noFill/>
            </a:ln>
            <a:effectLst/>
          </c:spPr>
          <c:cat>
            <c:numRef>
              <c:f>NG_DATA!$L$18:$P$18</c:f>
              <c:numCache>
                <c:formatCode>General</c:formatCode>
                <c:ptCount val="5"/>
                <c:pt idx="0">
                  <c:v>2015</c:v>
                </c:pt>
                <c:pt idx="1">
                  <c:v>2016</c:v>
                </c:pt>
                <c:pt idx="2">
                  <c:v>2017</c:v>
                </c:pt>
                <c:pt idx="3">
                  <c:v>2018</c:v>
                </c:pt>
                <c:pt idx="4">
                  <c:v>2019</c:v>
                </c:pt>
              </c:numCache>
            </c:numRef>
          </c:cat>
          <c:val>
            <c:numRef>
              <c:f>NG_DATA!$L$20:$P$20</c:f>
              <c:numCache>
                <c:formatCode>General</c:formatCode>
                <c:ptCount val="5"/>
                <c:pt idx="0">
                  <c:v>2373.5</c:v>
                </c:pt>
                <c:pt idx="1">
                  <c:v>2591.3000000000002</c:v>
                </c:pt>
                <c:pt idx="2">
                  <c:v>2745</c:v>
                </c:pt>
                <c:pt idx="3">
                  <c:v>2897.45</c:v>
                </c:pt>
                <c:pt idx="4">
                  <c:v>2854.95</c:v>
                </c:pt>
              </c:numCache>
            </c:numRef>
          </c:val>
          <c:extLst>
            <c:ext xmlns:c16="http://schemas.microsoft.com/office/drawing/2014/chart" uri="{C3380CC4-5D6E-409C-BE32-E72D297353CC}">
              <c16:uniqueId val="{00000001-57AE-49A1-8460-0DBD3D4DC3E3}"/>
            </c:ext>
          </c:extLst>
        </c:ser>
        <c:ser>
          <c:idx val="3"/>
          <c:order val="3"/>
          <c:tx>
            <c:strRef>
              <c:f>NG_DATA!$K$22</c:f>
              <c:strCache>
                <c:ptCount val="1"/>
                <c:pt idx="0">
                  <c:v>Agriculture / forestry/ fishing</c:v>
                </c:pt>
              </c:strCache>
            </c:strRef>
          </c:tx>
          <c:spPr>
            <a:solidFill>
              <a:schemeClr val="accent4"/>
            </a:solidFill>
            <a:ln>
              <a:noFill/>
            </a:ln>
            <a:effectLst/>
          </c:spPr>
          <c:cat>
            <c:numRef>
              <c:f>NG_DATA!$L$18:$P$18</c:f>
              <c:numCache>
                <c:formatCode>General</c:formatCode>
                <c:ptCount val="5"/>
                <c:pt idx="0">
                  <c:v>2015</c:v>
                </c:pt>
                <c:pt idx="1">
                  <c:v>2016</c:v>
                </c:pt>
                <c:pt idx="2">
                  <c:v>2017</c:v>
                </c:pt>
                <c:pt idx="3">
                  <c:v>2018</c:v>
                </c:pt>
                <c:pt idx="4">
                  <c:v>2019</c:v>
                </c:pt>
              </c:numCache>
            </c:numRef>
          </c:cat>
          <c:val>
            <c:numRef>
              <c:f>NG_DATA!$L$22:$P$22</c:f>
              <c:numCache>
                <c:formatCode>General</c:formatCode>
                <c:ptCount val="5"/>
                <c:pt idx="0">
                  <c:v>158.62380000000002</c:v>
                </c:pt>
                <c:pt idx="1">
                  <c:v>169.73580000000001</c:v>
                </c:pt>
                <c:pt idx="2">
                  <c:v>103.8972</c:v>
                </c:pt>
                <c:pt idx="3">
                  <c:v>83.339999999999989</c:v>
                </c:pt>
                <c:pt idx="4">
                  <c:v>66.949799999999996</c:v>
                </c:pt>
              </c:numCache>
            </c:numRef>
          </c:val>
          <c:extLst>
            <c:ext xmlns:c16="http://schemas.microsoft.com/office/drawing/2014/chart" uri="{C3380CC4-5D6E-409C-BE32-E72D297353CC}">
              <c16:uniqueId val="{00000002-57AE-49A1-8460-0DBD3D4DC3E3}"/>
            </c:ext>
          </c:extLst>
        </c:ser>
        <c:ser>
          <c:idx val="4"/>
          <c:order val="4"/>
          <c:tx>
            <c:strRef>
              <c:f>NG_DATA!$K$23</c:f>
              <c:strCache>
                <c:ptCount val="1"/>
                <c:pt idx="0">
                  <c:v>Non-energy use</c:v>
                </c:pt>
              </c:strCache>
            </c:strRef>
          </c:tx>
          <c:spPr>
            <a:solidFill>
              <a:schemeClr val="accent5"/>
            </a:solidFill>
            <a:ln>
              <a:noFill/>
            </a:ln>
            <a:effectLst/>
          </c:spPr>
          <c:cat>
            <c:numRef>
              <c:f>NG_DATA!$L$18:$P$18</c:f>
              <c:numCache>
                <c:formatCode>General</c:formatCode>
                <c:ptCount val="5"/>
                <c:pt idx="0">
                  <c:v>2015</c:v>
                </c:pt>
                <c:pt idx="1">
                  <c:v>2016</c:v>
                </c:pt>
                <c:pt idx="2">
                  <c:v>2017</c:v>
                </c:pt>
                <c:pt idx="3">
                  <c:v>2018</c:v>
                </c:pt>
                <c:pt idx="4">
                  <c:v>2019</c:v>
                </c:pt>
              </c:numCache>
            </c:numRef>
          </c:cat>
          <c:val>
            <c:numRef>
              <c:f>NG_DATA!$L$23:$P$23</c:f>
              <c:numCache>
                <c:formatCode>General</c:formatCode>
                <c:ptCount val="5"/>
              </c:numCache>
            </c:numRef>
          </c:val>
          <c:extLst>
            <c:ext xmlns:c16="http://schemas.microsoft.com/office/drawing/2014/chart" uri="{C3380CC4-5D6E-409C-BE32-E72D297353CC}">
              <c16:uniqueId val="{00000003-57AE-49A1-8460-0DBD3D4DC3E3}"/>
            </c:ext>
          </c:extLst>
        </c:ser>
        <c:ser>
          <c:idx val="5"/>
          <c:order val="5"/>
          <c:tx>
            <c:strRef>
              <c:f>NG_DATA!$K$24</c:f>
              <c:strCache>
                <c:ptCount val="1"/>
                <c:pt idx="0">
                  <c:v>Transport</c:v>
                </c:pt>
              </c:strCache>
            </c:strRef>
          </c:tx>
          <c:spPr>
            <a:solidFill>
              <a:schemeClr val="accent6"/>
            </a:solidFill>
            <a:ln w="25400">
              <a:noFill/>
            </a:ln>
            <a:effectLst/>
          </c:spPr>
          <c:cat>
            <c:numRef>
              <c:f>NG_DATA!$L$18:$P$18</c:f>
              <c:numCache>
                <c:formatCode>General</c:formatCode>
                <c:ptCount val="5"/>
                <c:pt idx="0">
                  <c:v>2015</c:v>
                </c:pt>
                <c:pt idx="1">
                  <c:v>2016</c:v>
                </c:pt>
                <c:pt idx="2">
                  <c:v>2017</c:v>
                </c:pt>
                <c:pt idx="3">
                  <c:v>2018</c:v>
                </c:pt>
                <c:pt idx="4">
                  <c:v>2019</c:v>
                </c:pt>
              </c:numCache>
            </c:numRef>
          </c:cat>
          <c:val>
            <c:numRef>
              <c:f>NG_DATA!$L$24:$P$24</c:f>
              <c:numCache>
                <c:formatCode>General</c:formatCode>
                <c:ptCount val="5"/>
                <c:pt idx="0">
                  <c:v>0</c:v>
                </c:pt>
                <c:pt idx="1">
                  <c:v>0</c:v>
                </c:pt>
                <c:pt idx="2">
                  <c:v>0</c:v>
                </c:pt>
                <c:pt idx="3">
                  <c:v>0.83339999999999992</c:v>
                </c:pt>
                <c:pt idx="4">
                  <c:v>2.5002</c:v>
                </c:pt>
              </c:numCache>
            </c:numRef>
          </c:val>
          <c:extLst>
            <c:ext xmlns:c16="http://schemas.microsoft.com/office/drawing/2014/chart" uri="{C3380CC4-5D6E-409C-BE32-E72D297353CC}">
              <c16:uniqueId val="{00000004-57AE-49A1-8460-0DBD3D4DC3E3}"/>
            </c:ext>
          </c:extLst>
        </c:ser>
        <c:ser>
          <c:idx val="6"/>
          <c:order val="6"/>
          <c:tx>
            <c:strRef>
              <c:f>NG_DATA!$K$25</c:f>
              <c:strCache>
                <c:ptCount val="1"/>
                <c:pt idx="0">
                  <c:v>Electricity &amp; other energy sector</c:v>
                </c:pt>
              </c:strCache>
            </c:strRef>
          </c:tx>
          <c:spPr>
            <a:solidFill>
              <a:schemeClr val="accent1">
                <a:lumMod val="60000"/>
              </a:schemeClr>
            </a:solidFill>
            <a:ln w="25400">
              <a:noFill/>
            </a:ln>
            <a:effectLst/>
          </c:spPr>
          <c:cat>
            <c:numRef>
              <c:f>NG_DATA!$L$18:$P$18</c:f>
              <c:numCache>
                <c:formatCode>General</c:formatCode>
                <c:ptCount val="5"/>
                <c:pt idx="0">
                  <c:v>2015</c:v>
                </c:pt>
                <c:pt idx="1">
                  <c:v>2016</c:v>
                </c:pt>
                <c:pt idx="2">
                  <c:v>2017</c:v>
                </c:pt>
                <c:pt idx="3">
                  <c:v>2018</c:v>
                </c:pt>
                <c:pt idx="4">
                  <c:v>2019</c:v>
                </c:pt>
              </c:numCache>
            </c:numRef>
          </c:cat>
          <c:val>
            <c:numRef>
              <c:f>NG_DATA!$L$25:$P$25</c:f>
              <c:numCache>
                <c:formatCode>General</c:formatCode>
                <c:ptCount val="5"/>
                <c:pt idx="0">
                  <c:v>9900.5373999999993</c:v>
                </c:pt>
                <c:pt idx="1">
                  <c:v>7774.2513999999992</c:v>
                </c:pt>
                <c:pt idx="2">
                  <c:v>8848.7052000000003</c:v>
                </c:pt>
                <c:pt idx="3">
                  <c:v>10479.731199999998</c:v>
                </c:pt>
                <c:pt idx="4">
                  <c:v>10080.806999999999</c:v>
                </c:pt>
              </c:numCache>
            </c:numRef>
          </c:val>
          <c:extLst>
            <c:ext xmlns:c16="http://schemas.microsoft.com/office/drawing/2014/chart" uri="{C3380CC4-5D6E-409C-BE32-E72D297353CC}">
              <c16:uniqueId val="{00000005-57AE-49A1-8460-0DBD3D4DC3E3}"/>
            </c:ext>
          </c:extLst>
        </c:ser>
        <c:dLbls>
          <c:showLegendKey val="0"/>
          <c:showVal val="0"/>
          <c:showCatName val="0"/>
          <c:showSerName val="0"/>
          <c:showPercent val="0"/>
          <c:showBubbleSize val="0"/>
        </c:dLbls>
        <c:axId val="1714758607"/>
        <c:axId val="1714757775"/>
        <c:extLst>
          <c:ext xmlns:c15="http://schemas.microsoft.com/office/drawing/2012/chart" uri="{02D57815-91ED-43cb-92C2-25804820EDAC}">
            <c15:filteredAreaSeries>
              <c15:ser>
                <c:idx val="2"/>
                <c:order val="2"/>
                <c:tx>
                  <c:strRef>
                    <c:extLst>
                      <c:ext uri="{02D57815-91ED-43cb-92C2-25804820EDAC}">
                        <c15:formulaRef>
                          <c15:sqref>NG_DATA!$K$21</c15:sqref>
                        </c15:formulaRef>
                      </c:ext>
                    </c:extLst>
                    <c:strCache>
                      <c:ptCount val="1"/>
                    </c:strCache>
                  </c:strRef>
                </c:tx>
                <c:spPr>
                  <a:solidFill>
                    <a:schemeClr val="accent3"/>
                  </a:solidFill>
                  <a:ln>
                    <a:noFill/>
                  </a:ln>
                  <a:effectLst/>
                </c:spPr>
                <c:cat>
                  <c:numRef>
                    <c:extLst>
                      <c:ext uri="{02D57815-91ED-43cb-92C2-25804820EDAC}">
                        <c15:formulaRef>
                          <c15:sqref>NG_DATA!$L$18:$P$18</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NG_DATA!$L$21:$P$21</c15:sqref>
                        </c15:formulaRef>
                      </c:ext>
                    </c:extLst>
                    <c:numCache>
                      <c:formatCode>General</c:formatCode>
                      <c:ptCount val="5"/>
                    </c:numCache>
                  </c:numRef>
                </c:val>
                <c:extLst>
                  <c:ext xmlns:c16="http://schemas.microsoft.com/office/drawing/2014/chart" uri="{C3380CC4-5D6E-409C-BE32-E72D297353CC}">
                    <c16:uniqueId val="{00000006-57AE-49A1-8460-0DBD3D4DC3E3}"/>
                  </c:ext>
                </c:extLst>
              </c15:ser>
            </c15:filteredAreaSeries>
          </c:ext>
        </c:extLst>
      </c:areaChart>
      <c:catAx>
        <c:axId val="17147586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714757775"/>
        <c:crosses val="autoZero"/>
        <c:auto val="1"/>
        <c:lblAlgn val="ctr"/>
        <c:lblOffset val="100"/>
        <c:noMultiLvlLbl val="0"/>
      </c:catAx>
      <c:valAx>
        <c:axId val="1714757775"/>
        <c:scaling>
          <c:orientation val="minMax"/>
          <c:max val="1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714758607"/>
        <c:crosses val="autoZero"/>
        <c:crossBetween val="midCat"/>
      </c:valAx>
      <c:spPr>
        <a:noFill/>
        <a:ln>
          <a:noFill/>
        </a:ln>
        <a:effectLst/>
      </c:spPr>
    </c:plotArea>
    <c:legend>
      <c:legendPos val="b"/>
      <c:layout>
        <c:manualLayout>
          <c:xMode val="edge"/>
          <c:yMode val="edge"/>
          <c:x val="3.5032404974601507E-3"/>
          <c:y val="0.76239569638318716"/>
          <c:w val="0.99158284405200803"/>
          <c:h val="0.23760430361681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'Biogas-Biomethane'!$B$17</c:f>
              <c:strCache>
                <c:ptCount val="1"/>
                <c:pt idx="0">
                  <c:v>Agriculture</c:v>
                </c:pt>
              </c:strCache>
            </c:strRef>
          </c:tx>
          <c:spPr>
            <a:solidFill>
              <a:schemeClr val="accent1"/>
            </a:solidFill>
            <a:ln>
              <a:noFill/>
            </a:ln>
            <a:effectLst/>
          </c:spPr>
          <c:cat>
            <c:numRef>
              <c:f>'Biogas-Biomethane'!$C$16:$G$16</c:f>
              <c:numCache>
                <c:formatCode>General</c:formatCode>
                <c:ptCount val="5"/>
                <c:pt idx="0">
                  <c:v>2015</c:v>
                </c:pt>
                <c:pt idx="1">
                  <c:v>2016</c:v>
                </c:pt>
                <c:pt idx="2">
                  <c:v>2017</c:v>
                </c:pt>
                <c:pt idx="3">
                  <c:v>2018</c:v>
                </c:pt>
                <c:pt idx="4">
                  <c:v>2019</c:v>
                </c:pt>
              </c:numCache>
            </c:numRef>
          </c:cat>
          <c:val>
            <c:numRef>
              <c:f>'Biogas-Biomethane'!$C$17:$G$17</c:f>
              <c:numCache>
                <c:formatCode>General</c:formatCode>
                <c:ptCount val="5"/>
                <c:pt idx="0">
                  <c:v>820</c:v>
                </c:pt>
                <c:pt idx="1">
                  <c:v>840</c:v>
                </c:pt>
                <c:pt idx="2">
                  <c:v>860</c:v>
                </c:pt>
                <c:pt idx="3">
                  <c:v>770</c:v>
                </c:pt>
                <c:pt idx="4">
                  <c:v>770</c:v>
                </c:pt>
              </c:numCache>
            </c:numRef>
          </c:val>
          <c:extLst>
            <c:ext xmlns:c16="http://schemas.microsoft.com/office/drawing/2014/chart" uri="{C3380CC4-5D6E-409C-BE32-E72D297353CC}">
              <c16:uniqueId val="{00000000-272E-44D3-BA8B-5E8B1DB8BFE5}"/>
            </c:ext>
          </c:extLst>
        </c:ser>
        <c:ser>
          <c:idx val="1"/>
          <c:order val="1"/>
          <c:tx>
            <c:strRef>
              <c:f>'Biogas-Biomethane'!$B$18</c:f>
              <c:strCache>
                <c:ptCount val="1"/>
                <c:pt idx="0">
                  <c:v>Sewage</c:v>
                </c:pt>
              </c:strCache>
            </c:strRef>
          </c:tx>
          <c:spPr>
            <a:solidFill>
              <a:schemeClr val="accent2"/>
            </a:solidFill>
            <a:ln>
              <a:noFill/>
            </a:ln>
            <a:effectLst/>
          </c:spPr>
          <c:cat>
            <c:numRef>
              <c:f>'Biogas-Biomethane'!$C$16:$G$16</c:f>
              <c:numCache>
                <c:formatCode>General</c:formatCode>
                <c:ptCount val="5"/>
                <c:pt idx="0">
                  <c:v>2015</c:v>
                </c:pt>
                <c:pt idx="1">
                  <c:v>2016</c:v>
                </c:pt>
                <c:pt idx="2">
                  <c:v>2017</c:v>
                </c:pt>
                <c:pt idx="3">
                  <c:v>2018</c:v>
                </c:pt>
                <c:pt idx="4">
                  <c:v>2019</c:v>
                </c:pt>
              </c:numCache>
            </c:numRef>
          </c:cat>
          <c:val>
            <c:numRef>
              <c:f>'Biogas-Biomethane'!$C$18:$G$18</c:f>
              <c:numCache>
                <c:formatCode>General</c:formatCode>
                <c:ptCount val="5"/>
                <c:pt idx="0">
                  <c:v>40</c:v>
                </c:pt>
                <c:pt idx="1">
                  <c:v>40</c:v>
                </c:pt>
                <c:pt idx="2">
                  <c:v>40</c:v>
                </c:pt>
                <c:pt idx="3">
                  <c:v>40</c:v>
                </c:pt>
                <c:pt idx="4">
                  <c:v>40</c:v>
                </c:pt>
              </c:numCache>
            </c:numRef>
          </c:val>
          <c:extLst>
            <c:ext xmlns:c16="http://schemas.microsoft.com/office/drawing/2014/chart" uri="{C3380CC4-5D6E-409C-BE32-E72D297353CC}">
              <c16:uniqueId val="{00000001-272E-44D3-BA8B-5E8B1DB8BFE5}"/>
            </c:ext>
          </c:extLst>
        </c:ser>
        <c:ser>
          <c:idx val="2"/>
          <c:order val="2"/>
          <c:tx>
            <c:strRef>
              <c:f>'Biogas-Biomethane'!$B$19</c:f>
              <c:strCache>
                <c:ptCount val="1"/>
                <c:pt idx="0">
                  <c:v>Landfill</c:v>
                </c:pt>
              </c:strCache>
            </c:strRef>
          </c:tx>
          <c:spPr>
            <a:solidFill>
              <a:schemeClr val="accent3"/>
            </a:solidFill>
            <a:ln>
              <a:noFill/>
            </a:ln>
            <a:effectLst/>
          </c:spPr>
          <c:cat>
            <c:numRef>
              <c:f>'Biogas-Biomethane'!$C$16:$G$16</c:f>
              <c:numCache>
                <c:formatCode>General</c:formatCode>
                <c:ptCount val="5"/>
                <c:pt idx="0">
                  <c:v>2015</c:v>
                </c:pt>
                <c:pt idx="1">
                  <c:v>2016</c:v>
                </c:pt>
                <c:pt idx="2">
                  <c:v>2017</c:v>
                </c:pt>
                <c:pt idx="3">
                  <c:v>2018</c:v>
                </c:pt>
                <c:pt idx="4">
                  <c:v>2019</c:v>
                </c:pt>
              </c:numCache>
            </c:numRef>
          </c:cat>
          <c:val>
            <c:numRef>
              <c:f>'Biogas-Biomethane'!$C$19:$G$19</c:f>
              <c:numCache>
                <c:formatCode>General</c:formatCode>
                <c:ptCount val="5"/>
                <c:pt idx="0">
                  <c:v>106</c:v>
                </c:pt>
                <c:pt idx="1">
                  <c:v>95</c:v>
                </c:pt>
                <c:pt idx="2">
                  <c:v>94</c:v>
                </c:pt>
                <c:pt idx="3">
                  <c:v>86</c:v>
                </c:pt>
                <c:pt idx="4">
                  <c:v>86</c:v>
                </c:pt>
              </c:numCache>
            </c:numRef>
          </c:val>
          <c:extLst>
            <c:ext xmlns:c16="http://schemas.microsoft.com/office/drawing/2014/chart" uri="{C3380CC4-5D6E-409C-BE32-E72D297353CC}">
              <c16:uniqueId val="{00000002-272E-44D3-BA8B-5E8B1DB8BFE5}"/>
            </c:ext>
          </c:extLst>
        </c:ser>
        <c:ser>
          <c:idx val="3"/>
          <c:order val="3"/>
          <c:tx>
            <c:strRef>
              <c:f>'Biogas-Biomethane'!$B$20</c:f>
              <c:strCache>
                <c:ptCount val="1"/>
                <c:pt idx="0">
                  <c:v>Others</c:v>
                </c:pt>
              </c:strCache>
            </c:strRef>
          </c:tx>
          <c:spPr>
            <a:solidFill>
              <a:schemeClr val="accent4"/>
            </a:solidFill>
            <a:ln>
              <a:noFill/>
            </a:ln>
            <a:effectLst/>
          </c:spPr>
          <c:cat>
            <c:numRef>
              <c:f>'Biogas-Biomethane'!$C$16:$G$16</c:f>
              <c:numCache>
                <c:formatCode>General</c:formatCode>
                <c:ptCount val="5"/>
                <c:pt idx="0">
                  <c:v>2015</c:v>
                </c:pt>
                <c:pt idx="1">
                  <c:v>2016</c:v>
                </c:pt>
                <c:pt idx="2">
                  <c:v>2017</c:v>
                </c:pt>
                <c:pt idx="3">
                  <c:v>2018</c:v>
                </c:pt>
                <c:pt idx="4">
                  <c:v>2019</c:v>
                </c:pt>
              </c:numCache>
            </c:numRef>
          </c:cat>
          <c:val>
            <c:numRef>
              <c:f>'Biogas-Biomethane'!$C$20:$G$20</c:f>
              <c:numCache>
                <c:formatCode>General</c:formatCode>
                <c:ptCount val="5"/>
                <c:pt idx="0">
                  <c:v>20</c:v>
                </c:pt>
                <c:pt idx="1">
                  <c:v>20</c:v>
                </c:pt>
                <c:pt idx="2">
                  <c:v>20</c:v>
                </c:pt>
                <c:pt idx="3">
                  <c:v>20</c:v>
                </c:pt>
                <c:pt idx="4">
                  <c:v>20</c:v>
                </c:pt>
              </c:numCache>
            </c:numRef>
          </c:val>
          <c:extLst>
            <c:ext xmlns:c16="http://schemas.microsoft.com/office/drawing/2014/chart" uri="{C3380CC4-5D6E-409C-BE32-E72D297353CC}">
              <c16:uniqueId val="{00000003-272E-44D3-BA8B-5E8B1DB8BFE5}"/>
            </c:ext>
          </c:extLst>
        </c:ser>
        <c:dLbls>
          <c:showLegendKey val="0"/>
          <c:showVal val="0"/>
          <c:showCatName val="0"/>
          <c:showSerName val="0"/>
          <c:showPercent val="0"/>
          <c:showBubbleSize val="0"/>
        </c:dLbls>
        <c:axId val="1493901343"/>
        <c:axId val="1493899679"/>
      </c:areaChart>
      <c:catAx>
        <c:axId val="14939013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93899679"/>
        <c:crosses val="autoZero"/>
        <c:auto val="1"/>
        <c:lblAlgn val="ctr"/>
        <c:lblOffset val="100"/>
        <c:noMultiLvlLbl val="0"/>
      </c:catAx>
      <c:valAx>
        <c:axId val="1493899679"/>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939013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noFill/>
    <a:ln w="9525" cap="flat" cmpd="sng" algn="ctr">
      <a:no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59683896860622"/>
          <c:y val="5.8139534883720929E-2"/>
          <c:w val="0.73351046658226271"/>
          <c:h val="0.60188360440145827"/>
        </c:manualLayout>
      </c:layout>
      <c:areaChart>
        <c:grouping val="stacked"/>
        <c:varyColors val="0"/>
        <c:ser>
          <c:idx val="0"/>
          <c:order val="0"/>
          <c:tx>
            <c:strRef>
              <c:f>NG_DATA!$K$33</c:f>
              <c:strCache>
                <c:ptCount val="1"/>
                <c:pt idx="0">
                  <c:v>Industry</c:v>
                </c:pt>
              </c:strCache>
            </c:strRef>
          </c:tx>
          <c:spPr>
            <a:solidFill>
              <a:schemeClr val="accent1"/>
            </a:solidFill>
            <a:ln>
              <a:noFill/>
            </a:ln>
            <a:effectLst/>
          </c:spPr>
          <c:cat>
            <c:numRef>
              <c:f>NG_DATA!$L$32:$P$32</c:f>
              <c:numCache>
                <c:formatCode>General</c:formatCode>
                <c:ptCount val="5"/>
                <c:pt idx="0">
                  <c:v>2015</c:v>
                </c:pt>
                <c:pt idx="1">
                  <c:v>2016</c:v>
                </c:pt>
                <c:pt idx="2">
                  <c:v>2017</c:v>
                </c:pt>
                <c:pt idx="3">
                  <c:v>2018</c:v>
                </c:pt>
                <c:pt idx="4">
                  <c:v>2019</c:v>
                </c:pt>
              </c:numCache>
            </c:numRef>
          </c:cat>
          <c:val>
            <c:numRef>
              <c:f>NG_DATA!$L$33:$P$33</c:f>
              <c:numCache>
                <c:formatCode>General</c:formatCode>
                <c:ptCount val="5"/>
                <c:pt idx="0">
                  <c:v>3671.127</c:v>
                </c:pt>
                <c:pt idx="1">
                  <c:v>3718.6307999999999</c:v>
                </c:pt>
                <c:pt idx="2">
                  <c:v>3769.7460000000001</c:v>
                </c:pt>
                <c:pt idx="3">
                  <c:v>4021.1549999999997</c:v>
                </c:pt>
                <c:pt idx="4">
                  <c:v>3922.8137999999999</c:v>
                </c:pt>
              </c:numCache>
            </c:numRef>
          </c:val>
          <c:extLst>
            <c:ext xmlns:c16="http://schemas.microsoft.com/office/drawing/2014/chart" uri="{C3380CC4-5D6E-409C-BE32-E72D297353CC}">
              <c16:uniqueId val="{00000000-5839-4C08-AD52-EE94938E70B3}"/>
            </c:ext>
          </c:extLst>
        </c:ser>
        <c:ser>
          <c:idx val="2"/>
          <c:order val="2"/>
          <c:tx>
            <c:strRef>
              <c:f>NG_DATA!$K$35</c:f>
              <c:strCache>
                <c:ptCount val="1"/>
                <c:pt idx="0">
                  <c:v>Building</c:v>
                </c:pt>
              </c:strCache>
            </c:strRef>
          </c:tx>
          <c:spPr>
            <a:solidFill>
              <a:schemeClr val="accent3"/>
            </a:solidFill>
            <a:ln>
              <a:noFill/>
            </a:ln>
            <a:effectLst/>
          </c:spPr>
          <c:cat>
            <c:numRef>
              <c:f>NG_DATA!$L$32:$P$32</c:f>
              <c:numCache>
                <c:formatCode>General</c:formatCode>
                <c:ptCount val="5"/>
                <c:pt idx="0">
                  <c:v>2015</c:v>
                </c:pt>
                <c:pt idx="1">
                  <c:v>2016</c:v>
                </c:pt>
                <c:pt idx="2">
                  <c:v>2017</c:v>
                </c:pt>
                <c:pt idx="3">
                  <c:v>2018</c:v>
                </c:pt>
                <c:pt idx="4">
                  <c:v>2019</c:v>
                </c:pt>
              </c:numCache>
            </c:numRef>
          </c:cat>
          <c:val>
            <c:numRef>
              <c:f>NG_DATA!$L$35:$P$35</c:f>
              <c:numCache>
                <c:formatCode>General</c:formatCode>
                <c:ptCount val="5"/>
                <c:pt idx="0">
                  <c:v>2380.19</c:v>
                </c:pt>
                <c:pt idx="1">
                  <c:v>2726.05</c:v>
                </c:pt>
                <c:pt idx="2">
                  <c:v>2877.1750000000002</c:v>
                </c:pt>
                <c:pt idx="3">
                  <c:v>3073.57</c:v>
                </c:pt>
                <c:pt idx="4">
                  <c:v>3016.9</c:v>
                </c:pt>
              </c:numCache>
            </c:numRef>
          </c:val>
          <c:extLst>
            <c:ext xmlns:c16="http://schemas.microsoft.com/office/drawing/2014/chart" uri="{C3380CC4-5D6E-409C-BE32-E72D297353CC}">
              <c16:uniqueId val="{00000001-5839-4C08-AD52-EE94938E70B3}"/>
            </c:ext>
          </c:extLst>
        </c:ser>
        <c:ser>
          <c:idx val="3"/>
          <c:order val="3"/>
          <c:tx>
            <c:strRef>
              <c:f>NG_DATA!$K$36</c:f>
              <c:strCache>
                <c:ptCount val="1"/>
                <c:pt idx="0">
                  <c:v>Agriculture / forestry</c:v>
                </c:pt>
              </c:strCache>
            </c:strRef>
          </c:tx>
          <c:spPr>
            <a:solidFill>
              <a:srgbClr val="FF0000"/>
            </a:solidFill>
            <a:ln>
              <a:noFill/>
            </a:ln>
            <a:effectLst/>
          </c:spPr>
          <c:cat>
            <c:numRef>
              <c:f>NG_DATA!$L$32:$P$32</c:f>
              <c:numCache>
                <c:formatCode>General</c:formatCode>
                <c:ptCount val="5"/>
                <c:pt idx="0">
                  <c:v>2015</c:v>
                </c:pt>
                <c:pt idx="1">
                  <c:v>2016</c:v>
                </c:pt>
                <c:pt idx="2">
                  <c:v>2017</c:v>
                </c:pt>
                <c:pt idx="3">
                  <c:v>2018</c:v>
                </c:pt>
                <c:pt idx="4">
                  <c:v>2019</c:v>
                </c:pt>
              </c:numCache>
            </c:numRef>
          </c:cat>
          <c:val>
            <c:numRef>
              <c:f>NG_DATA!$L$36:$P$36</c:f>
              <c:numCache>
                <c:formatCode>General</c:formatCode>
                <c:ptCount val="5"/>
                <c:pt idx="0">
                  <c:v>269.18819999999999</c:v>
                </c:pt>
                <c:pt idx="1">
                  <c:v>277.24439999999998</c:v>
                </c:pt>
                <c:pt idx="2">
                  <c:v>281.1336</c:v>
                </c:pt>
                <c:pt idx="3">
                  <c:v>270.29939999999999</c:v>
                </c:pt>
                <c:pt idx="4">
                  <c:v>267.24360000000001</c:v>
                </c:pt>
              </c:numCache>
            </c:numRef>
          </c:val>
          <c:extLst>
            <c:ext xmlns:c16="http://schemas.microsoft.com/office/drawing/2014/chart" uri="{C3380CC4-5D6E-409C-BE32-E72D297353CC}">
              <c16:uniqueId val="{00000002-5839-4C08-AD52-EE94938E70B3}"/>
            </c:ext>
          </c:extLst>
        </c:ser>
        <c:ser>
          <c:idx val="4"/>
          <c:order val="4"/>
          <c:tx>
            <c:strRef>
              <c:f>NG_DATA!$K$37</c:f>
              <c:strCache>
                <c:ptCount val="1"/>
                <c:pt idx="0">
                  <c:v>Non-energy use </c:v>
                </c:pt>
              </c:strCache>
            </c:strRef>
          </c:tx>
          <c:spPr>
            <a:solidFill>
              <a:schemeClr val="accent5"/>
            </a:solidFill>
            <a:ln>
              <a:noFill/>
            </a:ln>
            <a:effectLst/>
          </c:spPr>
          <c:cat>
            <c:numRef>
              <c:f>NG_DATA!$L$32:$P$32</c:f>
              <c:numCache>
                <c:formatCode>General</c:formatCode>
                <c:ptCount val="5"/>
                <c:pt idx="0">
                  <c:v>2015</c:v>
                </c:pt>
                <c:pt idx="1">
                  <c:v>2016</c:v>
                </c:pt>
                <c:pt idx="2">
                  <c:v>2017</c:v>
                </c:pt>
                <c:pt idx="3">
                  <c:v>2018</c:v>
                </c:pt>
                <c:pt idx="4">
                  <c:v>2019</c:v>
                </c:pt>
              </c:numCache>
            </c:numRef>
          </c:cat>
          <c:val>
            <c:numRef>
              <c:f>NG_DATA!$L$37:$P$37</c:f>
              <c:numCache>
                <c:formatCode>General</c:formatCode>
                <c:ptCount val="5"/>
                <c:pt idx="0">
                  <c:v>12171.251399999999</c:v>
                </c:pt>
                <c:pt idx="1">
                  <c:v>10865.0358</c:v>
                </c:pt>
                <c:pt idx="2">
                  <c:v>12864.6402</c:v>
                </c:pt>
                <c:pt idx="3">
                  <c:v>11084.497799999999</c:v>
                </c:pt>
                <c:pt idx="4">
                  <c:v>12388.491</c:v>
                </c:pt>
              </c:numCache>
            </c:numRef>
          </c:val>
          <c:extLst>
            <c:ext xmlns:c16="http://schemas.microsoft.com/office/drawing/2014/chart" uri="{C3380CC4-5D6E-409C-BE32-E72D297353CC}">
              <c16:uniqueId val="{00000003-5839-4C08-AD52-EE94938E70B3}"/>
            </c:ext>
          </c:extLst>
        </c:ser>
        <c:ser>
          <c:idx val="5"/>
          <c:order val="5"/>
          <c:tx>
            <c:strRef>
              <c:f>NG_DATA!$K$38</c:f>
              <c:strCache>
                <c:ptCount val="1"/>
                <c:pt idx="0">
                  <c:v>Transport</c:v>
                </c:pt>
              </c:strCache>
            </c:strRef>
          </c:tx>
          <c:spPr>
            <a:solidFill>
              <a:srgbClr val="FFFF00"/>
            </a:solidFill>
            <a:ln w="25400">
              <a:noFill/>
            </a:ln>
            <a:effectLst/>
          </c:spPr>
          <c:cat>
            <c:numRef>
              <c:f>NG_DATA!$L$32:$P$32</c:f>
              <c:numCache>
                <c:formatCode>General</c:formatCode>
                <c:ptCount val="5"/>
                <c:pt idx="0">
                  <c:v>2015</c:v>
                </c:pt>
                <c:pt idx="1">
                  <c:v>2016</c:v>
                </c:pt>
                <c:pt idx="2">
                  <c:v>2017</c:v>
                </c:pt>
                <c:pt idx="3">
                  <c:v>2018</c:v>
                </c:pt>
                <c:pt idx="4">
                  <c:v>2019</c:v>
                </c:pt>
              </c:numCache>
            </c:numRef>
          </c:cat>
          <c:val>
            <c:numRef>
              <c:f>NG_DATA!$L$38:$P$38</c:f>
              <c:numCache>
                <c:formatCode>General</c:formatCode>
                <c:ptCount val="5"/>
                <c:pt idx="0">
                  <c:v>385.86419999999998</c:v>
                </c:pt>
                <c:pt idx="1">
                  <c:v>402.25439999999998</c:v>
                </c:pt>
                <c:pt idx="2">
                  <c:v>435.8682</c:v>
                </c:pt>
                <c:pt idx="3">
                  <c:v>349.47239999999999</c:v>
                </c:pt>
                <c:pt idx="4">
                  <c:v>341.4162</c:v>
                </c:pt>
              </c:numCache>
            </c:numRef>
          </c:val>
          <c:extLst>
            <c:ext xmlns:c16="http://schemas.microsoft.com/office/drawing/2014/chart" uri="{C3380CC4-5D6E-409C-BE32-E72D297353CC}">
              <c16:uniqueId val="{00000004-5839-4C08-AD52-EE94938E70B3}"/>
            </c:ext>
          </c:extLst>
        </c:ser>
        <c:ser>
          <c:idx val="6"/>
          <c:order val="6"/>
          <c:tx>
            <c:strRef>
              <c:f>NG_DATA!$K$39</c:f>
              <c:strCache>
                <c:ptCount val="1"/>
                <c:pt idx="0">
                  <c:v>Electricity &amp; other energy sector</c:v>
                </c:pt>
              </c:strCache>
            </c:strRef>
          </c:tx>
          <c:spPr>
            <a:solidFill>
              <a:schemeClr val="accent2"/>
            </a:solidFill>
            <a:ln w="25400">
              <a:noFill/>
            </a:ln>
            <a:effectLst/>
          </c:spPr>
          <c:cat>
            <c:numRef>
              <c:f>NG_DATA!$L$32:$P$32</c:f>
              <c:numCache>
                <c:formatCode>General</c:formatCode>
                <c:ptCount val="5"/>
                <c:pt idx="0">
                  <c:v>2015</c:v>
                </c:pt>
                <c:pt idx="1">
                  <c:v>2016</c:v>
                </c:pt>
                <c:pt idx="2">
                  <c:v>2017</c:v>
                </c:pt>
                <c:pt idx="3">
                  <c:v>2018</c:v>
                </c:pt>
                <c:pt idx="4">
                  <c:v>2019</c:v>
                </c:pt>
              </c:numCache>
            </c:numRef>
          </c:cat>
          <c:val>
            <c:numRef>
              <c:f>NG_DATA!$L$39:$P$39</c:f>
              <c:numCache>
                <c:formatCode>General</c:formatCode>
                <c:ptCount val="5"/>
                <c:pt idx="0">
                  <c:v>7762.2880000000005</c:v>
                </c:pt>
                <c:pt idx="1">
                  <c:v>5954.0887999999977</c:v>
                </c:pt>
                <c:pt idx="2">
                  <c:v>4433.6875999999975</c:v>
                </c:pt>
                <c:pt idx="3">
                  <c:v>3901.1546000000017</c:v>
                </c:pt>
                <c:pt idx="4">
                  <c:v>4148.9510000000009</c:v>
                </c:pt>
              </c:numCache>
            </c:numRef>
          </c:val>
          <c:extLst>
            <c:ext xmlns:c16="http://schemas.microsoft.com/office/drawing/2014/chart" uri="{C3380CC4-5D6E-409C-BE32-E72D297353CC}">
              <c16:uniqueId val="{00000005-5839-4C08-AD52-EE94938E70B3}"/>
            </c:ext>
          </c:extLst>
        </c:ser>
        <c:dLbls>
          <c:showLegendKey val="0"/>
          <c:showVal val="0"/>
          <c:showCatName val="0"/>
          <c:showSerName val="0"/>
          <c:showPercent val="0"/>
          <c:showBubbleSize val="0"/>
        </c:dLbls>
        <c:axId val="1670305615"/>
        <c:axId val="1670299791"/>
        <c:extLst>
          <c:ext xmlns:c15="http://schemas.microsoft.com/office/drawing/2012/chart" uri="{02D57815-91ED-43cb-92C2-25804820EDAC}">
            <c15:filteredAreaSeries>
              <c15:ser>
                <c:idx val="1"/>
                <c:order val="1"/>
                <c:tx>
                  <c:strRef>
                    <c:extLst>
                      <c:ext uri="{02D57815-91ED-43cb-92C2-25804820EDAC}">
                        <c15:formulaRef>
                          <c15:sqref>NG_DATA!$K$34</c15:sqref>
                        </c15:formulaRef>
                      </c:ext>
                    </c:extLst>
                    <c:strCache>
                      <c:ptCount val="1"/>
                    </c:strCache>
                  </c:strRef>
                </c:tx>
                <c:spPr>
                  <a:solidFill>
                    <a:schemeClr val="accent2"/>
                  </a:solidFill>
                  <a:ln>
                    <a:noFill/>
                  </a:ln>
                  <a:effectLst/>
                </c:spPr>
                <c:cat>
                  <c:numRef>
                    <c:extLst>
                      <c:ext uri="{02D57815-91ED-43cb-92C2-25804820EDAC}">
                        <c15:formulaRef>
                          <c15:sqref>NG_DATA!$L$32:$P$32</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NG_DATA!$L$34:$P$34</c15:sqref>
                        </c15:formulaRef>
                      </c:ext>
                    </c:extLst>
                    <c:numCache>
                      <c:formatCode>General</c:formatCode>
                      <c:ptCount val="5"/>
                    </c:numCache>
                  </c:numRef>
                </c:val>
                <c:extLst>
                  <c:ext xmlns:c16="http://schemas.microsoft.com/office/drawing/2014/chart" uri="{C3380CC4-5D6E-409C-BE32-E72D297353CC}">
                    <c16:uniqueId val="{00000006-5839-4C08-AD52-EE94938E70B3}"/>
                  </c:ext>
                </c:extLst>
              </c15:ser>
            </c15:filteredAreaSeries>
          </c:ext>
        </c:extLst>
      </c:areaChart>
      <c:catAx>
        <c:axId val="16703056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70299791"/>
        <c:crosses val="autoZero"/>
        <c:auto val="1"/>
        <c:lblAlgn val="ctr"/>
        <c:lblOffset val="100"/>
        <c:noMultiLvlLbl val="0"/>
      </c:catAx>
      <c:valAx>
        <c:axId val="16702997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70305615"/>
        <c:crosses val="autoZero"/>
        <c:crossBetween val="midCat"/>
      </c:valAx>
      <c:spPr>
        <a:noFill/>
        <a:ln>
          <a:noFill/>
        </a:ln>
        <a:effectLst/>
      </c:spPr>
    </c:plotArea>
    <c:legend>
      <c:legendPos val="b"/>
      <c:layout>
        <c:manualLayout>
          <c:xMode val="edge"/>
          <c:yMode val="edge"/>
          <c:x val="0"/>
          <c:y val="0.75620848662416129"/>
          <c:w val="1"/>
          <c:h val="0.2437915133758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8381452318461"/>
          <c:y val="5.0925925925925923E-2"/>
          <c:w val="0.78062729658792651"/>
          <c:h val="0.6466498979294254"/>
        </c:manualLayout>
      </c:layout>
      <c:areaChart>
        <c:grouping val="stacked"/>
        <c:varyColors val="0"/>
        <c:ser>
          <c:idx val="0"/>
          <c:order val="0"/>
          <c:tx>
            <c:strRef>
              <c:f>NG_DATA!$K$47</c:f>
              <c:strCache>
                <c:ptCount val="1"/>
                <c:pt idx="0">
                  <c:v>Industry</c:v>
                </c:pt>
              </c:strCache>
            </c:strRef>
          </c:tx>
          <c:spPr>
            <a:solidFill>
              <a:schemeClr val="accent1"/>
            </a:solidFill>
            <a:ln>
              <a:noFill/>
            </a:ln>
            <a:effectLst/>
          </c:spPr>
          <c:cat>
            <c:numRef>
              <c:f>NG_DATA!$L$46:$P$46</c:f>
              <c:numCache>
                <c:formatCode>General</c:formatCode>
                <c:ptCount val="5"/>
                <c:pt idx="0">
                  <c:v>2015</c:v>
                </c:pt>
                <c:pt idx="1">
                  <c:v>2016</c:v>
                </c:pt>
                <c:pt idx="2">
                  <c:v>2017</c:v>
                </c:pt>
                <c:pt idx="3">
                  <c:v>2018</c:v>
                </c:pt>
                <c:pt idx="4">
                  <c:v>2019</c:v>
                </c:pt>
              </c:numCache>
            </c:numRef>
          </c:cat>
          <c:val>
            <c:numRef>
              <c:f>NG_DATA!$L$47:$P$47</c:f>
              <c:numCache>
                <c:formatCode>General</c:formatCode>
                <c:ptCount val="5"/>
                <c:pt idx="0">
                  <c:v>7146.6827999999996</c:v>
                </c:pt>
                <c:pt idx="1">
                  <c:v>6819.99</c:v>
                </c:pt>
                <c:pt idx="2">
                  <c:v>7345.0320000000002</c:v>
                </c:pt>
                <c:pt idx="3">
                  <c:v>6928.6098000000002</c:v>
                </c:pt>
                <c:pt idx="4">
                  <c:v>8005.6403999999993</c:v>
                </c:pt>
              </c:numCache>
            </c:numRef>
          </c:val>
          <c:extLst>
            <c:ext xmlns:c16="http://schemas.microsoft.com/office/drawing/2014/chart" uri="{C3380CC4-5D6E-409C-BE32-E72D297353CC}">
              <c16:uniqueId val="{00000000-A7EB-4778-83AF-07B762FEA2C7}"/>
            </c:ext>
          </c:extLst>
        </c:ser>
        <c:ser>
          <c:idx val="2"/>
          <c:order val="2"/>
          <c:tx>
            <c:strRef>
              <c:f>NG_DATA!$K$49</c:f>
              <c:strCache>
                <c:ptCount val="1"/>
                <c:pt idx="0">
                  <c:v>Buildings</c:v>
                </c:pt>
              </c:strCache>
            </c:strRef>
          </c:tx>
          <c:spPr>
            <a:solidFill>
              <a:schemeClr val="accent3"/>
            </a:solidFill>
            <a:ln>
              <a:noFill/>
            </a:ln>
            <a:effectLst/>
          </c:spPr>
          <c:cat>
            <c:numRef>
              <c:f>NG_DATA!$L$46:$P$46</c:f>
              <c:numCache>
                <c:formatCode>General</c:formatCode>
                <c:ptCount val="5"/>
                <c:pt idx="0">
                  <c:v>2015</c:v>
                </c:pt>
                <c:pt idx="1">
                  <c:v>2016</c:v>
                </c:pt>
                <c:pt idx="2">
                  <c:v>2017</c:v>
                </c:pt>
                <c:pt idx="3">
                  <c:v>2018</c:v>
                </c:pt>
                <c:pt idx="4">
                  <c:v>2019</c:v>
                </c:pt>
              </c:numCache>
            </c:numRef>
          </c:cat>
          <c:val>
            <c:numRef>
              <c:f>NG_DATA!$L$49:$P$49</c:f>
              <c:numCache>
                <c:formatCode>General</c:formatCode>
                <c:ptCount val="5"/>
                <c:pt idx="0">
                  <c:v>694.5</c:v>
                </c:pt>
                <c:pt idx="1">
                  <c:v>716.74</c:v>
                </c:pt>
                <c:pt idx="2">
                  <c:v>716.72400000000005</c:v>
                </c:pt>
                <c:pt idx="3">
                  <c:v>650.05200000000002</c:v>
                </c:pt>
                <c:pt idx="4">
                  <c:v>694.5</c:v>
                </c:pt>
              </c:numCache>
            </c:numRef>
          </c:val>
          <c:extLst>
            <c:ext xmlns:c16="http://schemas.microsoft.com/office/drawing/2014/chart" uri="{C3380CC4-5D6E-409C-BE32-E72D297353CC}">
              <c16:uniqueId val="{00000001-A7EB-4778-83AF-07B762FEA2C7}"/>
            </c:ext>
          </c:extLst>
        </c:ser>
        <c:ser>
          <c:idx val="3"/>
          <c:order val="3"/>
          <c:tx>
            <c:strRef>
              <c:f>NG_DATA!$K$50</c:f>
              <c:strCache>
                <c:ptCount val="1"/>
                <c:pt idx="0">
                  <c:v>Agriculture / forestry</c:v>
                </c:pt>
              </c:strCache>
            </c:strRef>
          </c:tx>
          <c:spPr>
            <a:solidFill>
              <a:schemeClr val="accent4"/>
            </a:solidFill>
            <a:ln>
              <a:noFill/>
            </a:ln>
            <a:effectLst/>
          </c:spPr>
          <c:cat>
            <c:numRef>
              <c:f>NG_DATA!$L$46:$P$46</c:f>
              <c:numCache>
                <c:formatCode>General</c:formatCode>
                <c:ptCount val="5"/>
                <c:pt idx="0">
                  <c:v>2015</c:v>
                </c:pt>
                <c:pt idx="1">
                  <c:v>2016</c:v>
                </c:pt>
                <c:pt idx="2">
                  <c:v>2017</c:v>
                </c:pt>
                <c:pt idx="3">
                  <c:v>2018</c:v>
                </c:pt>
                <c:pt idx="4">
                  <c:v>2019</c:v>
                </c:pt>
              </c:numCache>
            </c:numRef>
          </c:cat>
          <c:val>
            <c:numRef>
              <c:f>NG_DATA!$L$50:$P$50</c:f>
              <c:numCache>
                <c:formatCode>General</c:formatCode>
                <c:ptCount val="5"/>
                <c:pt idx="0">
                  <c:v>11.6676</c:v>
                </c:pt>
                <c:pt idx="1">
                  <c:v>13.334399999999999</c:v>
                </c:pt>
                <c:pt idx="2">
                  <c:v>13.334399999999999</c:v>
                </c:pt>
                <c:pt idx="3">
                  <c:v>13.334399999999999</c:v>
                </c:pt>
                <c:pt idx="4">
                  <c:v>13.334399999999999</c:v>
                </c:pt>
              </c:numCache>
            </c:numRef>
          </c:val>
          <c:extLst>
            <c:ext xmlns:c16="http://schemas.microsoft.com/office/drawing/2014/chart" uri="{C3380CC4-5D6E-409C-BE32-E72D297353CC}">
              <c16:uniqueId val="{00000002-A7EB-4778-83AF-07B762FEA2C7}"/>
            </c:ext>
          </c:extLst>
        </c:ser>
        <c:ser>
          <c:idx val="4"/>
          <c:order val="4"/>
          <c:tx>
            <c:strRef>
              <c:f>NG_DATA!$K$51</c:f>
              <c:strCache>
                <c:ptCount val="1"/>
                <c:pt idx="0">
                  <c:v>Non-energy use </c:v>
                </c:pt>
              </c:strCache>
            </c:strRef>
          </c:tx>
          <c:spPr>
            <a:solidFill>
              <a:schemeClr val="accent2"/>
            </a:solidFill>
            <a:ln>
              <a:noFill/>
            </a:ln>
            <a:effectLst/>
          </c:spPr>
          <c:cat>
            <c:numRef>
              <c:f>NG_DATA!$L$46:$P$46</c:f>
              <c:numCache>
                <c:formatCode>General</c:formatCode>
                <c:ptCount val="5"/>
                <c:pt idx="0">
                  <c:v>2015</c:v>
                </c:pt>
                <c:pt idx="1">
                  <c:v>2016</c:v>
                </c:pt>
                <c:pt idx="2">
                  <c:v>2017</c:v>
                </c:pt>
                <c:pt idx="3">
                  <c:v>2018</c:v>
                </c:pt>
                <c:pt idx="4">
                  <c:v>2019</c:v>
                </c:pt>
              </c:numCache>
            </c:numRef>
          </c:cat>
          <c:val>
            <c:numRef>
              <c:f>NG_DATA!$L$51:$P$51</c:f>
              <c:numCache>
                <c:formatCode>General</c:formatCode>
                <c:ptCount val="5"/>
                <c:pt idx="0">
                  <c:v>266.41019999999997</c:v>
                </c:pt>
                <c:pt idx="1">
                  <c:v>443.36879999999996</c:v>
                </c:pt>
                <c:pt idx="2">
                  <c:v>1315.9386</c:v>
                </c:pt>
                <c:pt idx="3">
                  <c:v>1354.2749999999999</c:v>
                </c:pt>
                <c:pt idx="4">
                  <c:v>770.89499999999998</c:v>
                </c:pt>
              </c:numCache>
            </c:numRef>
          </c:val>
          <c:extLst>
            <c:ext xmlns:c16="http://schemas.microsoft.com/office/drawing/2014/chart" uri="{C3380CC4-5D6E-409C-BE32-E72D297353CC}">
              <c16:uniqueId val="{00000003-A7EB-4778-83AF-07B762FEA2C7}"/>
            </c:ext>
          </c:extLst>
        </c:ser>
        <c:ser>
          <c:idx val="5"/>
          <c:order val="5"/>
          <c:tx>
            <c:strRef>
              <c:f>NG_DATA!$K$52</c:f>
              <c:strCache>
                <c:ptCount val="1"/>
                <c:pt idx="0">
                  <c:v>Transport</c:v>
                </c:pt>
              </c:strCache>
            </c:strRef>
          </c:tx>
          <c:spPr>
            <a:solidFill>
              <a:schemeClr val="accent4">
                <a:lumMod val="50000"/>
              </a:schemeClr>
            </a:solidFill>
            <a:ln w="25400">
              <a:noFill/>
            </a:ln>
            <a:effectLst/>
          </c:spPr>
          <c:cat>
            <c:numRef>
              <c:f>NG_DATA!$L$46:$P$46</c:f>
              <c:numCache>
                <c:formatCode>General</c:formatCode>
                <c:ptCount val="5"/>
                <c:pt idx="0">
                  <c:v>2015</c:v>
                </c:pt>
                <c:pt idx="1">
                  <c:v>2016</c:v>
                </c:pt>
                <c:pt idx="2">
                  <c:v>2017</c:v>
                </c:pt>
                <c:pt idx="3">
                  <c:v>2018</c:v>
                </c:pt>
                <c:pt idx="4">
                  <c:v>2019</c:v>
                </c:pt>
              </c:numCache>
            </c:numRef>
          </c:cat>
          <c:val>
            <c:numRef>
              <c:f>NG_DATA!$L$52:$P$52</c:f>
              <c:numCache>
                <c:formatCode>General</c:formatCode>
                <c:ptCount val="5"/>
                <c:pt idx="0">
                  <c:v>86.951399999999992</c:v>
                </c:pt>
                <c:pt idx="1">
                  <c:v>109.73099999999999</c:v>
                </c:pt>
                <c:pt idx="2">
                  <c:v>106.39739999999999</c:v>
                </c:pt>
                <c:pt idx="3">
                  <c:v>161.67959999999999</c:v>
                </c:pt>
                <c:pt idx="4">
                  <c:v>232.24079999999998</c:v>
                </c:pt>
              </c:numCache>
            </c:numRef>
          </c:val>
          <c:extLst>
            <c:ext xmlns:c16="http://schemas.microsoft.com/office/drawing/2014/chart" uri="{C3380CC4-5D6E-409C-BE32-E72D297353CC}">
              <c16:uniqueId val="{00000004-A7EB-4778-83AF-07B762FEA2C7}"/>
            </c:ext>
          </c:extLst>
        </c:ser>
        <c:ser>
          <c:idx val="6"/>
          <c:order val="6"/>
          <c:tx>
            <c:strRef>
              <c:f>NG_DATA!$K$53</c:f>
              <c:strCache>
                <c:ptCount val="1"/>
                <c:pt idx="0">
                  <c:v>Electricity &amp; other energy sector</c:v>
                </c:pt>
              </c:strCache>
            </c:strRef>
          </c:tx>
          <c:spPr>
            <a:solidFill>
              <a:schemeClr val="accent1">
                <a:lumMod val="60000"/>
              </a:schemeClr>
            </a:solidFill>
            <a:ln w="25400">
              <a:noFill/>
            </a:ln>
            <a:effectLst/>
          </c:spPr>
          <c:cat>
            <c:numRef>
              <c:f>NG_DATA!$L$46:$P$46</c:f>
              <c:numCache>
                <c:formatCode>General</c:formatCode>
                <c:ptCount val="5"/>
                <c:pt idx="0">
                  <c:v>2015</c:v>
                </c:pt>
                <c:pt idx="1">
                  <c:v>2016</c:v>
                </c:pt>
                <c:pt idx="2">
                  <c:v>2017</c:v>
                </c:pt>
                <c:pt idx="3">
                  <c:v>2018</c:v>
                </c:pt>
                <c:pt idx="4">
                  <c:v>2019</c:v>
                </c:pt>
              </c:numCache>
            </c:numRef>
          </c:cat>
          <c:val>
            <c:numRef>
              <c:f>NG_DATA!$L$53:$P$53</c:f>
              <c:numCache>
                <c:formatCode>General</c:formatCode>
                <c:ptCount val="5"/>
                <c:pt idx="0">
                  <c:v>20693.5998</c:v>
                </c:pt>
                <c:pt idx="1">
                  <c:v>18502.297399999999</c:v>
                </c:pt>
                <c:pt idx="2">
                  <c:v>15254.275799999999</c:v>
                </c:pt>
                <c:pt idx="3">
                  <c:v>19050.135000000002</c:v>
                </c:pt>
                <c:pt idx="4">
                  <c:v>17939.212799999998</c:v>
                </c:pt>
              </c:numCache>
            </c:numRef>
          </c:val>
          <c:extLst>
            <c:ext xmlns:c16="http://schemas.microsoft.com/office/drawing/2014/chart" uri="{C3380CC4-5D6E-409C-BE32-E72D297353CC}">
              <c16:uniqueId val="{00000005-A7EB-4778-83AF-07B762FEA2C7}"/>
            </c:ext>
          </c:extLst>
        </c:ser>
        <c:dLbls>
          <c:showLegendKey val="0"/>
          <c:showVal val="0"/>
          <c:showCatName val="0"/>
          <c:showSerName val="0"/>
          <c:showPercent val="0"/>
          <c:showBubbleSize val="0"/>
        </c:dLbls>
        <c:axId val="1670305199"/>
        <c:axId val="1670296879"/>
        <c:extLst>
          <c:ext xmlns:c15="http://schemas.microsoft.com/office/drawing/2012/chart" uri="{02D57815-91ED-43cb-92C2-25804820EDAC}">
            <c15:filteredAreaSeries>
              <c15:ser>
                <c:idx val="1"/>
                <c:order val="1"/>
                <c:tx>
                  <c:strRef>
                    <c:extLst>
                      <c:ext uri="{02D57815-91ED-43cb-92C2-25804820EDAC}">
                        <c15:formulaRef>
                          <c15:sqref>NG_DATA!$K$48</c15:sqref>
                        </c15:formulaRef>
                      </c:ext>
                    </c:extLst>
                    <c:strCache>
                      <c:ptCount val="1"/>
                    </c:strCache>
                  </c:strRef>
                </c:tx>
                <c:spPr>
                  <a:solidFill>
                    <a:schemeClr val="accent2"/>
                  </a:solidFill>
                  <a:ln>
                    <a:noFill/>
                  </a:ln>
                  <a:effectLst/>
                </c:spPr>
                <c:cat>
                  <c:numRef>
                    <c:extLst>
                      <c:ext uri="{02D57815-91ED-43cb-92C2-25804820EDAC}">
                        <c15:formulaRef>
                          <c15:sqref>NG_DATA!$L$46:$P$46</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NG_DATA!$L$48:$P$48</c15:sqref>
                        </c15:formulaRef>
                      </c:ext>
                    </c:extLst>
                    <c:numCache>
                      <c:formatCode>General</c:formatCode>
                      <c:ptCount val="5"/>
                    </c:numCache>
                  </c:numRef>
                </c:val>
                <c:extLst>
                  <c:ext xmlns:c16="http://schemas.microsoft.com/office/drawing/2014/chart" uri="{C3380CC4-5D6E-409C-BE32-E72D297353CC}">
                    <c16:uniqueId val="{00000006-A7EB-4778-83AF-07B762FEA2C7}"/>
                  </c:ext>
                </c:extLst>
              </c15:ser>
            </c15:filteredAreaSeries>
          </c:ext>
        </c:extLst>
      </c:areaChart>
      <c:catAx>
        <c:axId val="16703051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70296879"/>
        <c:crosses val="autoZero"/>
        <c:auto val="1"/>
        <c:lblAlgn val="ctr"/>
        <c:lblOffset val="100"/>
        <c:noMultiLvlLbl val="0"/>
      </c:catAx>
      <c:valAx>
        <c:axId val="1670296879"/>
        <c:scaling>
          <c:orientation val="minMax"/>
          <c:max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layout>
            <c:manualLayout>
              <c:xMode val="edge"/>
              <c:yMode val="edge"/>
              <c:x val="3.5433070866141593E-4"/>
              <c:y val="0.234497174593063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70305199"/>
        <c:crosses val="autoZero"/>
        <c:crossBetween val="midCat"/>
      </c:valAx>
      <c:spPr>
        <a:noFill/>
        <a:ln>
          <a:noFill/>
        </a:ln>
        <a:effectLst/>
      </c:spPr>
    </c:plotArea>
    <c:legend>
      <c:legendPos val="b"/>
      <c:layout>
        <c:manualLayout>
          <c:xMode val="edge"/>
          <c:yMode val="edge"/>
          <c:x val="0"/>
          <c:y val="0.79108632254301547"/>
          <c:w val="1"/>
          <c:h val="0.208913677456984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Sheet1!$B$30</c:f>
              <c:strCache>
                <c:ptCount val="1"/>
                <c:pt idx="0">
                  <c:v>Agriculture</c:v>
                </c:pt>
              </c:strCache>
            </c:strRef>
          </c:tx>
          <c:spPr>
            <a:solidFill>
              <a:schemeClr val="accent1"/>
            </a:solidFill>
            <a:ln>
              <a:noFill/>
            </a:ln>
            <a:effectLst/>
          </c:spPr>
          <c:cat>
            <c:numRef>
              <c:f>Sheet1!$C$29:$H$29</c:f>
              <c:numCache>
                <c:formatCode>General</c:formatCode>
                <c:ptCount val="6"/>
                <c:pt idx="0">
                  <c:v>2015</c:v>
                </c:pt>
                <c:pt idx="1">
                  <c:v>2016</c:v>
                </c:pt>
                <c:pt idx="2">
                  <c:v>2017</c:v>
                </c:pt>
                <c:pt idx="3">
                  <c:v>2018</c:v>
                </c:pt>
                <c:pt idx="4">
                  <c:v>2019</c:v>
                </c:pt>
                <c:pt idx="5">
                  <c:v>2020</c:v>
                </c:pt>
              </c:numCache>
            </c:numRef>
          </c:cat>
          <c:val>
            <c:numRef>
              <c:f>Sheet1!$C$30:$H$30</c:f>
              <c:numCache>
                <c:formatCode>General</c:formatCode>
                <c:ptCount val="6"/>
                <c:pt idx="0">
                  <c:v>5</c:v>
                </c:pt>
                <c:pt idx="1">
                  <c:v>10</c:v>
                </c:pt>
                <c:pt idx="2">
                  <c:v>2</c:v>
                </c:pt>
                <c:pt idx="3">
                  <c:v>2</c:v>
                </c:pt>
                <c:pt idx="4">
                  <c:v>2</c:v>
                </c:pt>
                <c:pt idx="5">
                  <c:v>16.945799999999998</c:v>
                </c:pt>
              </c:numCache>
            </c:numRef>
          </c:val>
          <c:extLst>
            <c:ext xmlns:c16="http://schemas.microsoft.com/office/drawing/2014/chart" uri="{C3380CC4-5D6E-409C-BE32-E72D297353CC}">
              <c16:uniqueId val="{00000000-01EE-47BD-A023-7C8453033932}"/>
            </c:ext>
          </c:extLst>
        </c:ser>
        <c:ser>
          <c:idx val="1"/>
          <c:order val="1"/>
          <c:tx>
            <c:strRef>
              <c:f>Sheet1!$B$31</c:f>
              <c:strCache>
                <c:ptCount val="1"/>
                <c:pt idx="0">
                  <c:v>Sewage</c:v>
                </c:pt>
              </c:strCache>
            </c:strRef>
          </c:tx>
          <c:spPr>
            <a:solidFill>
              <a:schemeClr val="accent2"/>
            </a:solidFill>
            <a:ln>
              <a:noFill/>
            </a:ln>
            <a:effectLst/>
          </c:spPr>
          <c:cat>
            <c:numRef>
              <c:f>Sheet1!$C$29:$H$29</c:f>
              <c:numCache>
                <c:formatCode>General</c:formatCode>
                <c:ptCount val="6"/>
                <c:pt idx="0">
                  <c:v>2015</c:v>
                </c:pt>
                <c:pt idx="1">
                  <c:v>2016</c:v>
                </c:pt>
                <c:pt idx="2">
                  <c:v>2017</c:v>
                </c:pt>
                <c:pt idx="3">
                  <c:v>2018</c:v>
                </c:pt>
                <c:pt idx="4">
                  <c:v>2019</c:v>
                </c:pt>
                <c:pt idx="5">
                  <c:v>2020</c:v>
                </c:pt>
              </c:numCache>
            </c:numRef>
          </c:cat>
          <c:val>
            <c:numRef>
              <c:f>Sheet1!$C$31:$H$31</c:f>
              <c:numCache>
                <c:formatCode>General</c:formatCode>
                <c:ptCount val="6"/>
                <c:pt idx="0">
                  <c:v>105</c:v>
                </c:pt>
                <c:pt idx="1">
                  <c:v>135</c:v>
                </c:pt>
                <c:pt idx="2">
                  <c:v>138</c:v>
                </c:pt>
                <c:pt idx="3">
                  <c:v>138</c:v>
                </c:pt>
                <c:pt idx="4">
                  <c:v>138</c:v>
                </c:pt>
                <c:pt idx="5">
                  <c:v>239.1858</c:v>
                </c:pt>
              </c:numCache>
            </c:numRef>
          </c:val>
          <c:extLst>
            <c:ext xmlns:c16="http://schemas.microsoft.com/office/drawing/2014/chart" uri="{C3380CC4-5D6E-409C-BE32-E72D297353CC}">
              <c16:uniqueId val="{00000001-01EE-47BD-A023-7C8453033932}"/>
            </c:ext>
          </c:extLst>
        </c:ser>
        <c:ser>
          <c:idx val="2"/>
          <c:order val="2"/>
          <c:tx>
            <c:strRef>
              <c:f>Sheet1!$B$32</c:f>
              <c:strCache>
                <c:ptCount val="1"/>
                <c:pt idx="0">
                  <c:v>Landfill</c:v>
                </c:pt>
              </c:strCache>
            </c:strRef>
          </c:tx>
          <c:spPr>
            <a:solidFill>
              <a:schemeClr val="accent3"/>
            </a:solidFill>
            <a:ln>
              <a:noFill/>
            </a:ln>
            <a:effectLst/>
          </c:spPr>
          <c:cat>
            <c:numRef>
              <c:f>Sheet1!$C$29:$H$29</c:f>
              <c:numCache>
                <c:formatCode>General</c:formatCode>
                <c:ptCount val="6"/>
                <c:pt idx="0">
                  <c:v>2015</c:v>
                </c:pt>
                <c:pt idx="1">
                  <c:v>2016</c:v>
                </c:pt>
                <c:pt idx="2">
                  <c:v>2017</c:v>
                </c:pt>
                <c:pt idx="3">
                  <c:v>2018</c:v>
                </c:pt>
                <c:pt idx="4">
                  <c:v>2019</c:v>
                </c:pt>
                <c:pt idx="5">
                  <c:v>2020</c:v>
                </c:pt>
              </c:numCache>
            </c:numRef>
          </c:cat>
          <c:val>
            <c:numRef>
              <c:f>Sheet1!$C$32:$H$32</c:f>
              <c:numCache>
                <c:formatCode>General</c:formatCode>
                <c:ptCount val="6"/>
                <c:pt idx="0">
                  <c:v>230</c:v>
                </c:pt>
                <c:pt idx="1">
                  <c:v>200</c:v>
                </c:pt>
                <c:pt idx="2">
                  <c:v>180</c:v>
                </c:pt>
                <c:pt idx="3">
                  <c:v>180</c:v>
                </c:pt>
                <c:pt idx="4">
                  <c:v>180</c:v>
                </c:pt>
                <c:pt idx="5">
                  <c:v>190.01519999999999</c:v>
                </c:pt>
              </c:numCache>
            </c:numRef>
          </c:val>
          <c:extLst>
            <c:ext xmlns:c16="http://schemas.microsoft.com/office/drawing/2014/chart" uri="{C3380CC4-5D6E-409C-BE32-E72D297353CC}">
              <c16:uniqueId val="{00000002-01EE-47BD-A023-7C8453033932}"/>
            </c:ext>
          </c:extLst>
        </c:ser>
        <c:ser>
          <c:idx val="3"/>
          <c:order val="3"/>
          <c:tx>
            <c:strRef>
              <c:f>Sheet1!$B$33</c:f>
              <c:strCache>
                <c:ptCount val="1"/>
                <c:pt idx="0">
                  <c:v>Others</c:v>
                </c:pt>
              </c:strCache>
            </c:strRef>
          </c:tx>
          <c:spPr>
            <a:solidFill>
              <a:schemeClr val="accent4"/>
            </a:solidFill>
            <a:ln>
              <a:noFill/>
            </a:ln>
            <a:effectLst/>
          </c:spPr>
          <c:cat>
            <c:numRef>
              <c:f>Sheet1!$C$29:$H$29</c:f>
              <c:numCache>
                <c:formatCode>General</c:formatCode>
                <c:ptCount val="6"/>
                <c:pt idx="0">
                  <c:v>2015</c:v>
                </c:pt>
                <c:pt idx="1">
                  <c:v>2016</c:v>
                </c:pt>
                <c:pt idx="2">
                  <c:v>2017</c:v>
                </c:pt>
                <c:pt idx="3">
                  <c:v>2018</c:v>
                </c:pt>
                <c:pt idx="4">
                  <c:v>2019</c:v>
                </c:pt>
                <c:pt idx="5">
                  <c:v>2020</c:v>
                </c:pt>
              </c:numCache>
            </c:numRef>
          </c:cat>
          <c:val>
            <c:numRef>
              <c:f>Sheet1!$C$33:$H$33</c:f>
              <c:numCache>
                <c:formatCode>General</c:formatCode>
                <c:ptCount val="6"/>
                <c:pt idx="0">
                  <c:v>78</c:v>
                </c:pt>
                <c:pt idx="1">
                  <c:v>94</c:v>
                </c:pt>
                <c:pt idx="2">
                  <c:v>154</c:v>
                </c:pt>
                <c:pt idx="3">
                  <c:v>154</c:v>
                </c:pt>
                <c:pt idx="4">
                  <c:v>154</c:v>
                </c:pt>
                <c:pt idx="5">
                  <c:v>430.31219999999996</c:v>
                </c:pt>
              </c:numCache>
            </c:numRef>
          </c:val>
          <c:extLst>
            <c:ext xmlns:c16="http://schemas.microsoft.com/office/drawing/2014/chart" uri="{C3380CC4-5D6E-409C-BE32-E72D297353CC}">
              <c16:uniqueId val="{00000003-01EE-47BD-A023-7C8453033932}"/>
            </c:ext>
          </c:extLst>
        </c:ser>
        <c:dLbls>
          <c:showLegendKey val="0"/>
          <c:showVal val="0"/>
          <c:showCatName val="0"/>
          <c:showSerName val="0"/>
          <c:showPercent val="0"/>
          <c:showBubbleSize val="0"/>
        </c:dLbls>
        <c:axId val="1201293359"/>
        <c:axId val="1201293775"/>
      </c:areaChart>
      <c:catAx>
        <c:axId val="120129335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01293775"/>
        <c:crosses val="autoZero"/>
        <c:auto val="1"/>
        <c:lblAlgn val="ctr"/>
        <c:lblOffset val="100"/>
        <c:noMultiLvlLbl val="0"/>
      </c:catAx>
      <c:valAx>
        <c:axId val="1201293775"/>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20129335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zero"/>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'Production and Consumption'!$B$52</c:f>
              <c:strCache>
                <c:ptCount val="1"/>
                <c:pt idx="0">
                  <c:v>Hydrogen production</c:v>
                </c:pt>
              </c:strCache>
            </c:strRef>
          </c:tx>
          <c:spPr>
            <a:ln w="28575" cap="rnd">
              <a:solidFill>
                <a:schemeClr val="accent1"/>
              </a:solidFill>
              <a:round/>
            </a:ln>
            <a:effectLst/>
          </c:spPr>
          <c:marker>
            <c:symbol val="none"/>
          </c:marker>
          <c:cat>
            <c:numRef>
              <c:f>'Production and Consumption'!$A$53:$A$58</c:f>
              <c:numCache>
                <c:formatCode>General</c:formatCode>
                <c:ptCount val="6"/>
                <c:pt idx="0">
                  <c:v>2015</c:v>
                </c:pt>
                <c:pt idx="1">
                  <c:v>2016</c:v>
                </c:pt>
                <c:pt idx="2">
                  <c:v>2017</c:v>
                </c:pt>
                <c:pt idx="3">
                  <c:v>2018</c:v>
                </c:pt>
                <c:pt idx="4">
                  <c:v>2019</c:v>
                </c:pt>
                <c:pt idx="5">
                  <c:v>2020</c:v>
                </c:pt>
              </c:numCache>
            </c:numRef>
          </c:cat>
          <c:val>
            <c:numRef>
              <c:f>'Production and Consumption'!$B$53:$B$58</c:f>
              <c:numCache>
                <c:formatCode>#,##0</c:formatCode>
                <c:ptCount val="6"/>
                <c:pt idx="0">
                  <c:v>2475</c:v>
                </c:pt>
                <c:pt idx="1">
                  <c:v>2936</c:v>
                </c:pt>
                <c:pt idx="2">
                  <c:v>3378</c:v>
                </c:pt>
                <c:pt idx="3">
                  <c:v>3117</c:v>
                </c:pt>
                <c:pt idx="4">
                  <c:v>3368</c:v>
                </c:pt>
                <c:pt idx="5">
                  <c:v>2984</c:v>
                </c:pt>
              </c:numCache>
            </c:numRef>
          </c:val>
          <c:smooth val="0"/>
          <c:extLst>
            <c:ext xmlns:c16="http://schemas.microsoft.com/office/drawing/2014/chart" uri="{C3380CC4-5D6E-409C-BE32-E72D297353CC}">
              <c16:uniqueId val="{00000000-D51A-400E-BEE8-61EEA5DEA425}"/>
            </c:ext>
          </c:extLst>
        </c:ser>
        <c:dLbls>
          <c:showLegendKey val="0"/>
          <c:showVal val="0"/>
          <c:showCatName val="0"/>
          <c:showSerName val="0"/>
          <c:showPercent val="0"/>
          <c:showBubbleSize val="0"/>
        </c:dLbls>
        <c:smooth val="0"/>
        <c:axId val="1493901759"/>
        <c:axId val="1493899263"/>
      </c:lineChart>
      <c:catAx>
        <c:axId val="149390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93899263"/>
        <c:crosses val="autoZero"/>
        <c:auto val="1"/>
        <c:lblAlgn val="ctr"/>
        <c:lblOffset val="100"/>
        <c:noMultiLvlLbl val="0"/>
      </c:catAx>
      <c:valAx>
        <c:axId val="1493899263"/>
        <c:scaling>
          <c:orientation val="minMax"/>
          <c:max val="4000"/>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4939017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 Consumption '!$J$35</c:f>
              <c:strCache>
                <c:ptCount val="1"/>
                <c:pt idx="0">
                  <c:v>Estonia </c:v>
                </c:pt>
              </c:strCache>
            </c:strRef>
          </c:tx>
          <c:spPr>
            <a:solidFill>
              <a:schemeClr val="accent1"/>
            </a:solidFill>
            <a:ln>
              <a:noFill/>
            </a:ln>
            <a:effectLst/>
          </c:spPr>
          <c:invertIfNegative val="0"/>
          <c:cat>
            <c:numRef>
              <c:f>'Gas Consumption '!$K$34:$Q$34</c:f>
              <c:numCache>
                <c:formatCode>General</c:formatCode>
                <c:ptCount val="7"/>
                <c:pt idx="0">
                  <c:v>2015</c:v>
                </c:pt>
                <c:pt idx="1">
                  <c:v>2016</c:v>
                </c:pt>
                <c:pt idx="2">
                  <c:v>2017</c:v>
                </c:pt>
                <c:pt idx="3">
                  <c:v>2018</c:v>
                </c:pt>
                <c:pt idx="4">
                  <c:v>2019</c:v>
                </c:pt>
                <c:pt idx="5">
                  <c:v>2020</c:v>
                </c:pt>
                <c:pt idx="6">
                  <c:v>2021</c:v>
                </c:pt>
              </c:numCache>
            </c:numRef>
          </c:cat>
          <c:val>
            <c:numRef>
              <c:f>'Gas Consumption '!$K$35:$Q$35</c:f>
              <c:numCache>
                <c:formatCode>General</c:formatCode>
                <c:ptCount val="7"/>
                <c:pt idx="0">
                  <c:v>113</c:v>
                </c:pt>
                <c:pt idx="1">
                  <c:v>113</c:v>
                </c:pt>
                <c:pt idx="2">
                  <c:v>110</c:v>
                </c:pt>
                <c:pt idx="3">
                  <c:v>98</c:v>
                </c:pt>
                <c:pt idx="4">
                  <c:v>100</c:v>
                </c:pt>
                <c:pt idx="5">
                  <c:v>100</c:v>
                </c:pt>
                <c:pt idx="6">
                  <c:v>100</c:v>
                </c:pt>
              </c:numCache>
            </c:numRef>
          </c:val>
          <c:extLst>
            <c:ext xmlns:c16="http://schemas.microsoft.com/office/drawing/2014/chart" uri="{C3380CC4-5D6E-409C-BE32-E72D297353CC}">
              <c16:uniqueId val="{00000000-11B1-4A10-A506-B69E82C6B459}"/>
            </c:ext>
          </c:extLst>
        </c:ser>
        <c:ser>
          <c:idx val="1"/>
          <c:order val="1"/>
          <c:tx>
            <c:strRef>
              <c:f>'Gas Consumption '!$J$36</c:f>
              <c:strCache>
                <c:ptCount val="1"/>
                <c:pt idx="0">
                  <c:v>Latvia</c:v>
                </c:pt>
              </c:strCache>
            </c:strRef>
          </c:tx>
          <c:spPr>
            <a:solidFill>
              <a:schemeClr val="accent2"/>
            </a:solidFill>
            <a:ln>
              <a:noFill/>
            </a:ln>
            <a:effectLst/>
          </c:spPr>
          <c:invertIfNegative val="0"/>
          <c:cat>
            <c:numRef>
              <c:f>'Gas Consumption '!$K$34:$Q$34</c:f>
              <c:numCache>
                <c:formatCode>General</c:formatCode>
                <c:ptCount val="7"/>
                <c:pt idx="0">
                  <c:v>2015</c:v>
                </c:pt>
                <c:pt idx="1">
                  <c:v>2016</c:v>
                </c:pt>
                <c:pt idx="2">
                  <c:v>2017</c:v>
                </c:pt>
                <c:pt idx="3">
                  <c:v>2018</c:v>
                </c:pt>
                <c:pt idx="4">
                  <c:v>2019</c:v>
                </c:pt>
                <c:pt idx="5">
                  <c:v>2020</c:v>
                </c:pt>
                <c:pt idx="6">
                  <c:v>2021</c:v>
                </c:pt>
              </c:numCache>
            </c:numRef>
          </c:cat>
          <c:val>
            <c:numRef>
              <c:f>'Gas Consumption '!$K$36:$Q$36</c:f>
              <c:numCache>
                <c:formatCode>General</c:formatCode>
                <c:ptCount val="7"/>
                <c:pt idx="0">
                  <c:v>986</c:v>
                </c:pt>
                <c:pt idx="1">
                  <c:v>995</c:v>
                </c:pt>
                <c:pt idx="2">
                  <c:v>1014</c:v>
                </c:pt>
                <c:pt idx="3">
                  <c:v>916</c:v>
                </c:pt>
                <c:pt idx="4">
                  <c:v>916</c:v>
                </c:pt>
                <c:pt idx="5">
                  <c:v>465</c:v>
                </c:pt>
                <c:pt idx="6">
                  <c:v>465</c:v>
                </c:pt>
              </c:numCache>
            </c:numRef>
          </c:val>
          <c:extLst>
            <c:ext xmlns:c16="http://schemas.microsoft.com/office/drawing/2014/chart" uri="{C3380CC4-5D6E-409C-BE32-E72D297353CC}">
              <c16:uniqueId val="{00000001-11B1-4A10-A506-B69E82C6B459}"/>
            </c:ext>
          </c:extLst>
        </c:ser>
        <c:ser>
          <c:idx val="2"/>
          <c:order val="2"/>
          <c:tx>
            <c:strRef>
              <c:f>'Gas Consumption '!$J$37</c:f>
              <c:strCache>
                <c:ptCount val="1"/>
                <c:pt idx="0">
                  <c:v>Finland</c:v>
                </c:pt>
              </c:strCache>
            </c:strRef>
          </c:tx>
          <c:spPr>
            <a:solidFill>
              <a:schemeClr val="accent3"/>
            </a:solidFill>
            <a:ln>
              <a:noFill/>
            </a:ln>
            <a:effectLst/>
          </c:spPr>
          <c:invertIfNegative val="0"/>
          <c:cat>
            <c:numRef>
              <c:f>'Gas Consumption '!$K$34:$Q$34</c:f>
              <c:numCache>
                <c:formatCode>General</c:formatCode>
                <c:ptCount val="7"/>
                <c:pt idx="0">
                  <c:v>2015</c:v>
                </c:pt>
                <c:pt idx="1">
                  <c:v>2016</c:v>
                </c:pt>
                <c:pt idx="2">
                  <c:v>2017</c:v>
                </c:pt>
                <c:pt idx="3">
                  <c:v>2018</c:v>
                </c:pt>
                <c:pt idx="4">
                  <c:v>2019</c:v>
                </c:pt>
                <c:pt idx="5">
                  <c:v>2020</c:v>
                </c:pt>
                <c:pt idx="6">
                  <c:v>2021</c:v>
                </c:pt>
              </c:numCache>
            </c:numRef>
          </c:cat>
          <c:val>
            <c:numRef>
              <c:f>'Gas Consumption '!$K$37:$Q$37</c:f>
              <c:numCache>
                <c:formatCode>General</c:formatCode>
                <c:ptCount val="7"/>
                <c:pt idx="0">
                  <c:v>418</c:v>
                </c:pt>
                <c:pt idx="1">
                  <c:v>439</c:v>
                </c:pt>
                <c:pt idx="2">
                  <c:v>474</c:v>
                </c:pt>
                <c:pt idx="3">
                  <c:v>474</c:v>
                </c:pt>
                <c:pt idx="4">
                  <c:v>474</c:v>
                </c:pt>
                <c:pt idx="5">
                  <c:v>876.45899999999995</c:v>
                </c:pt>
                <c:pt idx="6">
                  <c:v>876.45899999999995</c:v>
                </c:pt>
              </c:numCache>
            </c:numRef>
          </c:val>
          <c:extLst>
            <c:ext xmlns:c16="http://schemas.microsoft.com/office/drawing/2014/chart" uri="{C3380CC4-5D6E-409C-BE32-E72D297353CC}">
              <c16:uniqueId val="{00000002-11B1-4A10-A506-B69E82C6B459}"/>
            </c:ext>
          </c:extLst>
        </c:ser>
        <c:ser>
          <c:idx val="3"/>
          <c:order val="3"/>
          <c:tx>
            <c:strRef>
              <c:f>'Gas Consumption '!$J$38</c:f>
              <c:strCache>
                <c:ptCount val="1"/>
                <c:pt idx="0">
                  <c:v>Lithuania</c:v>
                </c:pt>
              </c:strCache>
            </c:strRef>
          </c:tx>
          <c:spPr>
            <a:solidFill>
              <a:schemeClr val="accent4"/>
            </a:solidFill>
            <a:ln>
              <a:noFill/>
            </a:ln>
            <a:effectLst/>
          </c:spPr>
          <c:invertIfNegative val="0"/>
          <c:cat>
            <c:numRef>
              <c:f>'Gas Consumption '!$K$34:$Q$34</c:f>
              <c:numCache>
                <c:formatCode>General</c:formatCode>
                <c:ptCount val="7"/>
                <c:pt idx="0">
                  <c:v>2015</c:v>
                </c:pt>
                <c:pt idx="1">
                  <c:v>2016</c:v>
                </c:pt>
                <c:pt idx="2">
                  <c:v>2017</c:v>
                </c:pt>
                <c:pt idx="3">
                  <c:v>2018</c:v>
                </c:pt>
                <c:pt idx="4">
                  <c:v>2019</c:v>
                </c:pt>
                <c:pt idx="5">
                  <c:v>2020</c:v>
                </c:pt>
                <c:pt idx="6">
                  <c:v>2021</c:v>
                </c:pt>
              </c:numCache>
            </c:numRef>
          </c:cat>
          <c:val>
            <c:numRef>
              <c:f>'Gas Consumption '!$K$38:$Q$38</c:f>
              <c:numCache>
                <c:formatCode>General</c:formatCode>
                <c:ptCount val="7"/>
                <c:pt idx="4">
                  <c:v>390</c:v>
                </c:pt>
                <c:pt idx="5">
                  <c:v>390</c:v>
                </c:pt>
                <c:pt idx="6">
                  <c:v>390</c:v>
                </c:pt>
              </c:numCache>
            </c:numRef>
          </c:val>
          <c:extLst>
            <c:ext xmlns:c16="http://schemas.microsoft.com/office/drawing/2014/chart" uri="{C3380CC4-5D6E-409C-BE32-E72D297353CC}">
              <c16:uniqueId val="{00000003-11B1-4A10-A506-B69E82C6B459}"/>
            </c:ext>
          </c:extLst>
        </c:ser>
        <c:dLbls>
          <c:showLegendKey val="0"/>
          <c:showVal val="0"/>
          <c:showCatName val="0"/>
          <c:showSerName val="0"/>
          <c:showPercent val="0"/>
          <c:showBubbleSize val="0"/>
        </c:dLbls>
        <c:gapWidth val="219"/>
        <c:overlap val="-27"/>
        <c:axId val="652429552"/>
        <c:axId val="652434128"/>
      </c:barChart>
      <c:catAx>
        <c:axId val="6524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52434128"/>
        <c:crosses val="autoZero"/>
        <c:auto val="1"/>
        <c:lblAlgn val="ctr"/>
        <c:lblOffset val="100"/>
        <c:noMultiLvlLbl val="0"/>
      </c:catAx>
      <c:valAx>
        <c:axId val="652434128"/>
        <c:scaling>
          <c:orientation val="minMax"/>
          <c:max val="1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GWh/a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52429552"/>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0.19959</cdr:x>
      <cdr:y>0.08102</cdr:y>
    </cdr:from>
    <cdr:to>
      <cdr:x>0.92873</cdr:x>
      <cdr:y>0.14938</cdr:y>
    </cdr:to>
    <cdr:sp macro="" textlink="">
      <cdr:nvSpPr>
        <cdr:cNvPr id="1588217668" name="Rectangle: Rounded Corners 1"/>
        <cdr:cNvSpPr/>
      </cdr:nvSpPr>
      <cdr:spPr>
        <a:xfrm xmlns:a="http://schemas.openxmlformats.org/drawingml/2006/main">
          <a:off x="880207" y="185983"/>
          <a:ext cx="3215543" cy="156917"/>
        </a:xfrm>
        <a:prstGeom xmlns:a="http://schemas.openxmlformats.org/drawingml/2006/main" prst="roundRect">
          <a:avLst/>
        </a:prstGeom>
        <a:solidFill xmlns:a="http://schemas.openxmlformats.org/drawingml/2006/main">
          <a:schemeClr val="bg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b="1">
              <a:solidFill>
                <a:schemeClr val="tx1"/>
              </a:solidFill>
              <a:latin typeface="Trebuchet MS" panose="020B0603020202020204" pitchFamily="34" charset="0"/>
            </a:rPr>
            <a:t>Assumed renewable electricity potential Estonia: 26.4 TWh/yr</a:t>
          </a:r>
        </a:p>
      </cdr:txBody>
    </cdr:sp>
  </cdr:relSizeAnchor>
</c:userShapes>
</file>

<file path=word/drawings/drawing2.xml><?xml version="1.0" encoding="utf-8"?>
<c:userShapes xmlns:c="http://schemas.openxmlformats.org/drawingml/2006/chart">
  <cdr:relSizeAnchor xmlns:cdr="http://schemas.openxmlformats.org/drawingml/2006/chartDrawing">
    <cdr:from>
      <cdr:x>0.19722</cdr:x>
      <cdr:y>0.11342</cdr:y>
    </cdr:from>
    <cdr:to>
      <cdr:x>0.92708</cdr:x>
      <cdr:y>0.1875</cdr:y>
    </cdr:to>
    <cdr:sp macro="" textlink="">
      <cdr:nvSpPr>
        <cdr:cNvPr id="268168930" name="Rectangle: Rounded Corners 1"/>
        <cdr:cNvSpPr/>
      </cdr:nvSpPr>
      <cdr:spPr>
        <a:xfrm xmlns:a="http://schemas.openxmlformats.org/drawingml/2006/main">
          <a:off x="901690" y="311147"/>
          <a:ext cx="3336935" cy="203203"/>
        </a:xfrm>
        <a:prstGeom xmlns:a="http://schemas.openxmlformats.org/drawingml/2006/main" prst="roundRect">
          <a:avLst/>
        </a:prstGeom>
        <a:solidFill xmlns:a="http://schemas.openxmlformats.org/drawingml/2006/main">
          <a:schemeClr val="bg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b="1">
              <a:solidFill>
                <a:schemeClr val="tx1"/>
              </a:solidFill>
              <a:latin typeface="Trebuchet MS" panose="020B0603020202020204" pitchFamily="34" charset="0"/>
            </a:rPr>
            <a:t>Assumed renewable electricity potential Latvia: 89.25 TWh/yr</a:t>
          </a:r>
        </a:p>
      </cdr:txBody>
    </cdr:sp>
  </cdr:relSizeAnchor>
</c:userShapes>
</file>

<file path=word/drawings/drawing3.xml><?xml version="1.0" encoding="utf-8"?>
<c:userShapes xmlns:c="http://schemas.openxmlformats.org/drawingml/2006/chart">
  <cdr:relSizeAnchor xmlns:cdr="http://schemas.openxmlformats.org/drawingml/2006/chartDrawing">
    <cdr:from>
      <cdr:x>0.19375</cdr:x>
      <cdr:y>0.05555</cdr:y>
    </cdr:from>
    <cdr:to>
      <cdr:x>0.92361</cdr:x>
      <cdr:y>0.12963</cdr:y>
    </cdr:to>
    <cdr:sp macro="" textlink="">
      <cdr:nvSpPr>
        <cdr:cNvPr id="1482413515" name="Rectangle: Rounded Corners 1"/>
        <cdr:cNvSpPr/>
      </cdr:nvSpPr>
      <cdr:spPr>
        <a:xfrm xmlns:a="http://schemas.openxmlformats.org/drawingml/2006/main">
          <a:off x="885815" y="152397"/>
          <a:ext cx="3336935" cy="203203"/>
        </a:xfrm>
        <a:prstGeom xmlns:a="http://schemas.openxmlformats.org/drawingml/2006/main" prst="roundRect">
          <a:avLst/>
        </a:prstGeom>
        <a:solidFill xmlns:a="http://schemas.openxmlformats.org/drawingml/2006/main">
          <a:schemeClr val="bg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b="1">
              <a:solidFill>
                <a:schemeClr val="tx1"/>
              </a:solidFill>
              <a:latin typeface="Trebuchet MS" panose="020B0603020202020204" pitchFamily="34" charset="0"/>
            </a:rPr>
            <a:t>Assumed renewable electricity potential Lithuania: 121.8 TWh/yr</a:t>
          </a:r>
        </a:p>
      </cdr:txBody>
    </cdr:sp>
  </cdr:relSizeAnchor>
</c:userShapes>
</file>

<file path=word/drawings/drawing4.xml><?xml version="1.0" encoding="utf-8"?>
<c:userShapes xmlns:c="http://schemas.openxmlformats.org/drawingml/2006/chart">
  <cdr:relSizeAnchor xmlns:cdr="http://schemas.openxmlformats.org/drawingml/2006/chartDrawing">
    <cdr:from>
      <cdr:x>0.20486</cdr:x>
      <cdr:y>0.07407</cdr:y>
    </cdr:from>
    <cdr:to>
      <cdr:x>0.93472</cdr:x>
      <cdr:y>0.14815</cdr:y>
    </cdr:to>
    <cdr:sp macro="" textlink="">
      <cdr:nvSpPr>
        <cdr:cNvPr id="1730772129" name="Rectangle: Rounded Corners 1"/>
        <cdr:cNvSpPr/>
      </cdr:nvSpPr>
      <cdr:spPr>
        <a:xfrm xmlns:a="http://schemas.openxmlformats.org/drawingml/2006/main">
          <a:off x="936615" y="203197"/>
          <a:ext cx="3336935" cy="203203"/>
        </a:xfrm>
        <a:prstGeom xmlns:a="http://schemas.openxmlformats.org/drawingml/2006/main" prst="roundRect">
          <a:avLst/>
        </a:prstGeom>
        <a:solidFill xmlns:a="http://schemas.openxmlformats.org/drawingml/2006/main">
          <a:schemeClr val="bg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b="1">
              <a:solidFill>
                <a:schemeClr val="tx1"/>
              </a:solidFill>
              <a:latin typeface="Trebuchet MS" panose="020B0603020202020204" pitchFamily="34" charset="0"/>
            </a:rPr>
            <a:t>Assumed renewable electricity potential Finland: 183.4 TWh/yr</a:t>
          </a:r>
        </a:p>
      </cdr:txBody>
    </cdr:sp>
  </cdr:relSizeAnchor>
</c:userShapes>
</file>

<file path=word/theme/theme1.xml><?xml version="1.0" encoding="utf-8"?>
<a:theme xmlns:a="http://schemas.openxmlformats.org/drawingml/2006/main" name="Office Theme">
  <a:themeElements>
    <a:clrScheme name="Trinomics">
      <a:dk1>
        <a:sysClr val="windowText" lastClr="000000"/>
      </a:dk1>
      <a:lt1>
        <a:srgbClr val="FFFFFF"/>
      </a:lt1>
      <a:dk2>
        <a:srgbClr val="3C5571"/>
      </a:dk2>
      <a:lt2>
        <a:srgbClr val="ECEBE1"/>
      </a:lt2>
      <a:accent1>
        <a:srgbClr val="005962"/>
      </a:accent1>
      <a:accent2>
        <a:srgbClr val="F04E30"/>
      </a:accent2>
      <a:accent3>
        <a:srgbClr val="B2CECD"/>
      </a:accent3>
      <a:accent4>
        <a:srgbClr val="FFE3A6"/>
      </a:accent4>
      <a:accent5>
        <a:srgbClr val="002C54"/>
      </a:accent5>
      <a:accent6>
        <a:srgbClr val="ECEBE1"/>
      </a:accent6>
      <a:hlink>
        <a:srgbClr val="00604F"/>
      </a:hlink>
      <a:folHlink>
        <a:srgbClr val="EF4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5b506d0-762b-47aa-adb6-8b80fc2be8cf">
      <UserInfo>
        <DisplayName>Gowtham Muthukumaran</DisplayName>
        <AccountId>73</AccountId>
        <AccountType/>
      </UserInfo>
      <UserInfo>
        <DisplayName>Tayyab Ehsan Butt</DisplayName>
        <AccountId>57</AccountId>
        <AccountType/>
      </UserInfo>
      <UserInfo>
        <DisplayName>Javad Keypour</DisplayName>
        <AccountId>109</AccountId>
        <AccountType/>
      </UserInfo>
    </SharedWithUsers>
    <Version0 xmlns="14cfccfe-d05c-4ace-ac9c-889a36918eb7" xsi:nil="true"/>
    <Member xmlns="14cfccfe-d05c-4ace-ac9c-889a36918eb7">
      <UserInfo>
        <DisplayName/>
        <AccountId xsi:nil="true"/>
        <AccountType/>
      </UserInfo>
    </Member>
    <TaxCatchAll xmlns="25b506d0-762b-47aa-adb6-8b80fc2be8cf" xsi:nil="true"/>
    <lcf76f155ced4ddcb4097134ff3c332f xmlns="14cfccfe-d05c-4ace-ac9c-889a36918eb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7D3B914211DA4690539851AF11284A" ma:contentTypeVersion="23" ma:contentTypeDescription="Create a new document." ma:contentTypeScope="" ma:versionID="2feae5c6b6578a6501b424cf80bd1763">
  <xsd:schema xmlns:xsd="http://www.w3.org/2001/XMLSchema" xmlns:xs="http://www.w3.org/2001/XMLSchema" xmlns:p="http://schemas.microsoft.com/office/2006/metadata/properties" xmlns:ns2="25b506d0-762b-47aa-adb6-8b80fc2be8cf" xmlns:ns3="14cfccfe-d05c-4ace-ac9c-889a36918eb7" targetNamespace="http://schemas.microsoft.com/office/2006/metadata/properties" ma:root="true" ma:fieldsID="fd25caefd1d4592b2b298cb17fbed024" ns2:_="" ns3:_="">
    <xsd:import namespace="25b506d0-762b-47aa-adb6-8b80fc2be8cf"/>
    <xsd:import namespace="14cfccfe-d05c-4ace-ac9c-889a36918eb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Version0" minOccurs="0"/>
                <xsd:element ref="ns3:Version_x003a_Version" minOccurs="0"/>
                <xsd:element ref="ns3:Member"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506d0-762b-47aa-adb6-8b80fc2be8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8" nillable="true" ma:displayName="Taxonomy Catch All Column" ma:hidden="true" ma:list="{3a94f2be-4462-4e83-94ac-4018202ecbfa}" ma:internalName="TaxCatchAll" ma:showField="CatchAllData" ma:web="25b506d0-762b-47aa-adb6-8b80fc2be8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cfccfe-d05c-4ace-ac9c-889a36918eb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Version0" ma:index="22" nillable="true" ma:displayName="Version" ma:list="{727145e8-1f71-402e-9ff5-87f3840ee372}" ma:internalName="Version0" ma:showField="Title">
      <xsd:simpleType>
        <xsd:restriction base="dms:Lookup"/>
      </xsd:simpleType>
    </xsd:element>
    <xsd:element name="Version_x003a_Version" ma:index="23" nillable="true" ma:displayName="Version:Version" ma:list="{727145e8-1f71-402e-9ff5-87f3840ee372}" ma:internalName="Version_x003a_Version" ma:readOnly="true" ma:showField="_UIVersionString" ma:web="25b506d0-762b-47aa-adb6-8b80fc2be8cf">
      <xsd:simpleType>
        <xsd:restriction base="dms:Lookup"/>
      </xsd:simpleType>
    </xsd:element>
    <xsd:element name="Member" ma:index="24" nillable="true" ma:displayName="Member" ma:format="Dropdown" ma:list="UserInfo" ma:SharePointGroup="0" ma:internalName="Memb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d4702b5-1689-4512-8d10-07ea09318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AE5FB1-C31F-417D-A155-86E7B903DF01}">
  <ds:schemaRefs>
    <ds:schemaRef ds:uri="http://purl.org/dc/terms/"/>
    <ds:schemaRef ds:uri="e08fa773-5d6d-4244-aabf-7f96723cba25"/>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infopath/2007/PartnerControls"/>
    <ds:schemaRef ds:uri="f8eea61b-0d45-4c25-8488-2b3e0f09d2c9"/>
    <ds:schemaRef ds:uri="http://purl.org/dc/elements/1.1/"/>
    <ds:schemaRef ds:uri="25b506d0-762b-47aa-adb6-8b80fc2be8cf"/>
    <ds:schemaRef ds:uri="14cfccfe-d05c-4ace-ac9c-889a36918eb7"/>
  </ds:schemaRefs>
</ds:datastoreItem>
</file>

<file path=customXml/itemProps2.xml><?xml version="1.0" encoding="utf-8"?>
<ds:datastoreItem xmlns:ds="http://schemas.openxmlformats.org/officeDocument/2006/customXml" ds:itemID="{0CE2325A-ADCF-4944-8A6A-0E277955C4F6}">
  <ds:schemaRefs>
    <ds:schemaRef ds:uri="http://schemas.microsoft.com/sharepoint/v3/contenttype/forms"/>
  </ds:schemaRefs>
</ds:datastoreItem>
</file>

<file path=customXml/itemProps3.xml><?xml version="1.0" encoding="utf-8"?>
<ds:datastoreItem xmlns:ds="http://schemas.openxmlformats.org/officeDocument/2006/customXml" ds:itemID="{4C468AC5-32A7-4F55-A782-ADEEC30EBF09}">
  <ds:schemaRefs>
    <ds:schemaRef ds:uri="http://schemas.openxmlformats.org/officeDocument/2006/bibliography"/>
  </ds:schemaRefs>
</ds:datastoreItem>
</file>

<file path=customXml/itemProps4.xml><?xml version="1.0" encoding="utf-8"?>
<ds:datastoreItem xmlns:ds="http://schemas.openxmlformats.org/officeDocument/2006/customXml" ds:itemID="{835C591A-A17F-4ABA-9D00-B6B21056C708}"/>
</file>

<file path=docProps/app.xml><?xml version="1.0" encoding="utf-8"?>
<Properties xmlns="http://schemas.openxmlformats.org/officeDocument/2006/extended-properties" xmlns:vt="http://schemas.openxmlformats.org/officeDocument/2006/docPropsVTypes">
  <Template>Word</Template>
  <TotalTime>1</TotalTime>
  <Pages>49</Pages>
  <Words>17254</Words>
  <Characters>94900</Characters>
  <Application>Microsoft Office Word</Application>
  <DocSecurity>0</DocSecurity>
  <Lines>790</Lines>
  <Paragraphs>223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111931</CharactersWithSpaces>
  <SharedDoc>false</SharedDoc>
  <HLinks>
    <vt:vector size="360" baseType="variant">
      <vt:variant>
        <vt:i4>1114168</vt:i4>
      </vt:variant>
      <vt:variant>
        <vt:i4>110</vt:i4>
      </vt:variant>
      <vt:variant>
        <vt:i4>0</vt:i4>
      </vt:variant>
      <vt:variant>
        <vt:i4>5</vt:i4>
      </vt:variant>
      <vt:variant>
        <vt:lpwstr/>
      </vt:variant>
      <vt:variant>
        <vt:lpwstr>_Toc113628893</vt:lpwstr>
      </vt:variant>
      <vt:variant>
        <vt:i4>1114168</vt:i4>
      </vt:variant>
      <vt:variant>
        <vt:i4>104</vt:i4>
      </vt:variant>
      <vt:variant>
        <vt:i4>0</vt:i4>
      </vt:variant>
      <vt:variant>
        <vt:i4>5</vt:i4>
      </vt:variant>
      <vt:variant>
        <vt:lpwstr/>
      </vt:variant>
      <vt:variant>
        <vt:lpwstr>_Toc113628892</vt:lpwstr>
      </vt:variant>
      <vt:variant>
        <vt:i4>1114168</vt:i4>
      </vt:variant>
      <vt:variant>
        <vt:i4>98</vt:i4>
      </vt:variant>
      <vt:variant>
        <vt:i4>0</vt:i4>
      </vt:variant>
      <vt:variant>
        <vt:i4>5</vt:i4>
      </vt:variant>
      <vt:variant>
        <vt:lpwstr/>
      </vt:variant>
      <vt:variant>
        <vt:lpwstr>_Toc113628891</vt:lpwstr>
      </vt:variant>
      <vt:variant>
        <vt:i4>1114168</vt:i4>
      </vt:variant>
      <vt:variant>
        <vt:i4>92</vt:i4>
      </vt:variant>
      <vt:variant>
        <vt:i4>0</vt:i4>
      </vt:variant>
      <vt:variant>
        <vt:i4>5</vt:i4>
      </vt:variant>
      <vt:variant>
        <vt:lpwstr/>
      </vt:variant>
      <vt:variant>
        <vt:lpwstr>_Toc113628890</vt:lpwstr>
      </vt:variant>
      <vt:variant>
        <vt:i4>1048632</vt:i4>
      </vt:variant>
      <vt:variant>
        <vt:i4>86</vt:i4>
      </vt:variant>
      <vt:variant>
        <vt:i4>0</vt:i4>
      </vt:variant>
      <vt:variant>
        <vt:i4>5</vt:i4>
      </vt:variant>
      <vt:variant>
        <vt:lpwstr/>
      </vt:variant>
      <vt:variant>
        <vt:lpwstr>_Toc113628889</vt:lpwstr>
      </vt:variant>
      <vt:variant>
        <vt:i4>1048632</vt:i4>
      </vt:variant>
      <vt:variant>
        <vt:i4>80</vt:i4>
      </vt:variant>
      <vt:variant>
        <vt:i4>0</vt:i4>
      </vt:variant>
      <vt:variant>
        <vt:i4>5</vt:i4>
      </vt:variant>
      <vt:variant>
        <vt:lpwstr/>
      </vt:variant>
      <vt:variant>
        <vt:lpwstr>_Toc113628888</vt:lpwstr>
      </vt:variant>
      <vt:variant>
        <vt:i4>1048632</vt:i4>
      </vt:variant>
      <vt:variant>
        <vt:i4>74</vt:i4>
      </vt:variant>
      <vt:variant>
        <vt:i4>0</vt:i4>
      </vt:variant>
      <vt:variant>
        <vt:i4>5</vt:i4>
      </vt:variant>
      <vt:variant>
        <vt:lpwstr/>
      </vt:variant>
      <vt:variant>
        <vt:lpwstr>_Toc113628887</vt:lpwstr>
      </vt:variant>
      <vt:variant>
        <vt:i4>1048632</vt:i4>
      </vt:variant>
      <vt:variant>
        <vt:i4>68</vt:i4>
      </vt:variant>
      <vt:variant>
        <vt:i4>0</vt:i4>
      </vt:variant>
      <vt:variant>
        <vt:i4>5</vt:i4>
      </vt:variant>
      <vt:variant>
        <vt:lpwstr/>
      </vt:variant>
      <vt:variant>
        <vt:lpwstr>_Toc113628886</vt:lpwstr>
      </vt:variant>
      <vt:variant>
        <vt:i4>1048632</vt:i4>
      </vt:variant>
      <vt:variant>
        <vt:i4>62</vt:i4>
      </vt:variant>
      <vt:variant>
        <vt:i4>0</vt:i4>
      </vt:variant>
      <vt:variant>
        <vt:i4>5</vt:i4>
      </vt:variant>
      <vt:variant>
        <vt:lpwstr/>
      </vt:variant>
      <vt:variant>
        <vt:lpwstr>_Toc113628885</vt:lpwstr>
      </vt:variant>
      <vt:variant>
        <vt:i4>1048632</vt:i4>
      </vt:variant>
      <vt:variant>
        <vt:i4>56</vt:i4>
      </vt:variant>
      <vt:variant>
        <vt:i4>0</vt:i4>
      </vt:variant>
      <vt:variant>
        <vt:i4>5</vt:i4>
      </vt:variant>
      <vt:variant>
        <vt:lpwstr/>
      </vt:variant>
      <vt:variant>
        <vt:lpwstr>_Toc113628884</vt:lpwstr>
      </vt:variant>
      <vt:variant>
        <vt:i4>1048632</vt:i4>
      </vt:variant>
      <vt:variant>
        <vt:i4>50</vt:i4>
      </vt:variant>
      <vt:variant>
        <vt:i4>0</vt:i4>
      </vt:variant>
      <vt:variant>
        <vt:i4>5</vt:i4>
      </vt:variant>
      <vt:variant>
        <vt:lpwstr/>
      </vt:variant>
      <vt:variant>
        <vt:lpwstr>_Toc113628883</vt:lpwstr>
      </vt:variant>
      <vt:variant>
        <vt:i4>1048632</vt:i4>
      </vt:variant>
      <vt:variant>
        <vt:i4>44</vt:i4>
      </vt:variant>
      <vt:variant>
        <vt:i4>0</vt:i4>
      </vt:variant>
      <vt:variant>
        <vt:i4>5</vt:i4>
      </vt:variant>
      <vt:variant>
        <vt:lpwstr/>
      </vt:variant>
      <vt:variant>
        <vt:lpwstr>_Toc113628882</vt:lpwstr>
      </vt:variant>
      <vt:variant>
        <vt:i4>1048632</vt:i4>
      </vt:variant>
      <vt:variant>
        <vt:i4>38</vt:i4>
      </vt:variant>
      <vt:variant>
        <vt:i4>0</vt:i4>
      </vt:variant>
      <vt:variant>
        <vt:i4>5</vt:i4>
      </vt:variant>
      <vt:variant>
        <vt:lpwstr/>
      </vt:variant>
      <vt:variant>
        <vt:lpwstr>_Toc113628881</vt:lpwstr>
      </vt:variant>
      <vt:variant>
        <vt:i4>1048632</vt:i4>
      </vt:variant>
      <vt:variant>
        <vt:i4>32</vt:i4>
      </vt:variant>
      <vt:variant>
        <vt:i4>0</vt:i4>
      </vt:variant>
      <vt:variant>
        <vt:i4>5</vt:i4>
      </vt:variant>
      <vt:variant>
        <vt:lpwstr/>
      </vt:variant>
      <vt:variant>
        <vt:lpwstr>_Toc113628880</vt:lpwstr>
      </vt:variant>
      <vt:variant>
        <vt:i4>2031672</vt:i4>
      </vt:variant>
      <vt:variant>
        <vt:i4>26</vt:i4>
      </vt:variant>
      <vt:variant>
        <vt:i4>0</vt:i4>
      </vt:variant>
      <vt:variant>
        <vt:i4>5</vt:i4>
      </vt:variant>
      <vt:variant>
        <vt:lpwstr/>
      </vt:variant>
      <vt:variant>
        <vt:lpwstr>_Toc113628879</vt:lpwstr>
      </vt:variant>
      <vt:variant>
        <vt:i4>2031672</vt:i4>
      </vt:variant>
      <vt:variant>
        <vt:i4>20</vt:i4>
      </vt:variant>
      <vt:variant>
        <vt:i4>0</vt:i4>
      </vt:variant>
      <vt:variant>
        <vt:i4>5</vt:i4>
      </vt:variant>
      <vt:variant>
        <vt:lpwstr/>
      </vt:variant>
      <vt:variant>
        <vt:lpwstr>_Toc113628878</vt:lpwstr>
      </vt:variant>
      <vt:variant>
        <vt:i4>2031672</vt:i4>
      </vt:variant>
      <vt:variant>
        <vt:i4>14</vt:i4>
      </vt:variant>
      <vt:variant>
        <vt:i4>0</vt:i4>
      </vt:variant>
      <vt:variant>
        <vt:i4>5</vt:i4>
      </vt:variant>
      <vt:variant>
        <vt:lpwstr/>
      </vt:variant>
      <vt:variant>
        <vt:lpwstr>_Toc113628877</vt:lpwstr>
      </vt:variant>
      <vt:variant>
        <vt:i4>2031672</vt:i4>
      </vt:variant>
      <vt:variant>
        <vt:i4>8</vt:i4>
      </vt:variant>
      <vt:variant>
        <vt:i4>0</vt:i4>
      </vt:variant>
      <vt:variant>
        <vt:i4>5</vt:i4>
      </vt:variant>
      <vt:variant>
        <vt:lpwstr/>
      </vt:variant>
      <vt:variant>
        <vt:lpwstr>_Toc113628876</vt:lpwstr>
      </vt:variant>
      <vt:variant>
        <vt:i4>2031672</vt:i4>
      </vt:variant>
      <vt:variant>
        <vt:i4>2</vt:i4>
      </vt:variant>
      <vt:variant>
        <vt:i4>0</vt:i4>
      </vt:variant>
      <vt:variant>
        <vt:i4>5</vt:i4>
      </vt:variant>
      <vt:variant>
        <vt:lpwstr/>
      </vt:variant>
      <vt:variant>
        <vt:lpwstr>_Toc113628875</vt:lpwstr>
      </vt:variant>
      <vt:variant>
        <vt:i4>6094937</vt:i4>
      </vt:variant>
      <vt:variant>
        <vt:i4>114</vt:i4>
      </vt:variant>
      <vt:variant>
        <vt:i4>0</vt:i4>
      </vt:variant>
      <vt:variant>
        <vt:i4>5</vt:i4>
      </vt:variant>
      <vt:variant>
        <vt:lpwstr>https://h2-project-visualisation-platform.entsog.eu/</vt:lpwstr>
      </vt:variant>
      <vt:variant>
        <vt:lpwstr/>
      </vt:variant>
      <vt:variant>
        <vt:i4>1507426</vt:i4>
      </vt:variant>
      <vt:variant>
        <vt:i4>111</vt:i4>
      </vt:variant>
      <vt:variant>
        <vt:i4>0</vt:i4>
      </vt:variant>
      <vt:variant>
        <vt:i4>5</vt:i4>
      </vt:variant>
      <vt:variant>
        <vt:lpwstr>https://elering.ee/sites/default/files/2021-10/Vesiniku ja s%C3%BCnteetilise gaasi kasutamise potentsiaal ja %C3%BChenditest tulenev m%C3%B5ju %C3%BClekandetorustikele ja l%C3%B5pptarbija seadmetele%2C 2020_0.pdf</vt:lpwstr>
      </vt:variant>
      <vt:variant>
        <vt:lpwstr/>
      </vt:variant>
      <vt:variant>
        <vt:i4>3276840</vt:i4>
      </vt:variant>
      <vt:variant>
        <vt:i4>108</vt:i4>
      </vt:variant>
      <vt:variant>
        <vt:i4>0</vt:i4>
      </vt:variant>
      <vt:variant>
        <vt:i4>5</vt:i4>
      </vt:variant>
      <vt:variant>
        <vt:lpwstr>https://sciendo.com/article/10.2478/rtuect-2021-0052</vt:lpwstr>
      </vt:variant>
      <vt:variant>
        <vt:lpwstr>collapse-1</vt:lpwstr>
      </vt:variant>
      <vt:variant>
        <vt:i4>3866677</vt:i4>
      </vt:variant>
      <vt:variant>
        <vt:i4>105</vt:i4>
      </vt:variant>
      <vt:variant>
        <vt:i4>0</vt:i4>
      </vt:variant>
      <vt:variant>
        <vt:i4>5</vt:i4>
      </vt:variant>
      <vt:variant>
        <vt:lpwstr>https://www.marcogaz.org/wp-content/uploads/2019/09/H2-Infographic.pdf</vt:lpwstr>
      </vt:variant>
      <vt:variant>
        <vt:lpwstr/>
      </vt:variant>
      <vt:variant>
        <vt:i4>7929973</vt:i4>
      </vt:variant>
      <vt:variant>
        <vt:i4>102</vt:i4>
      </vt:variant>
      <vt:variant>
        <vt:i4>0</vt:i4>
      </vt:variant>
      <vt:variant>
        <vt:i4>5</vt:i4>
      </vt:variant>
      <vt:variant>
        <vt:lpwstr>https://www.gie.eu/wp-content/uploads/filr/3517/Picturing the value of gas storage to the European hydrogen system_FINAL_140621.pdf</vt:lpwstr>
      </vt:variant>
      <vt:variant>
        <vt:lpwstr/>
      </vt:variant>
      <vt:variant>
        <vt:i4>1441796</vt:i4>
      </vt:variant>
      <vt:variant>
        <vt:i4>99</vt:i4>
      </vt:variant>
      <vt:variant>
        <vt:i4>0</vt:i4>
      </vt:variant>
      <vt:variant>
        <vt:i4>5</vt:i4>
      </vt:variant>
      <vt:variant>
        <vt:lpwstr>https://www.conexus.lv/information-about-storage</vt:lpwstr>
      </vt:variant>
      <vt:variant>
        <vt:lpwstr/>
      </vt:variant>
      <vt:variant>
        <vt:i4>1507330</vt:i4>
      </vt:variant>
      <vt:variant>
        <vt:i4>96</vt:i4>
      </vt:variant>
      <vt:variant>
        <vt:i4>0</vt:i4>
      </vt:variant>
      <vt:variant>
        <vt:i4>5</vt:i4>
      </vt:variant>
      <vt:variant>
        <vt:lpwstr>https://tno.maps.arcgis.com/apps/webappviewer/index.html?id=937305e2273847e0bc16503990f79d77</vt:lpwstr>
      </vt:variant>
      <vt:variant>
        <vt:lpwstr/>
      </vt:variant>
      <vt:variant>
        <vt:i4>6488182</vt:i4>
      </vt:variant>
      <vt:variant>
        <vt:i4>93</vt:i4>
      </vt:variant>
      <vt:variant>
        <vt:i4>0</vt:i4>
      </vt:variant>
      <vt:variant>
        <vt:i4>5</vt:i4>
      </vt:variant>
      <vt:variant>
        <vt:lpwstr>https://www.sciencedirect.com/science/article/pii/S0306261917305457</vt:lpwstr>
      </vt:variant>
      <vt:variant>
        <vt:lpwstr/>
      </vt:variant>
      <vt:variant>
        <vt:i4>7929911</vt:i4>
      </vt:variant>
      <vt:variant>
        <vt:i4>90</vt:i4>
      </vt:variant>
      <vt:variant>
        <vt:i4>0</vt:i4>
      </vt:variant>
      <vt:variant>
        <vt:i4>5</vt:i4>
      </vt:variant>
      <vt:variant>
        <vt:lpwstr>https://www.belfercenter.org/sites/default/files/files/publication/Report_EU Hydrogen_FINAL.pdf</vt:lpwstr>
      </vt:variant>
      <vt:variant>
        <vt:lpwstr/>
      </vt:variant>
      <vt:variant>
        <vt:i4>655452</vt:i4>
      </vt:variant>
      <vt:variant>
        <vt:i4>87</vt:i4>
      </vt:variant>
      <vt:variant>
        <vt:i4>0</vt:i4>
      </vt:variant>
      <vt:variant>
        <vt:i4>5</vt:i4>
      </vt:variant>
      <vt:variant>
        <vt:lpwstr>https://www.oxfordenergy.org/wpcms/wp-content/uploads/2018/10/LNG-Plant-Cost-Reduction-2014%E2%80%9318-NG137.pdf</vt:lpwstr>
      </vt:variant>
      <vt:variant>
        <vt:lpwstr/>
      </vt:variant>
      <vt:variant>
        <vt:i4>2883688</vt:i4>
      </vt:variant>
      <vt:variant>
        <vt:i4>84</vt:i4>
      </vt:variant>
      <vt:variant>
        <vt:i4>0</vt:i4>
      </vt:variant>
      <vt:variant>
        <vt:i4>5</vt:i4>
      </vt:variant>
      <vt:variant>
        <vt:lpwstr>https://www.sciencedirect.com/science/article/abs/pii/S1364032118306828</vt:lpwstr>
      </vt:variant>
      <vt:variant>
        <vt:lpwstr/>
      </vt:variant>
      <vt:variant>
        <vt:i4>1703953</vt:i4>
      </vt:variant>
      <vt:variant>
        <vt:i4>81</vt:i4>
      </vt:variant>
      <vt:variant>
        <vt:i4>0</vt:i4>
      </vt:variant>
      <vt:variant>
        <vt:i4>5</vt:i4>
      </vt:variant>
      <vt:variant>
        <vt:lpwstr>https://www.marcogaz.org/biomethane-acceptance-in-underground-gas-storage-facilities/</vt:lpwstr>
      </vt:variant>
      <vt:variant>
        <vt:lpwstr/>
      </vt:variant>
      <vt:variant>
        <vt:i4>65586</vt:i4>
      </vt:variant>
      <vt:variant>
        <vt:i4>78</vt:i4>
      </vt:variant>
      <vt:variant>
        <vt:i4>0</vt:i4>
      </vt:variant>
      <vt:variant>
        <vt:i4>5</vt:i4>
      </vt:variant>
      <vt:variant>
        <vt:lpwstr>https://www.hydrogenious.net/wp-content/uploads/2018/08/Hydrogenious_Technologies_LOHC_Products.pdf</vt:lpwstr>
      </vt:variant>
      <vt:variant>
        <vt:lpwstr/>
      </vt:variant>
      <vt:variant>
        <vt:i4>5177382</vt:i4>
      </vt:variant>
      <vt:variant>
        <vt:i4>75</vt:i4>
      </vt:variant>
      <vt:variant>
        <vt:i4>0</vt:i4>
      </vt:variant>
      <vt:variant>
        <vt:i4>5</vt:i4>
      </vt:variant>
      <vt:variant>
        <vt:lpwstr>https://futuregas.dk/wp-content/uploads/2018/06/FutureGas-WP1-Deliverable-1.1.1.-Technologies-and-status-of-methanation-of-biogas-2017_Final.pdf</vt:lpwstr>
      </vt:variant>
      <vt:variant>
        <vt:lpwstr/>
      </vt:variant>
      <vt:variant>
        <vt:i4>3276848</vt:i4>
      </vt:variant>
      <vt:variant>
        <vt:i4>72</vt:i4>
      </vt:variant>
      <vt:variant>
        <vt:i4>0</vt:i4>
      </vt:variant>
      <vt:variant>
        <vt:i4>5</vt:i4>
      </vt:variant>
      <vt:variant>
        <vt:lpwstr>https://devkopsys.de/ptx-atlas/</vt:lpwstr>
      </vt:variant>
      <vt:variant>
        <vt:lpwstr>ermittlung-der-kraftstoffgestehungskosten</vt:lpwstr>
      </vt:variant>
      <vt:variant>
        <vt:i4>1507426</vt:i4>
      </vt:variant>
      <vt:variant>
        <vt:i4>69</vt:i4>
      </vt:variant>
      <vt:variant>
        <vt:i4>0</vt:i4>
      </vt:variant>
      <vt:variant>
        <vt:i4>5</vt:i4>
      </vt:variant>
      <vt:variant>
        <vt:lpwstr>https://elering.ee/sites/default/files/2021-10/Vesiniku ja s%C3%BCnteetilise gaasi kasutamise potentsiaal ja %C3%BChenditest tulenev m%C3%B5ju %C3%BClekandetorustikele ja l%C3%B5pptarbija seadmetele%2C 2020_0.pdf</vt:lpwstr>
      </vt:variant>
      <vt:variant>
        <vt:lpwstr/>
      </vt:variant>
      <vt:variant>
        <vt:i4>4849737</vt:i4>
      </vt:variant>
      <vt:variant>
        <vt:i4>66</vt:i4>
      </vt:variant>
      <vt:variant>
        <vt:i4>0</vt:i4>
      </vt:variant>
      <vt:variant>
        <vt:i4>5</vt:i4>
      </vt:variant>
      <vt:variant>
        <vt:lpwstr>https://www.ergar.org/wp-content/uploads/2018/07/BIOSURF-D3.4.pdf</vt:lpwstr>
      </vt:variant>
      <vt:variant>
        <vt:lpwstr/>
      </vt:variant>
      <vt:variant>
        <vt:i4>4194390</vt:i4>
      </vt:variant>
      <vt:variant>
        <vt:i4>63</vt:i4>
      </vt:variant>
      <vt:variant>
        <vt:i4>0</vt:i4>
      </vt:variant>
      <vt:variant>
        <vt:i4>5</vt:i4>
      </vt:variant>
      <vt:variant>
        <vt:lpwstr>https://www.europeangashub.com/wp-content/uploads/2019/11/Trinomics-biomethane-and-hydrogen-study.pdf</vt:lpwstr>
      </vt:variant>
      <vt:variant>
        <vt:lpwstr/>
      </vt:variant>
      <vt:variant>
        <vt:i4>3735623</vt:i4>
      </vt:variant>
      <vt:variant>
        <vt:i4>60</vt:i4>
      </vt:variant>
      <vt:variant>
        <vt:i4>0</vt:i4>
      </vt:variant>
      <vt:variant>
        <vt:i4>5</vt:i4>
      </vt:variant>
      <vt:variant>
        <vt:lpwstr>https://ec.europa.eu/energy/sites/ener/files/documents/ce_delft_3g84_biogas_beyond_2020_final_report.pdf</vt:lpwstr>
      </vt:variant>
      <vt:variant>
        <vt:lpwstr/>
      </vt:variant>
      <vt:variant>
        <vt:i4>3997817</vt:i4>
      </vt:variant>
      <vt:variant>
        <vt:i4>57</vt:i4>
      </vt:variant>
      <vt:variant>
        <vt:i4>0</vt:i4>
      </vt:variant>
      <vt:variant>
        <vt:i4>5</vt:i4>
      </vt:variant>
      <vt:variant>
        <vt:lpwstr>https://www.iea.org/reports/global-hydrogen-review-2021</vt:lpwstr>
      </vt:variant>
      <vt:variant>
        <vt:lpwstr/>
      </vt:variant>
      <vt:variant>
        <vt:i4>1310829</vt:i4>
      </vt:variant>
      <vt:variant>
        <vt:i4>54</vt:i4>
      </vt:variant>
      <vt:variant>
        <vt:i4>0</vt:i4>
      </vt:variant>
      <vt:variant>
        <vt:i4>5</vt:i4>
      </vt:variant>
      <vt:variant>
        <vt:lpwstr>https://iea.blob.core.windows.net/assets/9e3a3493-b9a6-4b7d-b499-7ca48e357561/The_Future_of_Hydrogen.pdf</vt:lpwstr>
      </vt:variant>
      <vt:variant>
        <vt:lpwstr/>
      </vt:variant>
      <vt:variant>
        <vt:i4>3801161</vt:i4>
      </vt:variant>
      <vt:variant>
        <vt:i4>51</vt:i4>
      </vt:variant>
      <vt:variant>
        <vt:i4>0</vt:i4>
      </vt:variant>
      <vt:variant>
        <vt:i4>5</vt:i4>
      </vt:variant>
      <vt:variant>
        <vt:lpwstr>https://www.ise.fraunhofer.de/content/dam/ise/en/documents/information-material/Hydrogen-Technologies/17_en_ISE_Flyer_PEM_electrolysis.pdf</vt:lpwstr>
      </vt:variant>
      <vt:variant>
        <vt:lpwstr/>
      </vt:variant>
      <vt:variant>
        <vt:i4>1441806</vt:i4>
      </vt:variant>
      <vt:variant>
        <vt:i4>48</vt:i4>
      </vt:variant>
      <vt:variant>
        <vt:i4>0</vt:i4>
      </vt:variant>
      <vt:variant>
        <vt:i4>5</vt:i4>
      </vt:variant>
      <vt:variant>
        <vt:lpwstr>http://www.sgc.se/ckfinder/userfiles/files/BasicDataonBiogas2012.pdf</vt:lpwstr>
      </vt:variant>
      <vt:variant>
        <vt:lpwstr/>
      </vt:variant>
      <vt:variant>
        <vt:i4>1966084</vt:i4>
      </vt:variant>
      <vt:variant>
        <vt:i4>45</vt:i4>
      </vt:variant>
      <vt:variant>
        <vt:i4>0</vt:i4>
      </vt:variant>
      <vt:variant>
        <vt:i4>5</vt:i4>
      </vt:variant>
      <vt:variant>
        <vt:lpwstr>https://www.sei.org/projects-and-tools/projects/transitioning-to-a-climate-neutral-electricity-generation-in-estonia/</vt:lpwstr>
      </vt:variant>
      <vt:variant>
        <vt:lpwstr/>
      </vt:variant>
      <vt:variant>
        <vt:i4>1179674</vt:i4>
      </vt:variant>
      <vt:variant>
        <vt:i4>42</vt:i4>
      </vt:variant>
      <vt:variant>
        <vt:i4>0</vt:i4>
      </vt:variant>
      <vt:variant>
        <vt:i4>5</vt:i4>
      </vt:variant>
      <vt:variant>
        <vt:lpwstr>https://gasforclimate2050.eu/wp-content/uploads/2021/06/EHB_Analysing-the-future-demand-supply-and-transport-of-hydrogen_June-2021.pdf</vt:lpwstr>
      </vt:variant>
      <vt:variant>
        <vt:lpwstr/>
      </vt:variant>
      <vt:variant>
        <vt:i4>1310724</vt:i4>
      </vt:variant>
      <vt:variant>
        <vt:i4>39</vt:i4>
      </vt:variant>
      <vt:variant>
        <vt:i4>0</vt:i4>
      </vt:variant>
      <vt:variant>
        <vt:i4>5</vt:i4>
      </vt:variant>
      <vt:variant>
        <vt:lpwstr>https://elering.ee/en/biomethane</vt:lpwstr>
      </vt:variant>
      <vt:variant>
        <vt:lpwstr/>
      </vt:variant>
      <vt:variant>
        <vt:i4>196636</vt:i4>
      </vt:variant>
      <vt:variant>
        <vt:i4>36</vt:i4>
      </vt:variant>
      <vt:variant>
        <vt:i4>0</vt:i4>
      </vt:variant>
      <vt:variant>
        <vt:i4>5</vt:i4>
      </vt:variant>
      <vt:variant>
        <vt:lpwstr>https://data.europa.eu/doi/10.2833/492414</vt:lpwstr>
      </vt:variant>
      <vt:variant>
        <vt:lpwstr/>
      </vt:variant>
      <vt:variant>
        <vt:i4>2687089</vt:i4>
      </vt:variant>
      <vt:variant>
        <vt:i4>33</vt:i4>
      </vt:variant>
      <vt:variant>
        <vt:i4>0</vt:i4>
      </vt:variant>
      <vt:variant>
        <vt:i4>5</vt:i4>
      </vt:variant>
      <vt:variant>
        <vt:lpwstr>https://www.businessfinland.fi/4abb35/globalassets/finnish-customers/02-build-your-network/bioeconomy--cleantech/alykas-energia/bf_national_hydrogen_roadmap_2020.pdf</vt:lpwstr>
      </vt:variant>
      <vt:variant>
        <vt:lpwstr/>
      </vt:variant>
      <vt:variant>
        <vt:i4>65</vt:i4>
      </vt:variant>
      <vt:variant>
        <vt:i4>30</vt:i4>
      </vt:variant>
      <vt:variant>
        <vt:i4>0</vt:i4>
      </vt:variant>
      <vt:variant>
        <vt:i4>5</vt:i4>
      </vt:variant>
      <vt:variant>
        <vt:lpwstr>https://www.mdpi.com/2071-1050/11/17/4750/pdf</vt:lpwstr>
      </vt:variant>
      <vt:variant>
        <vt:lpwstr/>
      </vt:variant>
      <vt:variant>
        <vt:i4>524306</vt:i4>
      </vt:variant>
      <vt:variant>
        <vt:i4>27</vt:i4>
      </vt:variant>
      <vt:variant>
        <vt:i4>0</vt:i4>
      </vt:variant>
      <vt:variant>
        <vt:i4>5</vt:i4>
      </vt:variant>
      <vt:variant>
        <vt:lpwstr>https://iea.blob.core.windows.net/assets/4d014034-0f94-409d-bb8f-193e17a81d77/Lithuania_2021_Energy_Policy_Review.pdf</vt:lpwstr>
      </vt:variant>
      <vt:variant>
        <vt:lpwstr/>
      </vt:variant>
      <vt:variant>
        <vt:i4>196636</vt:i4>
      </vt:variant>
      <vt:variant>
        <vt:i4>24</vt:i4>
      </vt:variant>
      <vt:variant>
        <vt:i4>0</vt:i4>
      </vt:variant>
      <vt:variant>
        <vt:i4>5</vt:i4>
      </vt:variant>
      <vt:variant>
        <vt:lpwstr>https://data.europa.eu/doi/10.2833/492414</vt:lpwstr>
      </vt:variant>
      <vt:variant>
        <vt:lpwstr/>
      </vt:variant>
      <vt:variant>
        <vt:i4>131144</vt:i4>
      </vt:variant>
      <vt:variant>
        <vt:i4>21</vt:i4>
      </vt:variant>
      <vt:variant>
        <vt:i4>0</vt:i4>
      </vt:variant>
      <vt:variant>
        <vt:i4>5</vt:i4>
      </vt:variant>
      <vt:variant>
        <vt:lpwstr>https://www.kn.lt/en/for-investors/financial-data/418</vt:lpwstr>
      </vt:variant>
      <vt:variant>
        <vt:lpwstr/>
      </vt:variant>
      <vt:variant>
        <vt:i4>1441796</vt:i4>
      </vt:variant>
      <vt:variant>
        <vt:i4>18</vt:i4>
      </vt:variant>
      <vt:variant>
        <vt:i4>0</vt:i4>
      </vt:variant>
      <vt:variant>
        <vt:i4>5</vt:i4>
      </vt:variant>
      <vt:variant>
        <vt:lpwstr>https://www.conexus.lv/information-about-storage</vt:lpwstr>
      </vt:variant>
      <vt:variant>
        <vt:lpwstr/>
      </vt:variant>
      <vt:variant>
        <vt:i4>5570662</vt:i4>
      </vt:variant>
      <vt:variant>
        <vt:i4>15</vt:i4>
      </vt:variant>
      <vt:variant>
        <vt:i4>0</vt:i4>
      </vt:variant>
      <vt:variant>
        <vt:i4>5</vt:i4>
      </vt:variant>
      <vt:variant>
        <vt:lpwstr>https://elering.ee/sites/default/files/attachments/Estonian_gas_transmission_network_development_plan_2018_2027.pdf</vt:lpwstr>
      </vt:variant>
      <vt:variant>
        <vt:lpwstr/>
      </vt:variant>
      <vt:variant>
        <vt:i4>5570662</vt:i4>
      </vt:variant>
      <vt:variant>
        <vt:i4>12</vt:i4>
      </vt:variant>
      <vt:variant>
        <vt:i4>0</vt:i4>
      </vt:variant>
      <vt:variant>
        <vt:i4>5</vt:i4>
      </vt:variant>
      <vt:variant>
        <vt:lpwstr>https://elering.ee/sites/default/files/attachments/Estonian_gas_transmission_network_development_plan_2018_2027.pdf</vt:lpwstr>
      </vt:variant>
      <vt:variant>
        <vt:lpwstr/>
      </vt:variant>
      <vt:variant>
        <vt:i4>5898327</vt:i4>
      </vt:variant>
      <vt:variant>
        <vt:i4>9</vt:i4>
      </vt:variant>
      <vt:variant>
        <vt:i4>0</vt:i4>
      </vt:variant>
      <vt:variant>
        <vt:i4>5</vt:i4>
      </vt:variant>
      <vt:variant>
        <vt:lpwstr>https://portalcris.vdu.lt/server/api/core/bitstreams/9d40055a-c969-4aae-a75e-33c9f8ac38a1/content</vt:lpwstr>
      </vt:variant>
      <vt:variant>
        <vt:lpwstr/>
      </vt:variant>
      <vt:variant>
        <vt:i4>6881392</vt:i4>
      </vt:variant>
      <vt:variant>
        <vt:i4>6</vt:i4>
      </vt:variant>
      <vt:variant>
        <vt:i4>0</vt:i4>
      </vt:variant>
      <vt:variant>
        <vt:i4>5</vt:i4>
      </vt:variant>
      <vt:variant>
        <vt:lpwstr>https://www.regatrace.eu/wp content/uploads/2020/02/REGATRACE-D6.1.pdf</vt:lpwstr>
      </vt:variant>
      <vt:variant>
        <vt:lpwstr/>
      </vt:variant>
      <vt:variant>
        <vt:i4>6553712</vt:i4>
      </vt:variant>
      <vt:variant>
        <vt:i4>3</vt:i4>
      </vt:variant>
      <vt:variant>
        <vt:i4>0</vt:i4>
      </vt:variant>
      <vt:variant>
        <vt:i4>5</vt:i4>
      </vt:variant>
      <vt:variant>
        <vt:lpwstr>https://www.regatrace.eu/wp-content/uploads/2020/02/REGATRACE-D6.1.pdf</vt:lpwstr>
      </vt:variant>
      <vt:variant>
        <vt:lpwstr/>
      </vt:variant>
      <vt:variant>
        <vt:i4>2687089</vt:i4>
      </vt:variant>
      <vt:variant>
        <vt:i4>0</vt:i4>
      </vt:variant>
      <vt:variant>
        <vt:i4>0</vt:i4>
      </vt:variant>
      <vt:variant>
        <vt:i4>5</vt:i4>
      </vt:variant>
      <vt:variant>
        <vt:lpwstr>https://www.businessfinland.fi/4abb35/globalassets/finnish-customers/02-build-your-network/bioeconomy--cleantech/alykas-energia/bf_national_hydrogen_roadmap_2020.pdf</vt:lpwstr>
      </vt:variant>
      <vt:variant>
        <vt:lpwstr/>
      </vt:variant>
      <vt:variant>
        <vt:i4>458877</vt:i4>
      </vt:variant>
      <vt:variant>
        <vt:i4>0</vt:i4>
      </vt:variant>
      <vt:variant>
        <vt:i4>0</vt:i4>
      </vt:variant>
      <vt:variant>
        <vt:i4>5</vt:i4>
      </vt:variant>
      <vt:variant>
        <vt:lpwstr>mailto:javad.keypour@sei.org</vt:lpwstr>
      </vt:variant>
      <vt:variant>
        <vt:lpwstr/>
      </vt:variant>
      <vt:variant>
        <vt:i4>589849</vt:i4>
      </vt:variant>
      <vt:variant>
        <vt:i4>0</vt:i4>
      </vt:variant>
      <vt:variant>
        <vt:i4>0</vt:i4>
      </vt:variant>
      <vt:variant>
        <vt:i4>5</vt:i4>
      </vt:variant>
      <vt:variant>
        <vt:lpwstr>http://www.trinomics.eu/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Ying Lee</dc:creator>
  <cp:keywords/>
  <dc:description/>
  <cp:lastModifiedBy>luc van nuffel</cp:lastModifiedBy>
  <cp:revision>2</cp:revision>
  <cp:lastPrinted>2015-09-16T04:14:00Z</cp:lastPrinted>
  <dcterms:created xsi:type="dcterms:W3CDTF">2023-04-10T11:49:00Z</dcterms:created>
  <dcterms:modified xsi:type="dcterms:W3CDTF">2023-04-10T11:49:00Z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0x010100887D3B914211DA4690539851AF11284A</vt:lpwstr>
  </property>
  <property fmtid="{D5CDD505-2E9C-101B-9397-08002B2CF9AE}" pid="3" name="MediaServiceImageTags">
    <vt:lpwstr/>
  </property>
</Properties>
</file>