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6E8EC" w14:textId="77777777" w:rsidR="001126CC" w:rsidRPr="00163523" w:rsidRDefault="001126CC" w:rsidP="001126CC">
      <w:pPr>
        <w:rPr>
          <w:lang w:val="en-GB"/>
        </w:rPr>
      </w:pPr>
      <w:r w:rsidRPr="00163523">
        <w:rPr>
          <w:lang w:val="en-GB" w:eastAsia="fr-BE"/>
        </w:rPr>
        <mc:AlternateContent>
          <mc:Choice Requires="wps">
            <w:drawing>
              <wp:anchor distT="0" distB="0" distL="114300" distR="114300" simplePos="0" relativeHeight="251658241" behindDoc="1" locked="0" layoutInCell="1" allowOverlap="1" wp14:anchorId="1E253E36" wp14:editId="15D065A0">
                <wp:simplePos x="0" y="0"/>
                <wp:positionH relativeFrom="margin">
                  <wp:align>center</wp:align>
                </wp:positionH>
                <wp:positionV relativeFrom="page">
                  <wp:posOffset>201930</wp:posOffset>
                </wp:positionV>
                <wp:extent cx="7200000" cy="7920000"/>
                <wp:effectExtent l="0" t="0" r="20320" b="24130"/>
                <wp:wrapNone/>
                <wp:docPr id="23" name="Rechthoek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000" cy="7920000"/>
                        </a:xfrm>
                        <a:prstGeom prst="rect">
                          <a:avLst/>
                        </a:prstGeom>
                        <a:solidFill>
                          <a:srgbClr val="005962"/>
                        </a:solidFill>
                        <a:ln w="9525">
                          <a:solidFill>
                            <a:srgbClr val="4A7EBB"/>
                          </a:solidFill>
                          <a:miter lim="800000"/>
                          <a:headEnd/>
                          <a:tailEnd/>
                        </a:ln>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CC5F0A1" id="Rechthoek 23" o:spid="_x0000_s1026" style="position:absolute;margin-left:0;margin-top:15.9pt;width:566.95pt;height:623.6pt;z-index:-251658239;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" fillcolor="#005962" strokecolor="#4a7ebb">
                <w10:wrap anchorx="margin" anchory="page"/>
              </v:rect>
            </w:pict>
          </mc:Fallback>
        </mc:AlternateContent>
      </w:r>
    </w:p>
    <w:p w14:paraId="22526AD2" w14:textId="77777777" w:rsidR="001126CC" w:rsidRPr="00163523" w:rsidRDefault="001126CC" w:rsidP="001126CC">
      <w:pPr>
        <w:rPr>
          <w:lang w:val="en-GB"/>
        </w:rPr>
      </w:pPr>
      <w:r w:rsidRPr="00163523">
        <w:rPr>
          <w:lang w:val="en-GB" w:eastAsia="fr-BE"/>
        </w:rPr>
        <w:drawing>
          <wp:anchor distT="0" distB="0" distL="114300" distR="114300" simplePos="0" relativeHeight="251658242" behindDoc="1" locked="0" layoutInCell="1" allowOverlap="1" wp14:anchorId="76D773F4" wp14:editId="428846C2">
            <wp:simplePos x="0" y="0"/>
            <wp:positionH relativeFrom="margin">
              <wp:align>center</wp:align>
            </wp:positionH>
            <wp:positionV relativeFrom="paragraph">
              <wp:posOffset>2540</wp:posOffset>
            </wp:positionV>
            <wp:extent cx="768350" cy="768350"/>
            <wp:effectExtent l="0" t="0" r="0" b="0"/>
            <wp:wrapTight wrapText="bothSides">
              <wp:wrapPolygon edited="0">
                <wp:start x="6962" y="0"/>
                <wp:lineTo x="0" y="3213"/>
                <wp:lineTo x="0" y="13924"/>
                <wp:lineTo x="1071" y="17137"/>
                <wp:lineTo x="5355" y="20886"/>
                <wp:lineTo x="14995" y="20886"/>
                <wp:lineTo x="19815" y="17137"/>
                <wp:lineTo x="20886" y="12317"/>
                <wp:lineTo x="20886" y="6426"/>
                <wp:lineTo x="17137" y="1607"/>
                <wp:lineTo x="13388" y="0"/>
                <wp:lineTo x="6962" y="0"/>
              </wp:wrapPolygon>
            </wp:wrapTight>
            <wp:docPr id="20" name="Afbeelding 20" descr="Macintosh HD:Users:fraukeeversmann:Dropbox:PROJEKTE:TRIPLE E:DELIVERABLES:ICONS:earth_whit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raukeeversmann:Dropbox:PROJEKTE:TRIPLE E:DELIVERABLES:ICONS:earth_white.ep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8350" cy="768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D8BFE6" w14:textId="77777777" w:rsidR="001126CC" w:rsidRPr="00163523" w:rsidRDefault="001126CC" w:rsidP="001126CC">
      <w:pPr>
        <w:rPr>
          <w:lang w:val="en-GB"/>
        </w:rPr>
      </w:pPr>
    </w:p>
    <w:p w14:paraId="6C46AA93" w14:textId="77777777" w:rsidR="001126CC" w:rsidRPr="00163523" w:rsidRDefault="001126CC" w:rsidP="001126CC">
      <w:pPr>
        <w:rPr>
          <w:lang w:val="en-GB"/>
        </w:rPr>
      </w:pPr>
    </w:p>
    <w:p w14:paraId="6E0AC94D" w14:textId="77777777" w:rsidR="001126CC" w:rsidRPr="00163523" w:rsidRDefault="001126CC" w:rsidP="001126CC">
      <w:pPr>
        <w:rPr>
          <w:lang w:val="en-GB"/>
        </w:rPr>
      </w:pPr>
    </w:p>
    <w:p w14:paraId="2ED99193" w14:textId="77777777" w:rsidR="001126CC" w:rsidRPr="00163523" w:rsidRDefault="001126CC" w:rsidP="001126CC">
      <w:pPr>
        <w:rPr>
          <w:lang w:val="en-GB"/>
        </w:rPr>
      </w:pPr>
    </w:p>
    <w:p w14:paraId="6BB27EF4" w14:textId="77777777" w:rsidR="001126CC" w:rsidRPr="00163523" w:rsidRDefault="001126CC" w:rsidP="001126CC">
      <w:pPr>
        <w:rPr>
          <w:lang w:val="en-GB"/>
        </w:rPr>
      </w:pPr>
    </w:p>
    <w:p w14:paraId="39BD4C94" w14:textId="77777777" w:rsidR="001126CC" w:rsidRPr="00163523" w:rsidRDefault="001126CC" w:rsidP="001126CC">
      <w:pPr>
        <w:rPr>
          <w:lang w:val="en-GB"/>
        </w:rPr>
      </w:pPr>
    </w:p>
    <w:p w14:paraId="741A492F" w14:textId="77777777" w:rsidR="001126CC" w:rsidRPr="00163523" w:rsidRDefault="001126CC" w:rsidP="001126CC">
      <w:pPr>
        <w:pStyle w:val="Geenafstand"/>
        <w:jc w:val="center"/>
        <w:rPr>
          <w:color w:val="FFFFFF" w:themeColor="background1"/>
          <w:sz w:val="80"/>
          <w:szCs w:val="80"/>
          <w:lang w:val="en-GB"/>
        </w:rPr>
      </w:pPr>
      <w:r w:rsidRPr="00163523">
        <w:rPr>
          <w:color w:val="FFFFFF" w:themeColor="background1"/>
          <w:sz w:val="80"/>
          <w:szCs w:val="80"/>
          <w:lang w:val="en-GB"/>
        </w:rPr>
        <w:t>Gas Decarbonisation Pathways for Estonia</w:t>
      </w:r>
    </w:p>
    <w:p w14:paraId="2F7695D3" w14:textId="77777777" w:rsidR="001126CC" w:rsidRPr="00163523" w:rsidRDefault="001126CC" w:rsidP="001126CC">
      <w:pPr>
        <w:pStyle w:val="Geenafstand"/>
        <w:jc w:val="center"/>
        <w:rPr>
          <w:color w:val="FFFFFF" w:themeColor="background1"/>
          <w:sz w:val="80"/>
          <w:szCs w:val="80"/>
          <w:lang w:val="en-GB"/>
        </w:rPr>
      </w:pPr>
      <w:r w:rsidRPr="00163523">
        <w:rPr>
          <w:color w:val="FFFFFF" w:themeColor="background1"/>
          <w:sz w:val="32"/>
          <w:szCs w:val="32"/>
          <w:lang w:val="en-GB"/>
        </w:rPr>
        <w:t>(3 Baltic States + Finland)</w:t>
      </w:r>
    </w:p>
    <w:p w14:paraId="735E7BF8" w14:textId="77777777" w:rsidR="001126CC" w:rsidRPr="00163523" w:rsidRDefault="001126CC" w:rsidP="001126CC">
      <w:pPr>
        <w:pStyle w:val="Geenafstand"/>
        <w:jc w:val="center"/>
        <w:rPr>
          <w:color w:val="FFFFFF" w:themeColor="background1"/>
          <w:sz w:val="80"/>
          <w:szCs w:val="80"/>
          <w:lang w:val="en-GB"/>
        </w:rPr>
      </w:pPr>
    </w:p>
    <w:p w14:paraId="0AC6BB67" w14:textId="457D3B32" w:rsidR="001126CC" w:rsidRPr="00163523" w:rsidRDefault="001126CC" w:rsidP="001126CC">
      <w:pPr>
        <w:pStyle w:val="Geenafstand"/>
        <w:jc w:val="center"/>
        <w:rPr>
          <w:color w:val="FFFFFF" w:themeColor="background1"/>
          <w:sz w:val="56"/>
          <w:szCs w:val="56"/>
          <w:lang w:val="en-GB"/>
        </w:rPr>
      </w:pPr>
      <w:r w:rsidRPr="00163523">
        <w:rPr>
          <w:color w:val="FFFFFF" w:themeColor="background1"/>
          <w:sz w:val="56"/>
          <w:szCs w:val="56"/>
          <w:lang w:val="en-GB"/>
        </w:rPr>
        <w:t xml:space="preserve">Deliverable 5: Report on the risk analysis of the scenarios for a decarbonized </w:t>
      </w:r>
      <w:r w:rsidR="00553D68" w:rsidRPr="00163523">
        <w:rPr>
          <w:color w:val="FFFFFF" w:themeColor="background1"/>
          <w:sz w:val="56"/>
          <w:szCs w:val="56"/>
          <w:lang w:val="en-GB"/>
        </w:rPr>
        <w:t xml:space="preserve">Baltic </w:t>
      </w:r>
      <w:r w:rsidR="00E60817" w:rsidRPr="00163523">
        <w:rPr>
          <w:color w:val="FFFFFF" w:themeColor="background1"/>
          <w:sz w:val="56"/>
          <w:szCs w:val="56"/>
          <w:lang w:val="en-GB"/>
        </w:rPr>
        <w:t xml:space="preserve">regional </w:t>
      </w:r>
      <w:r w:rsidRPr="00163523">
        <w:rPr>
          <w:color w:val="FFFFFF" w:themeColor="background1"/>
          <w:sz w:val="56"/>
          <w:szCs w:val="56"/>
          <w:lang w:val="en-GB"/>
        </w:rPr>
        <w:t>gas market</w:t>
      </w:r>
    </w:p>
    <w:p w14:paraId="05101DE3" w14:textId="77777777" w:rsidR="001126CC" w:rsidRPr="00163523" w:rsidRDefault="001126CC" w:rsidP="001126CC">
      <w:pPr>
        <w:pStyle w:val="Geenafstand"/>
        <w:jc w:val="center"/>
        <w:rPr>
          <w:color w:val="FFFFFF" w:themeColor="background1"/>
          <w:sz w:val="70"/>
          <w:szCs w:val="70"/>
          <w:lang w:val="en-GB"/>
        </w:rPr>
      </w:pPr>
    </w:p>
    <w:p w14:paraId="67B31C23" w14:textId="50A5FD46" w:rsidR="00D4721C" w:rsidRPr="00F67CA0" w:rsidRDefault="00372E39" w:rsidP="00D4721C">
      <w:pPr>
        <w:pStyle w:val="Geenafstand"/>
        <w:jc w:val="center"/>
        <w:rPr>
          <w:color w:val="FFFFFF"/>
          <w:sz w:val="52"/>
          <w:szCs w:val="52"/>
          <w:lang w:val="en-GB"/>
        </w:rPr>
      </w:pPr>
      <w:r>
        <w:rPr>
          <w:color w:val="FFFFFF"/>
          <w:sz w:val="52"/>
          <w:szCs w:val="52"/>
          <w:lang w:val="en-GB"/>
        </w:rPr>
        <w:t>F</w:t>
      </w:r>
      <w:r w:rsidR="00D4721C" w:rsidRPr="00F67CA0">
        <w:rPr>
          <w:color w:val="FFFFFF"/>
          <w:sz w:val="52"/>
          <w:szCs w:val="52"/>
          <w:lang w:val="en-GB"/>
        </w:rPr>
        <w:t>inal report</w:t>
      </w:r>
    </w:p>
    <w:p w14:paraId="5D4B4AB2" w14:textId="77777777" w:rsidR="00D4721C" w:rsidRPr="00F67CA0" w:rsidRDefault="00D4721C" w:rsidP="00D4721C">
      <w:pPr>
        <w:pStyle w:val="Geenafstand"/>
        <w:jc w:val="center"/>
        <w:rPr>
          <w:color w:val="FFFFFF"/>
          <w:sz w:val="28"/>
          <w:szCs w:val="28"/>
          <w:lang w:val="en-GB"/>
        </w:rPr>
      </w:pPr>
    </w:p>
    <w:p w14:paraId="56573B2C" w14:textId="3B043B63" w:rsidR="001126CC" w:rsidRPr="00F67CA0" w:rsidRDefault="00705079" w:rsidP="001126CC">
      <w:pPr>
        <w:pStyle w:val="Geenafstand"/>
        <w:jc w:val="center"/>
        <w:rPr>
          <w:color w:val="FFFFFF"/>
          <w:sz w:val="52"/>
          <w:szCs w:val="52"/>
          <w:lang w:val="en-GB"/>
        </w:rPr>
      </w:pPr>
      <w:r>
        <w:rPr>
          <w:color w:val="FFFFFF"/>
          <w:sz w:val="52"/>
          <w:szCs w:val="52"/>
          <w:lang w:val="en-GB"/>
        </w:rPr>
        <w:t>31 August</w:t>
      </w:r>
      <w:r w:rsidR="001126CC" w:rsidRPr="00F67CA0">
        <w:rPr>
          <w:color w:val="FFFFFF"/>
          <w:sz w:val="52"/>
          <w:szCs w:val="52"/>
          <w:lang w:val="en-GB"/>
        </w:rPr>
        <w:t xml:space="preserve"> 2023</w:t>
      </w:r>
    </w:p>
    <w:p w14:paraId="6B85D92E" w14:textId="77777777" w:rsidR="001126CC" w:rsidRPr="00163523" w:rsidRDefault="001126CC" w:rsidP="001126CC">
      <w:pPr>
        <w:pStyle w:val="Geenafstand"/>
        <w:jc w:val="center"/>
        <w:rPr>
          <w:color w:val="FFFFFF" w:themeColor="background1"/>
          <w:sz w:val="50"/>
          <w:szCs w:val="50"/>
          <w:lang w:val="en-GB"/>
        </w:rPr>
      </w:pPr>
    </w:p>
    <w:p w14:paraId="08E99D85" w14:textId="77777777" w:rsidR="001126CC" w:rsidRPr="00163523" w:rsidRDefault="001126CC" w:rsidP="001126CC">
      <w:pPr>
        <w:rPr>
          <w:lang w:val="en-GB"/>
        </w:rPr>
      </w:pPr>
    </w:p>
    <w:p w14:paraId="054CA8B3" w14:textId="77777777" w:rsidR="001126CC" w:rsidRPr="00163523" w:rsidRDefault="001126CC" w:rsidP="001126CC">
      <w:pPr>
        <w:rPr>
          <w:lang w:val="en-GB"/>
        </w:rPr>
      </w:pPr>
    </w:p>
    <w:p w14:paraId="68F08309" w14:textId="77777777" w:rsidR="001126CC" w:rsidRPr="00163523" w:rsidRDefault="001126CC" w:rsidP="001126CC">
      <w:pPr>
        <w:rPr>
          <w:lang w:val="en-GB"/>
        </w:rPr>
      </w:pPr>
    </w:p>
    <w:p w14:paraId="6DDFF052" w14:textId="77777777" w:rsidR="001126CC" w:rsidRPr="00163523" w:rsidRDefault="001126CC" w:rsidP="001126CC">
      <w:pPr>
        <w:rPr>
          <w:lang w:val="en-GB"/>
        </w:rPr>
        <w:sectPr w:rsidR="001126CC" w:rsidRPr="00163523">
          <w:headerReference w:type="default" r:id="rId12"/>
          <w:footerReference w:type="default" r:id="rId13"/>
          <w:type w:val="evenPage"/>
          <w:pgSz w:w="11906" w:h="16838"/>
          <w:pgMar w:top="1440" w:right="1440" w:bottom="1440" w:left="1440" w:header="708" w:footer="1958" w:gutter="0"/>
          <w:cols w:space="708"/>
          <w:docGrid w:linePitch="360"/>
        </w:sectPr>
      </w:pPr>
    </w:p>
    <w:p w14:paraId="431363E3" w14:textId="77777777" w:rsidR="001126CC" w:rsidRPr="00163523" w:rsidRDefault="001126CC" w:rsidP="001126CC">
      <w:pPr>
        <w:rPr>
          <w:lang w:val="en-GB"/>
        </w:rPr>
      </w:pPr>
      <w:r w:rsidRPr="00163523">
        <w:rPr>
          <w:lang w:val="en-GB" w:eastAsia="fr-BE"/>
        </w:rPr>
        <w:lastRenderedPageBreak/>
        <mc:AlternateContent>
          <mc:Choice Requires="wps">
            <w:drawing>
              <wp:anchor distT="0" distB="0" distL="114300" distR="114300" simplePos="0" relativeHeight="251658240" behindDoc="1" locked="0" layoutInCell="1" allowOverlap="1" wp14:anchorId="010F68B5" wp14:editId="47308E44">
                <wp:simplePos x="0" y="0"/>
                <wp:positionH relativeFrom="margin">
                  <wp:align>center</wp:align>
                </wp:positionH>
                <wp:positionV relativeFrom="page">
                  <wp:posOffset>402590</wp:posOffset>
                </wp:positionV>
                <wp:extent cx="7077600" cy="10027104"/>
                <wp:effectExtent l="0" t="0" r="28575" b="12700"/>
                <wp:wrapNone/>
                <wp:docPr id="31" name="Rechthoek 31"/>
                <wp:cNvGraphicFramePr/>
                <a:graphic xmlns:a="http://schemas.openxmlformats.org/drawingml/2006/main">
                  <a:graphicData uri="http://schemas.microsoft.com/office/word/2010/wordprocessingShape">
                    <wps:wsp>
                      <wps:cNvSpPr/>
                      <wps:spPr>
                        <a:xfrm>
                          <a:off x="0" y="0"/>
                          <a:ext cx="7077600" cy="10027104"/>
                        </a:xfrm>
                        <a:prstGeom prst="rect">
                          <a:avLst/>
                        </a:prstGeom>
                        <a:solidFill>
                          <a:srgbClr val="ECEBE1"/>
                        </a:solidFill>
                        <a:ln>
                          <a:solidFill>
                            <a:srgbClr val="ECEBE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DF2753" w14:textId="77777777" w:rsidR="001126CC" w:rsidRPr="0063315C" w:rsidRDefault="001126CC" w:rsidP="001126CC">
                            <w:pPr>
                              <w:ind w:left="0"/>
                              <w:jc w:val="center"/>
                              <w:rPr>
                                <w:i/>
                                <w:i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0F68B5" id="Rechthoek 31" o:spid="_x0000_s1026" style="position:absolute;left:0;text-align:left;margin-left:0;margin-top:31.7pt;width:557.3pt;height:789.5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" fillcolor="#ecebe1" strokecolor="#ecebe1" strokeweight="2pt">
                <v:textbox>
                  <w:txbxContent>
                    <w:p w14:paraId="38DF2753" w14:textId="77777777" w:rsidR="001126CC" w:rsidRPr="0063315C" w:rsidRDefault="001126CC" w:rsidP="001126CC">
                      <w:pPr>
                        <w:ind w:left="0"/>
                        <w:jc w:val="center"/>
                        <w:rPr>
                          <w:i/>
                          <w:iCs/>
                        </w:rPr>
                      </w:pPr>
                    </w:p>
                  </w:txbxContent>
                </v:textbox>
                <w10:wrap anchorx="margin" anchory="page"/>
              </v:rect>
            </w:pict>
          </mc:Fallback>
        </mc:AlternateContent>
      </w:r>
    </w:p>
    <w:p w14:paraId="59EBDD18" w14:textId="77777777" w:rsidR="001126CC" w:rsidRPr="00163523" w:rsidRDefault="001126CC" w:rsidP="001126CC">
      <w:pPr>
        <w:rPr>
          <w:lang w:val="en-GB"/>
        </w:rPr>
      </w:pPr>
    </w:p>
    <w:p w14:paraId="488DD58F" w14:textId="77777777" w:rsidR="001126CC" w:rsidRPr="00163523" w:rsidRDefault="001126CC" w:rsidP="001126CC">
      <w:pPr>
        <w:rPr>
          <w:lang w:val="en-GB"/>
        </w:rPr>
      </w:pPr>
    </w:p>
    <w:p w14:paraId="0446A1C0" w14:textId="77777777" w:rsidR="001126CC" w:rsidRPr="00163523" w:rsidRDefault="001126CC" w:rsidP="001126CC">
      <w:pPr>
        <w:pStyle w:val="Geenafstand"/>
        <w:rPr>
          <w:b/>
          <w:color w:val="F04E30"/>
          <w:lang w:val="en-GB"/>
        </w:rPr>
      </w:pPr>
      <w:r w:rsidRPr="00163523">
        <w:rPr>
          <w:b/>
          <w:color w:val="F04E30"/>
          <w:lang w:val="en-GB"/>
        </w:rPr>
        <w:t>Study team members</w:t>
      </w:r>
    </w:p>
    <w:p w14:paraId="7FE4E47B" w14:textId="4AC715DD" w:rsidR="001126CC" w:rsidRPr="00F67CA0" w:rsidRDefault="001126CC" w:rsidP="001126CC">
      <w:pPr>
        <w:rPr>
          <w:lang w:val="pt-BR"/>
        </w:rPr>
      </w:pPr>
      <w:r w:rsidRPr="00F67CA0">
        <w:rPr>
          <w:lang w:val="pt-BR"/>
        </w:rPr>
        <w:t xml:space="preserve">Louise Aeby </w:t>
      </w:r>
      <w:r w:rsidR="00F226B9" w:rsidRPr="00F67CA0">
        <w:rPr>
          <w:lang w:val="pt-BR"/>
        </w:rPr>
        <w:tab/>
      </w:r>
      <w:r w:rsidR="00F226B9" w:rsidRPr="00F67CA0">
        <w:rPr>
          <w:lang w:val="pt-BR"/>
        </w:rPr>
        <w:tab/>
      </w:r>
      <w:r w:rsidRPr="00F67CA0">
        <w:rPr>
          <w:lang w:val="pt-BR"/>
        </w:rPr>
        <w:t>(Trinomics)</w:t>
      </w:r>
    </w:p>
    <w:p w14:paraId="0B1E4CEE" w14:textId="529EAC15" w:rsidR="001126CC" w:rsidRPr="0063315C" w:rsidRDefault="001126CC" w:rsidP="001126CC">
      <w:pPr>
        <w:rPr>
          <w:lang w:val="pt-BR"/>
        </w:rPr>
      </w:pPr>
      <w:r w:rsidRPr="0063315C">
        <w:rPr>
          <w:lang w:val="pt-BR"/>
        </w:rPr>
        <w:t xml:space="preserve">João Gorenstein Dedecca </w:t>
      </w:r>
      <w:r w:rsidR="00F226B9">
        <w:rPr>
          <w:lang w:val="pt-BR"/>
        </w:rPr>
        <w:tab/>
      </w:r>
      <w:r w:rsidRPr="0063315C">
        <w:rPr>
          <w:lang w:val="pt-BR"/>
        </w:rPr>
        <w:t>(Trinomics)</w:t>
      </w:r>
    </w:p>
    <w:p w14:paraId="2479FEE2" w14:textId="25DE0D57" w:rsidR="001126CC" w:rsidRPr="00197FFB" w:rsidRDefault="001126CC" w:rsidP="001126CC">
      <w:pPr>
        <w:rPr>
          <w:lang w:val="pt-BR"/>
        </w:rPr>
      </w:pPr>
      <w:r w:rsidRPr="00197FFB">
        <w:rPr>
          <w:lang w:val="pt-BR"/>
        </w:rPr>
        <w:t xml:space="preserve">Luc van Nuffel </w:t>
      </w:r>
      <w:r w:rsidR="00F226B9">
        <w:rPr>
          <w:lang w:val="pt-BR"/>
        </w:rPr>
        <w:tab/>
      </w:r>
      <w:r w:rsidR="00F226B9">
        <w:rPr>
          <w:lang w:val="pt-BR"/>
        </w:rPr>
        <w:tab/>
      </w:r>
      <w:r w:rsidRPr="00197FFB">
        <w:rPr>
          <w:lang w:val="pt-BR"/>
        </w:rPr>
        <w:t>(Trinomics)</w:t>
      </w:r>
    </w:p>
    <w:p w14:paraId="7733F552" w14:textId="77777777" w:rsidR="001126CC" w:rsidRPr="00197FFB" w:rsidRDefault="001126CC" w:rsidP="001126CC">
      <w:pPr>
        <w:rPr>
          <w:lang w:val="pt-BR"/>
        </w:rPr>
      </w:pPr>
    </w:p>
    <w:p w14:paraId="05A9A3C8" w14:textId="5772F817" w:rsidR="0051620B" w:rsidRPr="00F67CA0" w:rsidRDefault="0051620B" w:rsidP="0051620B">
      <w:pPr>
        <w:rPr>
          <w:lang w:val="pt-BR"/>
        </w:rPr>
      </w:pPr>
      <w:r w:rsidRPr="00543CF5">
        <w:rPr>
          <w:lang w:val="pt-BR"/>
        </w:rPr>
        <w:t xml:space="preserve">Javad Keypour </w:t>
      </w:r>
      <w:r w:rsidRPr="00543CF5">
        <w:rPr>
          <w:lang w:val="pt-BR"/>
        </w:rPr>
        <w:tab/>
      </w:r>
      <w:r w:rsidRPr="00543CF5">
        <w:rPr>
          <w:lang w:val="pt-BR"/>
        </w:rPr>
        <w:tab/>
        <w:t>(SEI)</w:t>
      </w:r>
    </w:p>
    <w:p w14:paraId="724F4ABE" w14:textId="77777777" w:rsidR="001126CC" w:rsidRPr="00197FFB" w:rsidRDefault="001126CC" w:rsidP="001126CC">
      <w:pPr>
        <w:rPr>
          <w:lang w:val="pt-BR"/>
        </w:rPr>
      </w:pPr>
    </w:p>
    <w:p w14:paraId="66F351DC" w14:textId="77777777" w:rsidR="001126CC" w:rsidRPr="00197FFB" w:rsidRDefault="001126CC" w:rsidP="001126CC">
      <w:pPr>
        <w:pStyle w:val="Geenafstand"/>
        <w:rPr>
          <w:b/>
          <w:color w:val="F04E30"/>
          <w:lang w:val="pt-BR"/>
        </w:rPr>
      </w:pPr>
    </w:p>
    <w:p w14:paraId="1F98420F" w14:textId="77777777" w:rsidR="001126CC" w:rsidRPr="009E69A2" w:rsidRDefault="001126CC" w:rsidP="001126CC">
      <w:pPr>
        <w:pStyle w:val="Geenafstand"/>
        <w:rPr>
          <w:b/>
          <w:color w:val="F04E30"/>
        </w:rPr>
      </w:pPr>
      <w:r w:rsidRPr="009E69A2">
        <w:rPr>
          <w:b/>
          <w:color w:val="F04E30"/>
        </w:rPr>
        <w:t>Contact person</w:t>
      </w:r>
    </w:p>
    <w:p w14:paraId="2F2B0AD3" w14:textId="77777777" w:rsidR="001126CC" w:rsidRPr="009E69A2" w:rsidRDefault="001126CC" w:rsidP="001126CC">
      <w:r w:rsidRPr="009E69A2">
        <w:t>Luc van Nuffel</w:t>
      </w:r>
    </w:p>
    <w:p w14:paraId="214AFE2C" w14:textId="77777777" w:rsidR="001126CC" w:rsidRPr="00163523" w:rsidRDefault="001126CC" w:rsidP="001126CC">
      <w:pPr>
        <w:rPr>
          <w:lang w:val="en-GB"/>
        </w:rPr>
      </w:pPr>
      <w:r w:rsidRPr="00163523">
        <w:rPr>
          <w:lang w:val="en-GB"/>
        </w:rPr>
        <w:t>T:  +32(0)478 65 26 37</w:t>
      </w:r>
    </w:p>
    <w:p w14:paraId="55059654" w14:textId="77777777" w:rsidR="001126CC" w:rsidRPr="00163523" w:rsidRDefault="001126CC" w:rsidP="001126CC">
      <w:pPr>
        <w:rPr>
          <w:lang w:val="en-GB"/>
        </w:rPr>
      </w:pPr>
      <w:r w:rsidRPr="00163523">
        <w:rPr>
          <w:lang w:val="en-GB"/>
        </w:rPr>
        <w:t>E: luc.vannuffel@trinomics.eu</w:t>
      </w:r>
    </w:p>
    <w:p w14:paraId="52650522" w14:textId="77777777" w:rsidR="001126CC" w:rsidRPr="00163523" w:rsidRDefault="001126CC" w:rsidP="001126CC">
      <w:pPr>
        <w:rPr>
          <w:lang w:val="en-GB"/>
        </w:rPr>
      </w:pPr>
    </w:p>
    <w:p w14:paraId="0882C36B" w14:textId="77777777" w:rsidR="001126CC" w:rsidRPr="00163523" w:rsidRDefault="001126CC" w:rsidP="001126CC">
      <w:pPr>
        <w:rPr>
          <w:lang w:val="en-GB"/>
        </w:rPr>
      </w:pPr>
    </w:p>
    <w:p w14:paraId="1B8FA016" w14:textId="77777777" w:rsidR="001126CC" w:rsidRPr="00163523" w:rsidRDefault="001126CC" w:rsidP="001126CC">
      <w:pPr>
        <w:pStyle w:val="Geenafstand"/>
        <w:rPr>
          <w:b/>
          <w:color w:val="F04E30"/>
          <w:lang w:val="en-GB"/>
        </w:rPr>
      </w:pPr>
      <w:r w:rsidRPr="00163523">
        <w:rPr>
          <w:b/>
          <w:color w:val="F04E30"/>
          <w:lang w:val="en-GB"/>
        </w:rPr>
        <w:t>Date</w:t>
      </w:r>
    </w:p>
    <w:p w14:paraId="6FFD3904" w14:textId="0E3439E5" w:rsidR="001126CC" w:rsidRPr="00163523" w:rsidRDefault="001126CC" w:rsidP="001126CC">
      <w:pPr>
        <w:spacing w:line="276" w:lineRule="auto"/>
        <w:rPr>
          <w:lang w:val="en-GB"/>
        </w:rPr>
      </w:pPr>
      <w:r w:rsidRPr="00163523">
        <w:rPr>
          <w:lang w:val="en-GB"/>
        </w:rPr>
        <w:t xml:space="preserve">Rotterdam, </w:t>
      </w:r>
      <w:r w:rsidR="00716551" w:rsidRPr="00163523">
        <w:rPr>
          <w:lang w:val="en-GB"/>
        </w:rPr>
        <w:t>31 August 2023</w:t>
      </w:r>
    </w:p>
    <w:p w14:paraId="6081442A" w14:textId="77777777" w:rsidR="001126CC" w:rsidRPr="00163523" w:rsidRDefault="001126CC" w:rsidP="001126CC">
      <w:pPr>
        <w:spacing w:line="276" w:lineRule="auto"/>
        <w:rPr>
          <w:lang w:val="en-GB"/>
        </w:rPr>
      </w:pPr>
    </w:p>
    <w:p w14:paraId="5A20E6E2" w14:textId="77777777" w:rsidR="001126CC" w:rsidRPr="00163523" w:rsidRDefault="001126CC" w:rsidP="001126CC">
      <w:pPr>
        <w:spacing w:line="276" w:lineRule="auto"/>
        <w:rPr>
          <w:lang w:val="en-GB"/>
        </w:rPr>
      </w:pPr>
    </w:p>
    <w:p w14:paraId="5653A81B" w14:textId="5E3FA156" w:rsidR="001126CC" w:rsidRPr="00163523" w:rsidRDefault="001126CC" w:rsidP="001126CC">
      <w:pPr>
        <w:spacing w:line="276" w:lineRule="auto"/>
        <w:rPr>
          <w:lang w:val="en-GB"/>
        </w:rPr>
      </w:pPr>
    </w:p>
    <w:p w14:paraId="4A1D4F10" w14:textId="616EE516" w:rsidR="001126CC" w:rsidRPr="00163523" w:rsidRDefault="001126CC" w:rsidP="001126CC">
      <w:pPr>
        <w:spacing w:line="276" w:lineRule="auto"/>
        <w:rPr>
          <w:lang w:val="en-GB"/>
        </w:rPr>
      </w:pPr>
    </w:p>
    <w:p w14:paraId="765779BF" w14:textId="77777777" w:rsidR="001126CC" w:rsidRPr="00163523" w:rsidRDefault="001126CC" w:rsidP="001126CC">
      <w:pPr>
        <w:spacing w:line="276" w:lineRule="auto"/>
        <w:rPr>
          <w:lang w:val="en-GB"/>
        </w:rPr>
      </w:pPr>
    </w:p>
    <w:p w14:paraId="6264FD4E" w14:textId="77777777" w:rsidR="001126CC" w:rsidRPr="00163523" w:rsidRDefault="001126CC" w:rsidP="001126CC">
      <w:pPr>
        <w:spacing w:line="276" w:lineRule="auto"/>
        <w:rPr>
          <w:lang w:val="en-GB"/>
        </w:rPr>
      </w:pPr>
    </w:p>
    <w:p w14:paraId="57568FF2" w14:textId="77777777" w:rsidR="001126CC" w:rsidRPr="00163523" w:rsidRDefault="001126CC" w:rsidP="001126CC">
      <w:pPr>
        <w:spacing w:line="276" w:lineRule="auto"/>
        <w:rPr>
          <w:lang w:val="en-GB"/>
        </w:rPr>
      </w:pPr>
    </w:p>
    <w:p w14:paraId="2EDD255C" w14:textId="77777777" w:rsidR="001126CC" w:rsidRPr="00163523" w:rsidRDefault="001126CC" w:rsidP="001126CC">
      <w:pPr>
        <w:spacing w:line="276" w:lineRule="auto"/>
        <w:rPr>
          <w:lang w:val="en-GB"/>
        </w:rPr>
      </w:pPr>
    </w:p>
    <w:p w14:paraId="74EF0A38" w14:textId="77777777" w:rsidR="001126CC" w:rsidRPr="00163523" w:rsidRDefault="001126CC" w:rsidP="001126CC">
      <w:pPr>
        <w:spacing w:line="276" w:lineRule="auto"/>
        <w:rPr>
          <w:lang w:val="en-GB"/>
        </w:rPr>
      </w:pPr>
    </w:p>
    <w:p w14:paraId="1167F158" w14:textId="77777777" w:rsidR="001126CC" w:rsidRPr="00163523" w:rsidRDefault="001126CC" w:rsidP="001126CC">
      <w:pPr>
        <w:spacing w:line="276" w:lineRule="auto"/>
        <w:rPr>
          <w:lang w:val="en-GB"/>
        </w:rPr>
      </w:pPr>
    </w:p>
    <w:p w14:paraId="5BA27F21" w14:textId="77777777" w:rsidR="001126CC" w:rsidRPr="00163523" w:rsidRDefault="001126CC" w:rsidP="001126CC">
      <w:pPr>
        <w:spacing w:line="276" w:lineRule="auto"/>
        <w:rPr>
          <w:lang w:val="en-GB"/>
        </w:rPr>
      </w:pPr>
    </w:p>
    <w:p w14:paraId="03F3FDBE" w14:textId="77777777" w:rsidR="001126CC" w:rsidRPr="00163523" w:rsidRDefault="001126CC" w:rsidP="001126CC">
      <w:pPr>
        <w:spacing w:line="276" w:lineRule="auto"/>
        <w:rPr>
          <w:lang w:val="en-GB"/>
        </w:rPr>
      </w:pPr>
    </w:p>
    <w:p w14:paraId="425A12F4" w14:textId="77777777" w:rsidR="001126CC" w:rsidRPr="00163523" w:rsidRDefault="001126CC" w:rsidP="001126CC">
      <w:pPr>
        <w:spacing w:line="276" w:lineRule="auto"/>
        <w:rPr>
          <w:lang w:val="en-GB"/>
        </w:rPr>
      </w:pPr>
    </w:p>
    <w:p w14:paraId="1495E592" w14:textId="77777777" w:rsidR="001126CC" w:rsidRPr="00163523" w:rsidRDefault="001126CC" w:rsidP="001126CC">
      <w:pPr>
        <w:spacing w:line="276" w:lineRule="auto"/>
        <w:rPr>
          <w:lang w:val="en-GB"/>
        </w:rPr>
      </w:pPr>
    </w:p>
    <w:p w14:paraId="5594DE17" w14:textId="77777777" w:rsidR="001126CC" w:rsidRPr="00163523" w:rsidRDefault="001126CC" w:rsidP="001126CC">
      <w:pPr>
        <w:spacing w:line="276" w:lineRule="auto"/>
        <w:rPr>
          <w:lang w:val="en-GB"/>
        </w:rPr>
      </w:pPr>
    </w:p>
    <w:p w14:paraId="4B190035" w14:textId="77777777" w:rsidR="001126CC" w:rsidRPr="00163523" w:rsidRDefault="001126CC" w:rsidP="001126CC">
      <w:pPr>
        <w:spacing w:line="276" w:lineRule="auto"/>
        <w:rPr>
          <w:lang w:val="en-GB"/>
        </w:rPr>
      </w:pPr>
    </w:p>
    <w:p w14:paraId="1929C1A8" w14:textId="77777777" w:rsidR="001126CC" w:rsidRPr="00163523" w:rsidRDefault="001126CC" w:rsidP="001126CC">
      <w:pPr>
        <w:spacing w:line="276" w:lineRule="auto"/>
        <w:rPr>
          <w:lang w:val="en-GB"/>
        </w:rPr>
      </w:pPr>
    </w:p>
    <w:p w14:paraId="71F6F9AF" w14:textId="77777777" w:rsidR="001126CC" w:rsidRPr="00163523" w:rsidRDefault="001126CC" w:rsidP="001126CC">
      <w:pPr>
        <w:spacing w:line="276" w:lineRule="auto"/>
        <w:rPr>
          <w:lang w:val="en-GB"/>
        </w:rPr>
      </w:pPr>
    </w:p>
    <w:p w14:paraId="2AD59C7F" w14:textId="77777777" w:rsidR="001126CC" w:rsidRPr="00163523" w:rsidRDefault="001126CC" w:rsidP="001126CC">
      <w:pPr>
        <w:spacing w:line="276" w:lineRule="auto"/>
        <w:rPr>
          <w:lang w:val="en-GB"/>
        </w:rPr>
      </w:pPr>
    </w:p>
    <w:p w14:paraId="5FE17998" w14:textId="77777777" w:rsidR="001126CC" w:rsidRPr="00163523" w:rsidRDefault="001126CC" w:rsidP="001126CC">
      <w:pPr>
        <w:spacing w:line="276" w:lineRule="auto"/>
        <w:rPr>
          <w:lang w:val="en-GB"/>
        </w:rPr>
      </w:pPr>
    </w:p>
    <w:p w14:paraId="6802A4AB" w14:textId="77777777" w:rsidR="001126CC" w:rsidRPr="00163523" w:rsidRDefault="001126CC" w:rsidP="001126CC">
      <w:pPr>
        <w:spacing w:line="276" w:lineRule="auto"/>
        <w:rPr>
          <w:lang w:val="en-GB"/>
        </w:rPr>
      </w:pPr>
    </w:p>
    <w:p w14:paraId="487415E7" w14:textId="77777777" w:rsidR="001126CC" w:rsidRPr="00163523" w:rsidRDefault="001126CC" w:rsidP="001126CC">
      <w:pPr>
        <w:spacing w:line="276" w:lineRule="auto"/>
        <w:rPr>
          <w:lang w:val="en-GB"/>
        </w:rPr>
      </w:pPr>
    </w:p>
    <w:p w14:paraId="28791A55" w14:textId="77777777" w:rsidR="001126CC" w:rsidRPr="00163523" w:rsidRDefault="001126CC" w:rsidP="001126CC">
      <w:pPr>
        <w:spacing w:line="276" w:lineRule="auto"/>
        <w:rPr>
          <w:lang w:val="en-GB"/>
        </w:rPr>
      </w:pPr>
    </w:p>
    <w:p w14:paraId="48F3F96F" w14:textId="77777777" w:rsidR="001126CC" w:rsidRPr="00163523" w:rsidRDefault="001126CC" w:rsidP="001126CC">
      <w:pPr>
        <w:spacing w:line="276" w:lineRule="auto"/>
        <w:rPr>
          <w:lang w:val="en-GB"/>
        </w:rPr>
      </w:pPr>
    </w:p>
    <w:p w14:paraId="52B4E6E6" w14:textId="77777777" w:rsidR="001126CC" w:rsidRPr="00163523" w:rsidRDefault="001126CC" w:rsidP="001126CC">
      <w:pPr>
        <w:spacing w:line="276" w:lineRule="auto"/>
        <w:rPr>
          <w:lang w:val="en-GB"/>
        </w:rPr>
      </w:pPr>
    </w:p>
    <w:p w14:paraId="010ADBA7" w14:textId="77777777" w:rsidR="001126CC" w:rsidRPr="00163523" w:rsidRDefault="001126CC" w:rsidP="001126CC">
      <w:pPr>
        <w:spacing w:line="276" w:lineRule="auto"/>
        <w:rPr>
          <w:lang w:val="en-GB"/>
        </w:rPr>
      </w:pPr>
    </w:p>
    <w:p w14:paraId="18993DD5" w14:textId="77777777" w:rsidR="001126CC" w:rsidRPr="00163523" w:rsidRDefault="001126CC" w:rsidP="001126CC">
      <w:pPr>
        <w:spacing w:line="276" w:lineRule="auto"/>
        <w:rPr>
          <w:lang w:val="en-GB"/>
        </w:rPr>
      </w:pPr>
    </w:p>
    <w:p w14:paraId="49E5D5A4" w14:textId="77777777" w:rsidR="001126CC" w:rsidRPr="00163523" w:rsidRDefault="001126CC" w:rsidP="001126CC">
      <w:pPr>
        <w:spacing w:line="276" w:lineRule="auto"/>
        <w:ind w:left="0"/>
        <w:jc w:val="center"/>
        <w:rPr>
          <w:lang w:val="en-GB"/>
        </w:rPr>
      </w:pPr>
      <w:r w:rsidRPr="00163523">
        <w:rPr>
          <w:lang w:val="en-GB"/>
        </w:rPr>
        <w:t>This project is funded by the EU via the Structural Reform Support Programme and implemented by Trinomics, E3M and SEI, in collaboration with the European Commission</w:t>
      </w:r>
      <w:r w:rsidRPr="00163523">
        <w:rPr>
          <w:b/>
          <w:lang w:val="en-GB"/>
        </w:rPr>
        <w:t xml:space="preserve">. </w:t>
      </w:r>
      <w:r w:rsidRPr="00163523">
        <w:rPr>
          <w:lang w:val="en-GB"/>
        </w:rPr>
        <w:t>The views expressed herein can in no way be taken to reflect the official opinion of the European Union.</w:t>
      </w:r>
    </w:p>
    <w:p w14:paraId="1141E1F0" w14:textId="77777777" w:rsidR="001126CC" w:rsidRPr="00163523" w:rsidRDefault="001126CC" w:rsidP="001126CC">
      <w:pPr>
        <w:rPr>
          <w:lang w:val="en-GB"/>
        </w:rPr>
      </w:pPr>
    </w:p>
    <w:p w14:paraId="27857ED1" w14:textId="77777777" w:rsidR="001126CC" w:rsidRPr="00163523" w:rsidRDefault="001126CC" w:rsidP="001126CC">
      <w:pPr>
        <w:rPr>
          <w:lang w:val="en-GB"/>
        </w:rPr>
        <w:sectPr w:rsidR="001126CC" w:rsidRPr="00163523">
          <w:headerReference w:type="default" r:id="rId14"/>
          <w:footerReference w:type="default" r:id="rId15"/>
          <w:pgSz w:w="11906" w:h="16838"/>
          <w:pgMar w:top="1440" w:right="1440" w:bottom="1440" w:left="1440" w:header="708" w:footer="708" w:gutter="0"/>
          <w:cols w:space="708"/>
          <w:docGrid w:linePitch="360"/>
        </w:sectPr>
      </w:pPr>
    </w:p>
    <w:p w14:paraId="475EEE78" w14:textId="77777777" w:rsidR="001126CC" w:rsidRPr="00163523" w:rsidRDefault="001126CC" w:rsidP="001126CC">
      <w:pPr>
        <w:rPr>
          <w:lang w:val="en-GB"/>
        </w:rPr>
      </w:pPr>
    </w:p>
    <w:p w14:paraId="1FEF4391" w14:textId="77777777" w:rsidR="001126CC" w:rsidRPr="00163523" w:rsidRDefault="001126CC" w:rsidP="001126CC">
      <w:pPr>
        <w:rPr>
          <w:lang w:val="en-GB"/>
        </w:rPr>
      </w:pPr>
    </w:p>
    <w:p w14:paraId="38FFE093" w14:textId="77777777" w:rsidR="001126CC" w:rsidRPr="00163523" w:rsidRDefault="001126CC" w:rsidP="001126CC">
      <w:pPr>
        <w:rPr>
          <w:lang w:val="en-GB"/>
        </w:rPr>
      </w:pPr>
    </w:p>
    <w:p w14:paraId="4B574B82" w14:textId="77777777" w:rsidR="001126CC" w:rsidRPr="00163523" w:rsidRDefault="001126CC" w:rsidP="001126CC">
      <w:pPr>
        <w:rPr>
          <w:lang w:val="en-GB"/>
        </w:rPr>
      </w:pPr>
    </w:p>
    <w:p w14:paraId="6EF8877A" w14:textId="77777777" w:rsidR="001126CC" w:rsidRPr="00163523" w:rsidRDefault="001126CC" w:rsidP="001126CC">
      <w:pPr>
        <w:rPr>
          <w:lang w:val="en-GB"/>
        </w:rPr>
      </w:pPr>
    </w:p>
    <w:p w14:paraId="4F723793" w14:textId="77777777" w:rsidR="001126CC" w:rsidRPr="00163523" w:rsidRDefault="001126CC" w:rsidP="001126CC">
      <w:pPr>
        <w:rPr>
          <w:lang w:val="en-GB"/>
        </w:rPr>
      </w:pPr>
    </w:p>
    <w:p w14:paraId="6BCADDBD" w14:textId="77777777" w:rsidR="001126CC" w:rsidRPr="00163523" w:rsidRDefault="001126CC" w:rsidP="001126CC">
      <w:pPr>
        <w:rPr>
          <w:lang w:val="en-GB"/>
        </w:rPr>
      </w:pPr>
    </w:p>
    <w:p w14:paraId="60A9859B" w14:textId="77777777" w:rsidR="001126CC" w:rsidRPr="00163523" w:rsidRDefault="001126CC" w:rsidP="001126CC">
      <w:pPr>
        <w:rPr>
          <w:lang w:val="en-GB"/>
        </w:rPr>
      </w:pPr>
    </w:p>
    <w:p w14:paraId="62778584" w14:textId="77777777" w:rsidR="001126CC" w:rsidRPr="00163523" w:rsidRDefault="001126CC" w:rsidP="001126CC">
      <w:pPr>
        <w:rPr>
          <w:lang w:val="en-GB"/>
        </w:rPr>
      </w:pPr>
      <w:r w:rsidRPr="00163523">
        <w:rPr>
          <w:lang w:val="en-GB" w:eastAsia="fr-BE"/>
        </w:rPr>
        <w:drawing>
          <wp:anchor distT="0" distB="0" distL="114300" distR="114300" simplePos="0" relativeHeight="251658243" behindDoc="1" locked="0" layoutInCell="1" allowOverlap="1" wp14:anchorId="2CCEAE7B" wp14:editId="10087995">
            <wp:simplePos x="0" y="0"/>
            <wp:positionH relativeFrom="margin">
              <wp:align>center</wp:align>
            </wp:positionH>
            <wp:positionV relativeFrom="paragraph">
              <wp:posOffset>-429260</wp:posOffset>
            </wp:positionV>
            <wp:extent cx="3718560" cy="1352550"/>
            <wp:effectExtent l="0" t="0" r="0" b="0"/>
            <wp:wrapNone/>
            <wp:docPr id="5" name="Afbeelding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718560" cy="1352550"/>
                    </a:xfrm>
                    <a:prstGeom prst="rect">
                      <a:avLst/>
                    </a:prstGeom>
                  </pic:spPr>
                </pic:pic>
              </a:graphicData>
            </a:graphic>
            <wp14:sizeRelH relativeFrom="page">
              <wp14:pctWidth>0</wp14:pctWidth>
            </wp14:sizeRelH>
            <wp14:sizeRelV relativeFrom="page">
              <wp14:pctHeight>0</wp14:pctHeight>
            </wp14:sizeRelV>
          </wp:anchor>
        </w:drawing>
      </w:r>
    </w:p>
    <w:p w14:paraId="1E49FC9C" w14:textId="77777777" w:rsidR="001126CC" w:rsidRPr="00163523" w:rsidRDefault="001126CC" w:rsidP="001126CC">
      <w:pPr>
        <w:rPr>
          <w:lang w:val="en-GB"/>
        </w:rPr>
      </w:pPr>
    </w:p>
    <w:p w14:paraId="176CB67B" w14:textId="77777777" w:rsidR="001126CC" w:rsidRPr="00163523" w:rsidRDefault="001126CC" w:rsidP="001126CC">
      <w:pPr>
        <w:rPr>
          <w:lang w:val="en-GB"/>
        </w:rPr>
      </w:pPr>
    </w:p>
    <w:p w14:paraId="40A13CF0" w14:textId="77777777" w:rsidR="001126CC" w:rsidRPr="00163523" w:rsidRDefault="001126CC" w:rsidP="001126CC">
      <w:pPr>
        <w:rPr>
          <w:lang w:val="en-GB"/>
        </w:rPr>
      </w:pPr>
    </w:p>
    <w:p w14:paraId="04AB9C22" w14:textId="77777777" w:rsidR="001126CC" w:rsidRPr="00163523" w:rsidRDefault="001126CC" w:rsidP="001126CC">
      <w:pPr>
        <w:rPr>
          <w:lang w:val="en-GB"/>
        </w:rPr>
      </w:pPr>
    </w:p>
    <w:p w14:paraId="469168C4" w14:textId="77777777" w:rsidR="001126CC" w:rsidRPr="00163523" w:rsidRDefault="001126CC" w:rsidP="001126CC">
      <w:pPr>
        <w:rPr>
          <w:lang w:val="en-GB"/>
        </w:rPr>
      </w:pPr>
    </w:p>
    <w:p w14:paraId="536D0BAE" w14:textId="2B18858A" w:rsidR="001126CC" w:rsidRPr="00163523" w:rsidRDefault="001126CC" w:rsidP="001126CC">
      <w:pPr>
        <w:pStyle w:val="Geenafstand"/>
        <w:spacing w:line="300" w:lineRule="atLeast"/>
        <w:jc w:val="center"/>
        <w:rPr>
          <w:b/>
          <w:color w:val="F04E30"/>
          <w:sz w:val="24"/>
          <w:szCs w:val="24"/>
          <w:lang w:val="en-GB"/>
        </w:rPr>
      </w:pPr>
      <w:r w:rsidRPr="00163523">
        <w:rPr>
          <w:b/>
          <w:color w:val="F04E30"/>
          <w:sz w:val="24"/>
          <w:szCs w:val="24"/>
          <w:lang w:val="en-GB"/>
        </w:rPr>
        <w:t xml:space="preserve">Rotterdam, </w:t>
      </w:r>
      <w:r w:rsidR="00716551" w:rsidRPr="00163523">
        <w:rPr>
          <w:b/>
          <w:color w:val="F04E30"/>
          <w:sz w:val="24"/>
          <w:szCs w:val="24"/>
          <w:lang w:val="en-GB"/>
        </w:rPr>
        <w:t>31 August 2023</w:t>
      </w:r>
    </w:p>
    <w:p w14:paraId="1966024E" w14:textId="77777777" w:rsidR="001126CC" w:rsidRPr="00163523" w:rsidRDefault="001126CC" w:rsidP="001126CC">
      <w:pPr>
        <w:pStyle w:val="Geenafstand"/>
        <w:spacing w:line="300" w:lineRule="atLeast"/>
        <w:jc w:val="center"/>
        <w:rPr>
          <w:b/>
          <w:color w:val="F04E30"/>
          <w:sz w:val="24"/>
          <w:szCs w:val="24"/>
          <w:lang w:val="en-GB"/>
        </w:rPr>
      </w:pPr>
    </w:p>
    <w:p w14:paraId="797339FB" w14:textId="77777777" w:rsidR="001126CC" w:rsidRPr="00163523" w:rsidRDefault="001126CC" w:rsidP="001126CC">
      <w:pPr>
        <w:pStyle w:val="Geenafstand"/>
        <w:spacing w:line="300" w:lineRule="atLeast"/>
        <w:jc w:val="center"/>
        <w:rPr>
          <w:b/>
          <w:color w:val="F04E30"/>
          <w:sz w:val="24"/>
          <w:szCs w:val="24"/>
          <w:lang w:val="en-GB"/>
        </w:rPr>
      </w:pPr>
    </w:p>
    <w:p w14:paraId="5484559B" w14:textId="77777777" w:rsidR="001126CC" w:rsidRPr="00163523" w:rsidRDefault="001126CC" w:rsidP="001126CC">
      <w:pPr>
        <w:pStyle w:val="Geenafstand"/>
        <w:spacing w:line="300" w:lineRule="atLeast"/>
        <w:jc w:val="center"/>
        <w:rPr>
          <w:b/>
          <w:color w:val="F04E30"/>
          <w:sz w:val="24"/>
          <w:szCs w:val="24"/>
          <w:lang w:val="en-GB"/>
        </w:rPr>
      </w:pPr>
    </w:p>
    <w:p w14:paraId="73D50C39" w14:textId="77777777" w:rsidR="001126CC" w:rsidRPr="00163523" w:rsidRDefault="001126CC" w:rsidP="001126CC">
      <w:pPr>
        <w:ind w:left="0"/>
        <w:jc w:val="center"/>
        <w:rPr>
          <w:b/>
          <w:i/>
          <w:color w:val="F04E30"/>
          <w:sz w:val="24"/>
          <w:szCs w:val="24"/>
          <w:lang w:val="en-GB"/>
        </w:rPr>
      </w:pPr>
      <w:r w:rsidRPr="00163523">
        <w:rPr>
          <w:b/>
          <w:i/>
          <w:color w:val="F04E30"/>
          <w:sz w:val="24"/>
          <w:szCs w:val="24"/>
          <w:lang w:val="en-GB"/>
        </w:rPr>
        <w:t>Gas Decarbonisation Pathways for Estonia (3 Baltic States + Finland)</w:t>
      </w:r>
    </w:p>
    <w:p w14:paraId="4F42DCA5" w14:textId="77777777" w:rsidR="001126CC" w:rsidRPr="00163523" w:rsidRDefault="001126CC" w:rsidP="001126CC">
      <w:pPr>
        <w:ind w:left="0"/>
        <w:jc w:val="center"/>
        <w:rPr>
          <w:b/>
          <w:i/>
          <w:color w:val="F04E30"/>
          <w:sz w:val="24"/>
          <w:szCs w:val="24"/>
          <w:lang w:val="en-GB"/>
        </w:rPr>
      </w:pPr>
    </w:p>
    <w:p w14:paraId="53177C2F" w14:textId="77777777" w:rsidR="001126CC" w:rsidRPr="00163523" w:rsidRDefault="001126CC" w:rsidP="001126CC">
      <w:pPr>
        <w:ind w:left="0"/>
        <w:jc w:val="center"/>
        <w:rPr>
          <w:b/>
          <w:i/>
          <w:color w:val="F04E30"/>
          <w:sz w:val="24"/>
          <w:szCs w:val="24"/>
          <w:lang w:val="en-GB"/>
        </w:rPr>
      </w:pPr>
    </w:p>
    <w:p w14:paraId="4703F389" w14:textId="517E9690" w:rsidR="001126CC" w:rsidRPr="00163523" w:rsidRDefault="001126CC" w:rsidP="001126CC">
      <w:pPr>
        <w:ind w:left="0"/>
        <w:jc w:val="center"/>
        <w:rPr>
          <w:b/>
          <w:i/>
          <w:color w:val="F04E30"/>
          <w:sz w:val="32"/>
          <w:szCs w:val="32"/>
          <w:lang w:val="en-GB"/>
        </w:rPr>
      </w:pPr>
      <w:r w:rsidRPr="00163523">
        <w:rPr>
          <w:b/>
          <w:i/>
          <w:color w:val="F04E30"/>
          <w:sz w:val="32"/>
          <w:szCs w:val="32"/>
          <w:lang w:val="en-GB"/>
        </w:rPr>
        <w:t xml:space="preserve">Deliverable 5: Report on the risk analysis of the scenarios for a decarbonized </w:t>
      </w:r>
      <w:r w:rsidR="001C77D6" w:rsidRPr="00163523">
        <w:rPr>
          <w:b/>
          <w:i/>
          <w:color w:val="F04E30"/>
          <w:sz w:val="32"/>
          <w:szCs w:val="32"/>
          <w:lang w:val="en-GB"/>
        </w:rPr>
        <w:t xml:space="preserve">Baltic </w:t>
      </w:r>
      <w:r w:rsidR="00DD6237" w:rsidRPr="00163523">
        <w:rPr>
          <w:b/>
          <w:i/>
          <w:color w:val="F04E30"/>
          <w:sz w:val="32"/>
          <w:szCs w:val="32"/>
          <w:lang w:val="en-GB"/>
        </w:rPr>
        <w:t xml:space="preserve">regional </w:t>
      </w:r>
      <w:r w:rsidRPr="00163523">
        <w:rPr>
          <w:b/>
          <w:i/>
          <w:color w:val="F04E30"/>
          <w:sz w:val="32"/>
          <w:szCs w:val="32"/>
          <w:lang w:val="en-GB"/>
        </w:rPr>
        <w:t>gas market</w:t>
      </w:r>
    </w:p>
    <w:p w14:paraId="7DA2AE26" w14:textId="77777777" w:rsidR="001126CC" w:rsidRPr="00163523" w:rsidRDefault="001126CC" w:rsidP="001126CC">
      <w:pPr>
        <w:rPr>
          <w:lang w:val="en-GB"/>
        </w:rPr>
      </w:pPr>
    </w:p>
    <w:p w14:paraId="64FFF0C6" w14:textId="77777777" w:rsidR="001126CC" w:rsidRPr="00163523" w:rsidRDefault="001126CC" w:rsidP="001126CC">
      <w:pPr>
        <w:rPr>
          <w:lang w:val="en-GB"/>
        </w:rPr>
      </w:pPr>
    </w:p>
    <w:p w14:paraId="49C4B744" w14:textId="77777777" w:rsidR="001126CC" w:rsidRPr="00163523" w:rsidRDefault="001126CC" w:rsidP="001126CC">
      <w:pPr>
        <w:rPr>
          <w:lang w:val="en-GB"/>
        </w:rPr>
      </w:pPr>
    </w:p>
    <w:p w14:paraId="1AB795A8" w14:textId="77777777" w:rsidR="001126CC" w:rsidRPr="00163523" w:rsidRDefault="001126CC" w:rsidP="00772170">
      <w:pPr>
        <w:ind w:left="0"/>
        <w:jc w:val="center"/>
        <w:rPr>
          <w:b/>
          <w:color w:val="002C54"/>
          <w:sz w:val="24"/>
          <w:szCs w:val="24"/>
          <w:lang w:val="en-GB"/>
        </w:rPr>
      </w:pPr>
      <w:r w:rsidRPr="00163523">
        <w:rPr>
          <w:b/>
          <w:color w:val="002C54"/>
          <w:sz w:val="24"/>
          <w:szCs w:val="24"/>
          <w:lang w:val="en-GB"/>
        </w:rPr>
        <w:t>In association with:</w:t>
      </w:r>
    </w:p>
    <w:p w14:paraId="0FF4FB5E" w14:textId="77777777" w:rsidR="001126CC" w:rsidRPr="00163523" w:rsidRDefault="001126CC" w:rsidP="001126CC">
      <w:pPr>
        <w:rPr>
          <w:lang w:val="en-GB"/>
        </w:rPr>
      </w:pPr>
    </w:p>
    <w:p w14:paraId="445BF481" w14:textId="77777777" w:rsidR="001126CC" w:rsidRPr="00163523" w:rsidRDefault="001126CC" w:rsidP="001126CC">
      <w:pPr>
        <w:rPr>
          <w:lang w:val="en-GB"/>
        </w:rPr>
      </w:pPr>
    </w:p>
    <w:p w14:paraId="16BFCAEA" w14:textId="77777777" w:rsidR="001126CC" w:rsidRPr="00163523" w:rsidRDefault="001126CC" w:rsidP="001126CC">
      <w:pPr>
        <w:rPr>
          <w:lang w:val="en-GB"/>
        </w:rPr>
      </w:pPr>
      <w:r w:rsidRPr="00163523">
        <w:rPr>
          <w:lang w:val="en-GB" w:eastAsia="en-GB"/>
        </w:rPr>
        <w:drawing>
          <wp:anchor distT="0" distB="0" distL="114300" distR="114300" simplePos="0" relativeHeight="251658244" behindDoc="0" locked="0" layoutInCell="1" allowOverlap="1" wp14:anchorId="302CF4E3" wp14:editId="47BB854D">
            <wp:simplePos x="0" y="0"/>
            <wp:positionH relativeFrom="column">
              <wp:posOffset>516476</wp:posOffset>
            </wp:positionH>
            <wp:positionV relativeFrom="paragraph">
              <wp:posOffset>95885</wp:posOffset>
            </wp:positionV>
            <wp:extent cx="2013967" cy="1046217"/>
            <wp:effectExtent l="0" t="0" r="5715" b="1905"/>
            <wp:wrapNone/>
            <wp:docPr id="84" name="Afbeelding 84" descr="Logo, company name&#10;&#10;Description automatically generated">
              <a:extLst xmlns:a="http://schemas.openxmlformats.org/drawingml/2006/main">
                <a:ext uri="{FF2B5EF4-FFF2-40B4-BE49-F238E27FC236}">
                  <a16:creationId xmlns:a16="http://schemas.microsoft.com/office/drawing/2014/main" id="{61507434-2A2C-45B7-9223-31BE9AAE16D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30" descr="Logo, company name&#10;&#10;Description automatically generated">
                      <a:extLst>
                        <a:ext uri="{FF2B5EF4-FFF2-40B4-BE49-F238E27FC236}">
                          <a16:creationId xmlns:a16="http://schemas.microsoft.com/office/drawing/2014/main" id="{61507434-2A2C-45B7-9223-31BE9AAE16D0}"/>
                        </a:ext>
                      </a:extLst>
                    </pic:cNvPr>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13967" cy="104621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D82283" w14:textId="77777777" w:rsidR="001126CC" w:rsidRPr="00163523" w:rsidRDefault="001126CC" w:rsidP="001126CC">
      <w:pPr>
        <w:rPr>
          <w:lang w:val="en-GB"/>
        </w:rPr>
      </w:pPr>
      <w:r w:rsidRPr="00163523">
        <w:rPr>
          <w:lang w:val="en-GB" w:eastAsia="en-GB"/>
        </w:rPr>
        <w:drawing>
          <wp:anchor distT="0" distB="0" distL="114300" distR="114300" simplePos="0" relativeHeight="251658245" behindDoc="0" locked="0" layoutInCell="1" allowOverlap="1" wp14:anchorId="7FF5B6D5" wp14:editId="1073FDBF">
            <wp:simplePos x="0" y="0"/>
            <wp:positionH relativeFrom="column">
              <wp:posOffset>2949686</wp:posOffset>
            </wp:positionH>
            <wp:positionV relativeFrom="paragraph">
              <wp:posOffset>48260</wp:posOffset>
            </wp:positionV>
            <wp:extent cx="2401272" cy="689361"/>
            <wp:effectExtent l="0" t="0" r="0" b="0"/>
            <wp:wrapNone/>
            <wp:docPr id="85" name="Afbeelding 85" descr="Image result for e3m modelling">
              <a:extLst xmlns:a="http://schemas.openxmlformats.org/drawingml/2006/main">
                <a:ext uri="{FF2B5EF4-FFF2-40B4-BE49-F238E27FC236}">
                  <a16:creationId xmlns:a16="http://schemas.microsoft.com/office/drawing/2014/main" id="{B56D6D31-0710-4E34-A30B-EB5068F93C3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1" descr="Image result for e3m modelling">
                      <a:extLst>
                        <a:ext uri="{FF2B5EF4-FFF2-40B4-BE49-F238E27FC236}">
                          <a16:creationId xmlns:a16="http://schemas.microsoft.com/office/drawing/2014/main" id="{B56D6D31-0710-4E34-A30B-EB5068F93C36}"/>
                        </a:ext>
                      </a:extLst>
                    </pic:cNvPr>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01272" cy="68936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B0DB93" w14:textId="77777777" w:rsidR="001126CC" w:rsidRPr="00163523" w:rsidRDefault="001126CC" w:rsidP="001126CC">
      <w:pPr>
        <w:rPr>
          <w:lang w:val="en-GB"/>
        </w:rPr>
      </w:pPr>
    </w:p>
    <w:p w14:paraId="67E46407" w14:textId="77777777" w:rsidR="001126CC" w:rsidRPr="00163523" w:rsidRDefault="001126CC" w:rsidP="001126CC">
      <w:pPr>
        <w:rPr>
          <w:lang w:val="en-GB"/>
        </w:rPr>
        <w:sectPr w:rsidR="001126CC" w:rsidRPr="00163523">
          <w:headerReference w:type="default" r:id="rId19"/>
          <w:footerReference w:type="default" r:id="rId20"/>
          <w:pgSz w:w="11906" w:h="16838"/>
          <w:pgMar w:top="1440" w:right="1440" w:bottom="1440" w:left="1440" w:header="708" w:footer="708" w:gutter="0"/>
          <w:cols w:space="708"/>
          <w:docGrid w:linePitch="360"/>
        </w:sectPr>
      </w:pPr>
    </w:p>
    <w:p w14:paraId="3FDE4147" w14:textId="77777777" w:rsidR="001126CC" w:rsidRPr="00163523" w:rsidRDefault="001126CC" w:rsidP="001126CC">
      <w:pPr>
        <w:ind w:left="0"/>
        <w:rPr>
          <w:b/>
          <w:color w:val="F04E30"/>
          <w:sz w:val="24"/>
          <w:szCs w:val="24"/>
          <w:lang w:val="en-GB"/>
        </w:rPr>
      </w:pPr>
      <w:r w:rsidRPr="00163523">
        <w:rPr>
          <w:b/>
          <w:color w:val="F04E30"/>
          <w:sz w:val="24"/>
          <w:szCs w:val="24"/>
          <w:lang w:val="en-GB"/>
        </w:rPr>
        <w:lastRenderedPageBreak/>
        <w:t>CONTENTS</w:t>
      </w:r>
    </w:p>
    <w:p w14:paraId="53A2E435" w14:textId="0BDBB542" w:rsidR="00163523" w:rsidRDefault="008741BD" w:rsidP="00163523">
      <w:pPr>
        <w:pStyle w:val="Inhopg1"/>
        <w:rPr>
          <w:rFonts w:asciiTheme="minorHAnsi" w:eastAsiaTheme="minorEastAsia" w:hAnsiTheme="minorHAnsi"/>
          <w:noProof/>
          <w:color w:val="auto"/>
          <w:kern w:val="2"/>
          <w:szCs w:val="22"/>
          <w14:ligatures w14:val="standardContextual"/>
        </w:rPr>
      </w:pPr>
      <w:r w:rsidRPr="00163523">
        <w:rPr>
          <w:sz w:val="28"/>
          <w:lang w:val="en-GB"/>
        </w:rPr>
        <w:fldChar w:fldCharType="begin"/>
      </w:r>
      <w:r w:rsidRPr="00163523">
        <w:rPr>
          <w:sz w:val="28"/>
          <w:lang w:val="en-GB"/>
        </w:rPr>
        <w:instrText xml:space="preserve"> TOC \o "1-2" \h \z \u </w:instrText>
      </w:r>
      <w:r w:rsidRPr="00163523">
        <w:rPr>
          <w:sz w:val="28"/>
          <w:lang w:val="en-GB"/>
        </w:rPr>
        <w:fldChar w:fldCharType="separate"/>
      </w:r>
      <w:hyperlink w:anchor="_Toc144803001" w:history="1">
        <w:r w:rsidR="00163523" w:rsidRPr="00FE6AD3">
          <w:rPr>
            <w:rStyle w:val="Hyperlink"/>
            <w:noProof/>
          </w:rPr>
          <w:t>1</w:t>
        </w:r>
        <w:r w:rsidR="00163523">
          <w:rPr>
            <w:rFonts w:asciiTheme="minorHAnsi" w:eastAsiaTheme="minorEastAsia" w:hAnsiTheme="minorHAnsi"/>
            <w:noProof/>
            <w:color w:val="auto"/>
            <w:kern w:val="2"/>
            <w:szCs w:val="22"/>
            <w14:ligatures w14:val="standardContextual"/>
          </w:rPr>
          <w:tab/>
        </w:r>
        <w:r w:rsidR="00163523" w:rsidRPr="00FE6AD3">
          <w:rPr>
            <w:rStyle w:val="Hyperlink"/>
            <w:noProof/>
          </w:rPr>
          <w:t>Introduction</w:t>
        </w:r>
        <w:r w:rsidR="00163523">
          <w:rPr>
            <w:noProof/>
            <w:webHidden/>
          </w:rPr>
          <w:tab/>
        </w:r>
        <w:r w:rsidR="00163523">
          <w:rPr>
            <w:noProof/>
            <w:webHidden/>
          </w:rPr>
          <w:fldChar w:fldCharType="begin"/>
        </w:r>
        <w:r w:rsidR="00163523">
          <w:rPr>
            <w:noProof/>
            <w:webHidden/>
          </w:rPr>
          <w:instrText xml:space="preserve"> PAGEREF _Toc144803001 \h </w:instrText>
        </w:r>
        <w:r w:rsidR="00163523">
          <w:rPr>
            <w:noProof/>
            <w:webHidden/>
          </w:rPr>
        </w:r>
        <w:r w:rsidR="00163523">
          <w:rPr>
            <w:noProof/>
            <w:webHidden/>
          </w:rPr>
          <w:fldChar w:fldCharType="separate"/>
        </w:r>
        <w:r w:rsidR="00163523">
          <w:rPr>
            <w:noProof/>
            <w:webHidden/>
          </w:rPr>
          <w:t>6</w:t>
        </w:r>
        <w:r w:rsidR="00163523">
          <w:rPr>
            <w:noProof/>
            <w:webHidden/>
          </w:rPr>
          <w:fldChar w:fldCharType="end"/>
        </w:r>
      </w:hyperlink>
    </w:p>
    <w:p w14:paraId="2B19A0E5" w14:textId="197B85AD" w:rsidR="00163523" w:rsidRDefault="009A750B" w:rsidP="00163523">
      <w:pPr>
        <w:pStyle w:val="Inhopg1"/>
        <w:rPr>
          <w:rFonts w:asciiTheme="minorHAnsi" w:eastAsiaTheme="minorEastAsia" w:hAnsiTheme="minorHAnsi"/>
          <w:noProof/>
          <w:color w:val="auto"/>
          <w:kern w:val="2"/>
          <w:szCs w:val="22"/>
          <w14:ligatures w14:val="standardContextual"/>
        </w:rPr>
      </w:pPr>
      <w:hyperlink w:anchor="_Toc144803002" w:history="1">
        <w:r w:rsidR="00163523" w:rsidRPr="00FE6AD3">
          <w:rPr>
            <w:rStyle w:val="Hyperlink"/>
            <w:noProof/>
          </w:rPr>
          <w:t>2</w:t>
        </w:r>
        <w:r w:rsidR="00163523">
          <w:rPr>
            <w:rFonts w:asciiTheme="minorHAnsi" w:eastAsiaTheme="minorEastAsia" w:hAnsiTheme="minorHAnsi"/>
            <w:noProof/>
            <w:color w:val="auto"/>
            <w:kern w:val="2"/>
            <w:szCs w:val="22"/>
            <w14:ligatures w14:val="standardContextual"/>
          </w:rPr>
          <w:tab/>
        </w:r>
        <w:r w:rsidR="00163523" w:rsidRPr="00FE6AD3">
          <w:rPr>
            <w:rStyle w:val="Hyperlink"/>
            <w:noProof/>
          </w:rPr>
          <w:t>Inventory of risks</w:t>
        </w:r>
        <w:r w:rsidR="00163523">
          <w:rPr>
            <w:noProof/>
            <w:webHidden/>
          </w:rPr>
          <w:tab/>
        </w:r>
        <w:r w:rsidR="00163523">
          <w:rPr>
            <w:noProof/>
            <w:webHidden/>
          </w:rPr>
          <w:fldChar w:fldCharType="begin"/>
        </w:r>
        <w:r w:rsidR="00163523">
          <w:rPr>
            <w:noProof/>
            <w:webHidden/>
          </w:rPr>
          <w:instrText xml:space="preserve"> PAGEREF _Toc144803002 \h </w:instrText>
        </w:r>
        <w:r w:rsidR="00163523">
          <w:rPr>
            <w:noProof/>
            <w:webHidden/>
          </w:rPr>
        </w:r>
        <w:r w:rsidR="00163523">
          <w:rPr>
            <w:noProof/>
            <w:webHidden/>
          </w:rPr>
          <w:fldChar w:fldCharType="separate"/>
        </w:r>
        <w:r w:rsidR="00163523">
          <w:rPr>
            <w:noProof/>
            <w:webHidden/>
          </w:rPr>
          <w:t>7</w:t>
        </w:r>
        <w:r w:rsidR="00163523">
          <w:rPr>
            <w:noProof/>
            <w:webHidden/>
          </w:rPr>
          <w:fldChar w:fldCharType="end"/>
        </w:r>
      </w:hyperlink>
    </w:p>
    <w:p w14:paraId="113E2A4A" w14:textId="3768999A" w:rsidR="00163523" w:rsidRDefault="009A750B">
      <w:pPr>
        <w:pStyle w:val="Inhopg2"/>
        <w:rPr>
          <w:rFonts w:asciiTheme="minorHAnsi" w:eastAsiaTheme="minorEastAsia" w:hAnsiTheme="minorHAnsi" w:cstheme="minorBidi"/>
          <w:b w:val="0"/>
          <w:bCs w:val="0"/>
          <w:noProof/>
          <w:color w:val="auto"/>
          <w:kern w:val="2"/>
          <w:sz w:val="22"/>
          <w:szCs w:val="22"/>
          <w14:ligatures w14:val="standardContextual"/>
        </w:rPr>
      </w:pPr>
      <w:hyperlink w:anchor="_Toc144803003" w:history="1">
        <w:r w:rsidR="00163523" w:rsidRPr="00FE6AD3">
          <w:rPr>
            <w:rStyle w:val="Hyperlink"/>
            <w:noProof/>
          </w:rPr>
          <w:t>2.1</w:t>
        </w:r>
        <w:r w:rsidR="00163523">
          <w:rPr>
            <w:rFonts w:asciiTheme="minorHAnsi" w:eastAsiaTheme="minorEastAsia" w:hAnsiTheme="minorHAnsi" w:cstheme="minorBidi"/>
            <w:b w:val="0"/>
            <w:bCs w:val="0"/>
            <w:noProof/>
            <w:color w:val="auto"/>
            <w:kern w:val="2"/>
            <w:sz w:val="22"/>
            <w:szCs w:val="22"/>
            <w14:ligatures w14:val="standardContextual"/>
          </w:rPr>
          <w:tab/>
        </w:r>
        <w:r w:rsidR="00163523" w:rsidRPr="00FE6AD3">
          <w:rPr>
            <w:rStyle w:val="Hyperlink"/>
            <w:noProof/>
          </w:rPr>
          <w:t>Background for the risks’ categorisation</w:t>
        </w:r>
        <w:r w:rsidR="00163523">
          <w:rPr>
            <w:noProof/>
            <w:webHidden/>
          </w:rPr>
          <w:tab/>
        </w:r>
        <w:r w:rsidR="00163523">
          <w:rPr>
            <w:noProof/>
            <w:webHidden/>
          </w:rPr>
          <w:fldChar w:fldCharType="begin"/>
        </w:r>
        <w:r w:rsidR="00163523">
          <w:rPr>
            <w:noProof/>
            <w:webHidden/>
          </w:rPr>
          <w:instrText xml:space="preserve"> PAGEREF _Toc144803003 \h </w:instrText>
        </w:r>
        <w:r w:rsidR="00163523">
          <w:rPr>
            <w:noProof/>
            <w:webHidden/>
          </w:rPr>
        </w:r>
        <w:r w:rsidR="00163523">
          <w:rPr>
            <w:noProof/>
            <w:webHidden/>
          </w:rPr>
          <w:fldChar w:fldCharType="separate"/>
        </w:r>
        <w:r w:rsidR="00163523">
          <w:rPr>
            <w:noProof/>
            <w:webHidden/>
          </w:rPr>
          <w:t>7</w:t>
        </w:r>
        <w:r w:rsidR="00163523">
          <w:rPr>
            <w:noProof/>
            <w:webHidden/>
          </w:rPr>
          <w:fldChar w:fldCharType="end"/>
        </w:r>
      </w:hyperlink>
    </w:p>
    <w:p w14:paraId="18E91C19" w14:textId="7139A65F" w:rsidR="00163523" w:rsidRDefault="009A750B">
      <w:pPr>
        <w:pStyle w:val="Inhopg2"/>
        <w:rPr>
          <w:rFonts w:asciiTheme="minorHAnsi" w:eastAsiaTheme="minorEastAsia" w:hAnsiTheme="minorHAnsi" w:cstheme="minorBidi"/>
          <w:b w:val="0"/>
          <w:bCs w:val="0"/>
          <w:noProof/>
          <w:color w:val="auto"/>
          <w:kern w:val="2"/>
          <w:sz w:val="22"/>
          <w:szCs w:val="22"/>
          <w14:ligatures w14:val="standardContextual"/>
        </w:rPr>
      </w:pPr>
      <w:hyperlink w:anchor="_Toc144803004" w:history="1">
        <w:r w:rsidR="00163523" w:rsidRPr="00FE6AD3">
          <w:rPr>
            <w:rStyle w:val="Hyperlink"/>
            <w:noProof/>
          </w:rPr>
          <w:t>2.2</w:t>
        </w:r>
        <w:r w:rsidR="00163523">
          <w:rPr>
            <w:rFonts w:asciiTheme="minorHAnsi" w:eastAsiaTheme="minorEastAsia" w:hAnsiTheme="minorHAnsi" w:cstheme="minorBidi"/>
            <w:b w:val="0"/>
            <w:bCs w:val="0"/>
            <w:noProof/>
            <w:color w:val="auto"/>
            <w:kern w:val="2"/>
            <w:sz w:val="22"/>
            <w:szCs w:val="22"/>
            <w14:ligatures w14:val="standardContextual"/>
          </w:rPr>
          <w:tab/>
        </w:r>
        <w:r w:rsidR="00163523" w:rsidRPr="00FE6AD3">
          <w:rPr>
            <w:rStyle w:val="Hyperlink"/>
            <w:noProof/>
          </w:rPr>
          <w:t>Selection of key risks related to gas decarbonisation scenarios</w:t>
        </w:r>
        <w:r w:rsidR="00163523">
          <w:rPr>
            <w:noProof/>
            <w:webHidden/>
          </w:rPr>
          <w:tab/>
        </w:r>
        <w:r w:rsidR="00163523">
          <w:rPr>
            <w:noProof/>
            <w:webHidden/>
          </w:rPr>
          <w:fldChar w:fldCharType="begin"/>
        </w:r>
        <w:r w:rsidR="00163523">
          <w:rPr>
            <w:noProof/>
            <w:webHidden/>
          </w:rPr>
          <w:instrText xml:space="preserve"> PAGEREF _Toc144803004 \h </w:instrText>
        </w:r>
        <w:r w:rsidR="00163523">
          <w:rPr>
            <w:noProof/>
            <w:webHidden/>
          </w:rPr>
        </w:r>
        <w:r w:rsidR="00163523">
          <w:rPr>
            <w:noProof/>
            <w:webHidden/>
          </w:rPr>
          <w:fldChar w:fldCharType="separate"/>
        </w:r>
        <w:r w:rsidR="00163523">
          <w:rPr>
            <w:noProof/>
            <w:webHidden/>
          </w:rPr>
          <w:t>9</w:t>
        </w:r>
        <w:r w:rsidR="00163523">
          <w:rPr>
            <w:noProof/>
            <w:webHidden/>
          </w:rPr>
          <w:fldChar w:fldCharType="end"/>
        </w:r>
      </w:hyperlink>
    </w:p>
    <w:p w14:paraId="41E79BEF" w14:textId="1C0D53F1" w:rsidR="00163523" w:rsidRDefault="009A750B">
      <w:pPr>
        <w:pStyle w:val="Inhopg2"/>
        <w:rPr>
          <w:rFonts w:asciiTheme="minorHAnsi" w:eastAsiaTheme="minorEastAsia" w:hAnsiTheme="minorHAnsi" w:cstheme="minorBidi"/>
          <w:b w:val="0"/>
          <w:bCs w:val="0"/>
          <w:noProof/>
          <w:color w:val="auto"/>
          <w:kern w:val="2"/>
          <w:sz w:val="22"/>
          <w:szCs w:val="22"/>
          <w14:ligatures w14:val="standardContextual"/>
        </w:rPr>
      </w:pPr>
      <w:hyperlink w:anchor="_Toc144803005" w:history="1">
        <w:r w:rsidR="00163523" w:rsidRPr="00FE6AD3">
          <w:rPr>
            <w:rStyle w:val="Hyperlink"/>
            <w:noProof/>
          </w:rPr>
          <w:t>2.3</w:t>
        </w:r>
        <w:r w:rsidR="00163523">
          <w:rPr>
            <w:rFonts w:asciiTheme="minorHAnsi" w:eastAsiaTheme="minorEastAsia" w:hAnsiTheme="minorHAnsi" w:cstheme="minorBidi"/>
            <w:b w:val="0"/>
            <w:bCs w:val="0"/>
            <w:noProof/>
            <w:color w:val="auto"/>
            <w:kern w:val="2"/>
            <w:sz w:val="22"/>
            <w:szCs w:val="22"/>
            <w14:ligatures w14:val="standardContextual"/>
          </w:rPr>
          <w:tab/>
        </w:r>
        <w:r w:rsidR="00163523" w:rsidRPr="00FE6AD3">
          <w:rPr>
            <w:rStyle w:val="Hyperlink"/>
            <w:noProof/>
          </w:rPr>
          <w:t>Additional risks identified by stakeholders</w:t>
        </w:r>
        <w:r w:rsidR="00163523">
          <w:rPr>
            <w:noProof/>
            <w:webHidden/>
          </w:rPr>
          <w:tab/>
        </w:r>
        <w:r w:rsidR="00163523">
          <w:rPr>
            <w:noProof/>
            <w:webHidden/>
          </w:rPr>
          <w:fldChar w:fldCharType="begin"/>
        </w:r>
        <w:r w:rsidR="00163523">
          <w:rPr>
            <w:noProof/>
            <w:webHidden/>
          </w:rPr>
          <w:instrText xml:space="preserve"> PAGEREF _Toc144803005 \h </w:instrText>
        </w:r>
        <w:r w:rsidR="00163523">
          <w:rPr>
            <w:noProof/>
            <w:webHidden/>
          </w:rPr>
        </w:r>
        <w:r w:rsidR="00163523">
          <w:rPr>
            <w:noProof/>
            <w:webHidden/>
          </w:rPr>
          <w:fldChar w:fldCharType="separate"/>
        </w:r>
        <w:r w:rsidR="00163523">
          <w:rPr>
            <w:noProof/>
            <w:webHidden/>
          </w:rPr>
          <w:t>12</w:t>
        </w:r>
        <w:r w:rsidR="00163523">
          <w:rPr>
            <w:noProof/>
            <w:webHidden/>
          </w:rPr>
          <w:fldChar w:fldCharType="end"/>
        </w:r>
      </w:hyperlink>
    </w:p>
    <w:p w14:paraId="6D560A25" w14:textId="43F87C49" w:rsidR="00163523" w:rsidRDefault="009A750B" w:rsidP="00163523">
      <w:pPr>
        <w:pStyle w:val="Inhopg1"/>
        <w:rPr>
          <w:rFonts w:asciiTheme="minorHAnsi" w:eastAsiaTheme="minorEastAsia" w:hAnsiTheme="minorHAnsi"/>
          <w:noProof/>
          <w:color w:val="auto"/>
          <w:kern w:val="2"/>
          <w:szCs w:val="22"/>
          <w14:ligatures w14:val="standardContextual"/>
        </w:rPr>
      </w:pPr>
      <w:hyperlink w:anchor="_Toc144803006" w:history="1">
        <w:r w:rsidR="00163523" w:rsidRPr="00FE6AD3">
          <w:rPr>
            <w:rStyle w:val="Hyperlink"/>
            <w:noProof/>
          </w:rPr>
          <w:t>3</w:t>
        </w:r>
        <w:r w:rsidR="00163523">
          <w:rPr>
            <w:rFonts w:asciiTheme="minorHAnsi" w:eastAsiaTheme="minorEastAsia" w:hAnsiTheme="minorHAnsi"/>
            <w:noProof/>
            <w:color w:val="auto"/>
            <w:kern w:val="2"/>
            <w:szCs w:val="22"/>
            <w14:ligatures w14:val="standardContextual"/>
          </w:rPr>
          <w:tab/>
        </w:r>
        <w:r w:rsidR="00163523" w:rsidRPr="00FE6AD3">
          <w:rPr>
            <w:rStyle w:val="Hyperlink"/>
            <w:noProof/>
          </w:rPr>
          <w:t>Risk assessment</w:t>
        </w:r>
        <w:r w:rsidR="00163523">
          <w:rPr>
            <w:noProof/>
            <w:webHidden/>
          </w:rPr>
          <w:tab/>
        </w:r>
        <w:r w:rsidR="00163523">
          <w:rPr>
            <w:noProof/>
            <w:webHidden/>
          </w:rPr>
          <w:fldChar w:fldCharType="begin"/>
        </w:r>
        <w:r w:rsidR="00163523">
          <w:rPr>
            <w:noProof/>
            <w:webHidden/>
          </w:rPr>
          <w:instrText xml:space="preserve"> PAGEREF _Toc144803006 \h </w:instrText>
        </w:r>
        <w:r w:rsidR="00163523">
          <w:rPr>
            <w:noProof/>
            <w:webHidden/>
          </w:rPr>
        </w:r>
        <w:r w:rsidR="00163523">
          <w:rPr>
            <w:noProof/>
            <w:webHidden/>
          </w:rPr>
          <w:fldChar w:fldCharType="separate"/>
        </w:r>
        <w:r w:rsidR="00163523">
          <w:rPr>
            <w:noProof/>
            <w:webHidden/>
          </w:rPr>
          <w:t>14</w:t>
        </w:r>
        <w:r w:rsidR="00163523">
          <w:rPr>
            <w:noProof/>
            <w:webHidden/>
          </w:rPr>
          <w:fldChar w:fldCharType="end"/>
        </w:r>
      </w:hyperlink>
    </w:p>
    <w:p w14:paraId="18D023FB" w14:textId="26CF3C9A" w:rsidR="00163523" w:rsidRDefault="009A750B">
      <w:pPr>
        <w:pStyle w:val="Inhopg2"/>
        <w:rPr>
          <w:rFonts w:asciiTheme="minorHAnsi" w:eastAsiaTheme="minorEastAsia" w:hAnsiTheme="minorHAnsi" w:cstheme="minorBidi"/>
          <w:b w:val="0"/>
          <w:bCs w:val="0"/>
          <w:noProof/>
          <w:color w:val="auto"/>
          <w:kern w:val="2"/>
          <w:sz w:val="22"/>
          <w:szCs w:val="22"/>
          <w14:ligatures w14:val="standardContextual"/>
        </w:rPr>
      </w:pPr>
      <w:hyperlink w:anchor="_Toc144803007" w:history="1">
        <w:r w:rsidR="00163523" w:rsidRPr="00FE6AD3">
          <w:rPr>
            <w:rStyle w:val="Hyperlink"/>
            <w:noProof/>
          </w:rPr>
          <w:t>3.1</w:t>
        </w:r>
        <w:r w:rsidR="00163523">
          <w:rPr>
            <w:rFonts w:asciiTheme="minorHAnsi" w:eastAsiaTheme="minorEastAsia" w:hAnsiTheme="minorHAnsi" w:cstheme="minorBidi"/>
            <w:b w:val="0"/>
            <w:bCs w:val="0"/>
            <w:noProof/>
            <w:color w:val="auto"/>
            <w:kern w:val="2"/>
            <w:sz w:val="22"/>
            <w:szCs w:val="22"/>
            <w14:ligatures w14:val="standardContextual"/>
          </w:rPr>
          <w:tab/>
        </w:r>
        <w:r w:rsidR="00163523" w:rsidRPr="00FE6AD3">
          <w:rPr>
            <w:rStyle w:val="Hyperlink"/>
            <w:noProof/>
          </w:rPr>
          <w:t>Risk 1: Economic turndown and instability can limit ability of local gas producers, users, network operators and authorities to invest in decarbonisation measures</w:t>
        </w:r>
        <w:r w:rsidR="00163523">
          <w:rPr>
            <w:noProof/>
            <w:webHidden/>
          </w:rPr>
          <w:tab/>
        </w:r>
        <w:r w:rsidR="00163523">
          <w:rPr>
            <w:noProof/>
            <w:webHidden/>
          </w:rPr>
          <w:fldChar w:fldCharType="begin"/>
        </w:r>
        <w:r w:rsidR="00163523">
          <w:rPr>
            <w:noProof/>
            <w:webHidden/>
          </w:rPr>
          <w:instrText xml:space="preserve"> PAGEREF _Toc144803007 \h </w:instrText>
        </w:r>
        <w:r w:rsidR="00163523">
          <w:rPr>
            <w:noProof/>
            <w:webHidden/>
          </w:rPr>
        </w:r>
        <w:r w:rsidR="00163523">
          <w:rPr>
            <w:noProof/>
            <w:webHidden/>
          </w:rPr>
          <w:fldChar w:fldCharType="separate"/>
        </w:r>
        <w:r w:rsidR="00163523">
          <w:rPr>
            <w:noProof/>
            <w:webHidden/>
          </w:rPr>
          <w:t>14</w:t>
        </w:r>
        <w:r w:rsidR="00163523">
          <w:rPr>
            <w:noProof/>
            <w:webHidden/>
          </w:rPr>
          <w:fldChar w:fldCharType="end"/>
        </w:r>
      </w:hyperlink>
    </w:p>
    <w:p w14:paraId="04011573" w14:textId="79DB6F32" w:rsidR="00163523" w:rsidRDefault="009A750B">
      <w:pPr>
        <w:pStyle w:val="Inhopg2"/>
        <w:rPr>
          <w:rFonts w:asciiTheme="minorHAnsi" w:eastAsiaTheme="minorEastAsia" w:hAnsiTheme="minorHAnsi" w:cstheme="minorBidi"/>
          <w:b w:val="0"/>
          <w:bCs w:val="0"/>
          <w:noProof/>
          <w:color w:val="auto"/>
          <w:kern w:val="2"/>
          <w:sz w:val="22"/>
          <w:szCs w:val="22"/>
          <w14:ligatures w14:val="standardContextual"/>
        </w:rPr>
      </w:pPr>
      <w:hyperlink w:anchor="_Toc144803008" w:history="1">
        <w:r w:rsidR="00163523" w:rsidRPr="00FE6AD3">
          <w:rPr>
            <w:rStyle w:val="Hyperlink"/>
            <w:noProof/>
          </w:rPr>
          <w:t>3.2</w:t>
        </w:r>
        <w:r w:rsidR="00163523">
          <w:rPr>
            <w:rFonts w:asciiTheme="minorHAnsi" w:eastAsiaTheme="minorEastAsia" w:hAnsiTheme="minorHAnsi" w:cstheme="minorBidi"/>
            <w:b w:val="0"/>
            <w:bCs w:val="0"/>
            <w:noProof/>
            <w:color w:val="auto"/>
            <w:kern w:val="2"/>
            <w:sz w:val="22"/>
            <w:szCs w:val="22"/>
            <w14:ligatures w14:val="standardContextual"/>
          </w:rPr>
          <w:tab/>
        </w:r>
        <w:r w:rsidR="00163523" w:rsidRPr="00FE6AD3">
          <w:rPr>
            <w:rStyle w:val="Hyperlink"/>
            <w:noProof/>
          </w:rPr>
          <w:t>Risk 2: Supply dependence and bottlenecks for energy technologies can increase costs/slow down transition</w:t>
        </w:r>
        <w:r w:rsidR="00163523">
          <w:rPr>
            <w:noProof/>
            <w:webHidden/>
          </w:rPr>
          <w:tab/>
        </w:r>
        <w:r w:rsidR="00163523">
          <w:rPr>
            <w:noProof/>
            <w:webHidden/>
          </w:rPr>
          <w:fldChar w:fldCharType="begin"/>
        </w:r>
        <w:r w:rsidR="00163523">
          <w:rPr>
            <w:noProof/>
            <w:webHidden/>
          </w:rPr>
          <w:instrText xml:space="preserve"> PAGEREF _Toc144803008 \h </w:instrText>
        </w:r>
        <w:r w:rsidR="00163523">
          <w:rPr>
            <w:noProof/>
            <w:webHidden/>
          </w:rPr>
        </w:r>
        <w:r w:rsidR="00163523">
          <w:rPr>
            <w:noProof/>
            <w:webHidden/>
          </w:rPr>
          <w:fldChar w:fldCharType="separate"/>
        </w:r>
        <w:r w:rsidR="00163523">
          <w:rPr>
            <w:noProof/>
            <w:webHidden/>
          </w:rPr>
          <w:t>16</w:t>
        </w:r>
        <w:r w:rsidR="00163523">
          <w:rPr>
            <w:noProof/>
            <w:webHidden/>
          </w:rPr>
          <w:fldChar w:fldCharType="end"/>
        </w:r>
      </w:hyperlink>
    </w:p>
    <w:p w14:paraId="38A09845" w14:textId="7C191FF9" w:rsidR="00163523" w:rsidRDefault="009A750B">
      <w:pPr>
        <w:pStyle w:val="Inhopg2"/>
        <w:rPr>
          <w:rFonts w:asciiTheme="minorHAnsi" w:eastAsiaTheme="minorEastAsia" w:hAnsiTheme="minorHAnsi" w:cstheme="minorBidi"/>
          <w:b w:val="0"/>
          <w:bCs w:val="0"/>
          <w:noProof/>
          <w:color w:val="auto"/>
          <w:kern w:val="2"/>
          <w:sz w:val="22"/>
          <w:szCs w:val="22"/>
          <w14:ligatures w14:val="standardContextual"/>
        </w:rPr>
      </w:pPr>
      <w:hyperlink w:anchor="_Toc144803009" w:history="1">
        <w:r w:rsidR="00163523" w:rsidRPr="00FE6AD3">
          <w:rPr>
            <w:rStyle w:val="Hyperlink"/>
            <w:noProof/>
          </w:rPr>
          <w:t>3.3</w:t>
        </w:r>
        <w:r w:rsidR="00163523">
          <w:rPr>
            <w:rFonts w:asciiTheme="minorHAnsi" w:eastAsiaTheme="minorEastAsia" w:hAnsiTheme="minorHAnsi" w:cstheme="minorBidi"/>
            <w:b w:val="0"/>
            <w:bCs w:val="0"/>
            <w:noProof/>
            <w:color w:val="auto"/>
            <w:kern w:val="2"/>
            <w:sz w:val="22"/>
            <w:szCs w:val="22"/>
            <w14:ligatures w14:val="standardContextual"/>
          </w:rPr>
          <w:tab/>
        </w:r>
        <w:r w:rsidR="00163523" w:rsidRPr="00FE6AD3">
          <w:rPr>
            <w:rStyle w:val="Hyperlink"/>
            <w:noProof/>
          </w:rPr>
          <w:t>Risk 3: Fossil gas decarbonisation can negatively affect competitiveness of industrial users</w:t>
        </w:r>
        <w:r w:rsidR="00163523">
          <w:rPr>
            <w:noProof/>
            <w:webHidden/>
          </w:rPr>
          <w:tab/>
        </w:r>
        <w:r w:rsidR="00163523">
          <w:rPr>
            <w:noProof/>
            <w:webHidden/>
          </w:rPr>
          <w:fldChar w:fldCharType="begin"/>
        </w:r>
        <w:r w:rsidR="00163523">
          <w:rPr>
            <w:noProof/>
            <w:webHidden/>
          </w:rPr>
          <w:instrText xml:space="preserve"> PAGEREF _Toc144803009 \h </w:instrText>
        </w:r>
        <w:r w:rsidR="00163523">
          <w:rPr>
            <w:noProof/>
            <w:webHidden/>
          </w:rPr>
        </w:r>
        <w:r w:rsidR="00163523">
          <w:rPr>
            <w:noProof/>
            <w:webHidden/>
          </w:rPr>
          <w:fldChar w:fldCharType="separate"/>
        </w:r>
        <w:r w:rsidR="00163523">
          <w:rPr>
            <w:noProof/>
            <w:webHidden/>
          </w:rPr>
          <w:t>18</w:t>
        </w:r>
        <w:r w:rsidR="00163523">
          <w:rPr>
            <w:noProof/>
            <w:webHidden/>
          </w:rPr>
          <w:fldChar w:fldCharType="end"/>
        </w:r>
      </w:hyperlink>
    </w:p>
    <w:p w14:paraId="03FE7174" w14:textId="001A62A5" w:rsidR="00163523" w:rsidRDefault="009A750B">
      <w:pPr>
        <w:pStyle w:val="Inhopg2"/>
        <w:rPr>
          <w:rFonts w:asciiTheme="minorHAnsi" w:eastAsiaTheme="minorEastAsia" w:hAnsiTheme="minorHAnsi" w:cstheme="minorBidi"/>
          <w:b w:val="0"/>
          <w:bCs w:val="0"/>
          <w:noProof/>
          <w:color w:val="auto"/>
          <w:kern w:val="2"/>
          <w:sz w:val="22"/>
          <w:szCs w:val="22"/>
          <w14:ligatures w14:val="standardContextual"/>
        </w:rPr>
      </w:pPr>
      <w:hyperlink w:anchor="_Toc144803010" w:history="1">
        <w:r w:rsidR="00163523" w:rsidRPr="00FE6AD3">
          <w:rPr>
            <w:rStyle w:val="Hyperlink"/>
            <w:noProof/>
          </w:rPr>
          <w:t>3.4</w:t>
        </w:r>
        <w:r w:rsidR="00163523">
          <w:rPr>
            <w:rFonts w:asciiTheme="minorHAnsi" w:eastAsiaTheme="minorEastAsia" w:hAnsiTheme="minorHAnsi" w:cstheme="minorBidi"/>
            <w:b w:val="0"/>
            <w:bCs w:val="0"/>
            <w:noProof/>
            <w:color w:val="auto"/>
            <w:kern w:val="2"/>
            <w:sz w:val="22"/>
            <w:szCs w:val="22"/>
            <w14:ligatures w14:val="standardContextual"/>
          </w:rPr>
          <w:tab/>
        </w:r>
        <w:r w:rsidR="00163523" w:rsidRPr="00FE6AD3">
          <w:rPr>
            <w:rStyle w:val="Hyperlink"/>
            <w:noProof/>
          </w:rPr>
          <w:t>Risk 4: Developments in global energy markets impact competitiveness of gas decarbonisation solutions</w:t>
        </w:r>
        <w:r w:rsidR="00163523">
          <w:rPr>
            <w:noProof/>
            <w:webHidden/>
          </w:rPr>
          <w:tab/>
        </w:r>
        <w:r w:rsidR="00163523">
          <w:rPr>
            <w:noProof/>
            <w:webHidden/>
          </w:rPr>
          <w:fldChar w:fldCharType="begin"/>
        </w:r>
        <w:r w:rsidR="00163523">
          <w:rPr>
            <w:noProof/>
            <w:webHidden/>
          </w:rPr>
          <w:instrText xml:space="preserve"> PAGEREF _Toc144803010 \h </w:instrText>
        </w:r>
        <w:r w:rsidR="00163523">
          <w:rPr>
            <w:noProof/>
            <w:webHidden/>
          </w:rPr>
        </w:r>
        <w:r w:rsidR="00163523">
          <w:rPr>
            <w:noProof/>
            <w:webHidden/>
          </w:rPr>
          <w:fldChar w:fldCharType="separate"/>
        </w:r>
        <w:r w:rsidR="00163523">
          <w:rPr>
            <w:noProof/>
            <w:webHidden/>
          </w:rPr>
          <w:t>20</w:t>
        </w:r>
        <w:r w:rsidR="00163523">
          <w:rPr>
            <w:noProof/>
            <w:webHidden/>
          </w:rPr>
          <w:fldChar w:fldCharType="end"/>
        </w:r>
      </w:hyperlink>
    </w:p>
    <w:p w14:paraId="53530F36" w14:textId="5CEF85AD" w:rsidR="00163523" w:rsidRDefault="009A750B">
      <w:pPr>
        <w:pStyle w:val="Inhopg2"/>
        <w:rPr>
          <w:rFonts w:asciiTheme="minorHAnsi" w:eastAsiaTheme="minorEastAsia" w:hAnsiTheme="minorHAnsi" w:cstheme="minorBidi"/>
          <w:b w:val="0"/>
          <w:bCs w:val="0"/>
          <w:noProof/>
          <w:color w:val="auto"/>
          <w:kern w:val="2"/>
          <w:sz w:val="22"/>
          <w:szCs w:val="22"/>
          <w14:ligatures w14:val="standardContextual"/>
        </w:rPr>
      </w:pPr>
      <w:hyperlink w:anchor="_Toc144803011" w:history="1">
        <w:r w:rsidR="00163523" w:rsidRPr="00FE6AD3">
          <w:rPr>
            <w:rStyle w:val="Hyperlink"/>
            <w:noProof/>
          </w:rPr>
          <w:t>3.5</w:t>
        </w:r>
        <w:r w:rsidR="00163523">
          <w:rPr>
            <w:rFonts w:asciiTheme="minorHAnsi" w:eastAsiaTheme="minorEastAsia" w:hAnsiTheme="minorHAnsi" w:cstheme="minorBidi"/>
            <w:b w:val="0"/>
            <w:bCs w:val="0"/>
            <w:noProof/>
            <w:color w:val="auto"/>
            <w:kern w:val="2"/>
            <w:sz w:val="22"/>
            <w:szCs w:val="22"/>
            <w14:ligatures w14:val="standardContextual"/>
          </w:rPr>
          <w:tab/>
        </w:r>
        <w:r w:rsidR="00163523" w:rsidRPr="00FE6AD3">
          <w:rPr>
            <w:rStyle w:val="Hyperlink"/>
            <w:noProof/>
          </w:rPr>
          <w:t>Risk 5: Fragmentation of regional/national gas networks and markets</w:t>
        </w:r>
        <w:r w:rsidR="00163523">
          <w:rPr>
            <w:noProof/>
            <w:webHidden/>
          </w:rPr>
          <w:tab/>
        </w:r>
        <w:r w:rsidR="00163523">
          <w:rPr>
            <w:noProof/>
            <w:webHidden/>
          </w:rPr>
          <w:fldChar w:fldCharType="begin"/>
        </w:r>
        <w:r w:rsidR="00163523">
          <w:rPr>
            <w:noProof/>
            <w:webHidden/>
          </w:rPr>
          <w:instrText xml:space="preserve"> PAGEREF _Toc144803011 \h </w:instrText>
        </w:r>
        <w:r w:rsidR="00163523">
          <w:rPr>
            <w:noProof/>
            <w:webHidden/>
          </w:rPr>
        </w:r>
        <w:r w:rsidR="00163523">
          <w:rPr>
            <w:noProof/>
            <w:webHidden/>
          </w:rPr>
          <w:fldChar w:fldCharType="separate"/>
        </w:r>
        <w:r w:rsidR="00163523">
          <w:rPr>
            <w:noProof/>
            <w:webHidden/>
          </w:rPr>
          <w:t>22</w:t>
        </w:r>
        <w:r w:rsidR="00163523">
          <w:rPr>
            <w:noProof/>
            <w:webHidden/>
          </w:rPr>
          <w:fldChar w:fldCharType="end"/>
        </w:r>
      </w:hyperlink>
    </w:p>
    <w:p w14:paraId="347B5A91" w14:textId="41A468B8" w:rsidR="00163523" w:rsidRDefault="009A750B">
      <w:pPr>
        <w:pStyle w:val="Inhopg2"/>
        <w:rPr>
          <w:rFonts w:asciiTheme="minorHAnsi" w:eastAsiaTheme="minorEastAsia" w:hAnsiTheme="minorHAnsi" w:cstheme="minorBidi"/>
          <w:b w:val="0"/>
          <w:bCs w:val="0"/>
          <w:noProof/>
          <w:color w:val="auto"/>
          <w:kern w:val="2"/>
          <w:sz w:val="22"/>
          <w:szCs w:val="22"/>
          <w14:ligatures w14:val="standardContextual"/>
        </w:rPr>
      </w:pPr>
      <w:hyperlink w:anchor="_Toc144803012" w:history="1">
        <w:r w:rsidR="00163523" w:rsidRPr="00FE6AD3">
          <w:rPr>
            <w:rStyle w:val="Hyperlink"/>
            <w:noProof/>
          </w:rPr>
          <w:t>3.6</w:t>
        </w:r>
        <w:r w:rsidR="00163523">
          <w:rPr>
            <w:rFonts w:asciiTheme="minorHAnsi" w:eastAsiaTheme="minorEastAsia" w:hAnsiTheme="minorHAnsi" w:cstheme="minorBidi"/>
            <w:b w:val="0"/>
            <w:bCs w:val="0"/>
            <w:noProof/>
            <w:color w:val="auto"/>
            <w:kern w:val="2"/>
            <w:sz w:val="22"/>
            <w:szCs w:val="22"/>
            <w14:ligatures w14:val="standardContextual"/>
          </w:rPr>
          <w:tab/>
        </w:r>
        <w:r w:rsidR="00163523" w:rsidRPr="00FE6AD3">
          <w:rPr>
            <w:rStyle w:val="Hyperlink"/>
            <w:noProof/>
          </w:rPr>
          <w:t>Risk 6: Gas network and storage infrastructure cannot be adequately or timely developed, including repurposing or adaptation of natural gas infrastructure</w:t>
        </w:r>
        <w:r w:rsidR="00163523">
          <w:rPr>
            <w:noProof/>
            <w:webHidden/>
          </w:rPr>
          <w:tab/>
        </w:r>
        <w:r w:rsidR="00163523">
          <w:rPr>
            <w:noProof/>
            <w:webHidden/>
          </w:rPr>
          <w:fldChar w:fldCharType="begin"/>
        </w:r>
        <w:r w:rsidR="00163523">
          <w:rPr>
            <w:noProof/>
            <w:webHidden/>
          </w:rPr>
          <w:instrText xml:space="preserve"> PAGEREF _Toc144803012 \h </w:instrText>
        </w:r>
        <w:r w:rsidR="00163523">
          <w:rPr>
            <w:noProof/>
            <w:webHidden/>
          </w:rPr>
        </w:r>
        <w:r w:rsidR="00163523">
          <w:rPr>
            <w:noProof/>
            <w:webHidden/>
          </w:rPr>
          <w:fldChar w:fldCharType="separate"/>
        </w:r>
        <w:r w:rsidR="00163523">
          <w:rPr>
            <w:noProof/>
            <w:webHidden/>
          </w:rPr>
          <w:t>23</w:t>
        </w:r>
        <w:r w:rsidR="00163523">
          <w:rPr>
            <w:noProof/>
            <w:webHidden/>
          </w:rPr>
          <w:fldChar w:fldCharType="end"/>
        </w:r>
      </w:hyperlink>
    </w:p>
    <w:p w14:paraId="7B4E3F3E" w14:textId="61DE4CF4" w:rsidR="00163523" w:rsidRDefault="009A750B">
      <w:pPr>
        <w:pStyle w:val="Inhopg2"/>
        <w:rPr>
          <w:rFonts w:asciiTheme="minorHAnsi" w:eastAsiaTheme="minorEastAsia" w:hAnsiTheme="minorHAnsi" w:cstheme="minorBidi"/>
          <w:b w:val="0"/>
          <w:bCs w:val="0"/>
          <w:noProof/>
          <w:color w:val="auto"/>
          <w:kern w:val="2"/>
          <w:sz w:val="22"/>
          <w:szCs w:val="22"/>
          <w14:ligatures w14:val="standardContextual"/>
        </w:rPr>
      </w:pPr>
      <w:hyperlink w:anchor="_Toc144803013" w:history="1">
        <w:r w:rsidR="00163523" w:rsidRPr="00FE6AD3">
          <w:rPr>
            <w:rStyle w:val="Hyperlink"/>
            <w:noProof/>
          </w:rPr>
          <w:t>3.7</w:t>
        </w:r>
        <w:r w:rsidR="00163523">
          <w:rPr>
            <w:rFonts w:asciiTheme="minorHAnsi" w:eastAsiaTheme="minorEastAsia" w:hAnsiTheme="minorHAnsi" w:cstheme="minorBidi"/>
            <w:b w:val="0"/>
            <w:bCs w:val="0"/>
            <w:noProof/>
            <w:color w:val="auto"/>
            <w:kern w:val="2"/>
            <w:sz w:val="22"/>
            <w:szCs w:val="22"/>
            <w14:ligatures w14:val="standardContextual"/>
          </w:rPr>
          <w:tab/>
        </w:r>
        <w:r w:rsidR="00163523" w:rsidRPr="00FE6AD3">
          <w:rPr>
            <w:rStyle w:val="Hyperlink"/>
            <w:noProof/>
          </w:rPr>
          <w:t>Risk 7: Security of gas supply can be threatened due to adequacy/flexibility issues of the regional energy system</w:t>
        </w:r>
        <w:r w:rsidR="00163523">
          <w:rPr>
            <w:noProof/>
            <w:webHidden/>
          </w:rPr>
          <w:tab/>
        </w:r>
        <w:r w:rsidR="00163523">
          <w:rPr>
            <w:noProof/>
            <w:webHidden/>
          </w:rPr>
          <w:fldChar w:fldCharType="begin"/>
        </w:r>
        <w:r w:rsidR="00163523">
          <w:rPr>
            <w:noProof/>
            <w:webHidden/>
          </w:rPr>
          <w:instrText xml:space="preserve"> PAGEREF _Toc144803013 \h </w:instrText>
        </w:r>
        <w:r w:rsidR="00163523">
          <w:rPr>
            <w:noProof/>
            <w:webHidden/>
          </w:rPr>
        </w:r>
        <w:r w:rsidR="00163523">
          <w:rPr>
            <w:noProof/>
            <w:webHidden/>
          </w:rPr>
          <w:fldChar w:fldCharType="separate"/>
        </w:r>
        <w:r w:rsidR="00163523">
          <w:rPr>
            <w:noProof/>
            <w:webHidden/>
          </w:rPr>
          <w:t>25</w:t>
        </w:r>
        <w:r w:rsidR="00163523">
          <w:rPr>
            <w:noProof/>
            <w:webHidden/>
          </w:rPr>
          <w:fldChar w:fldCharType="end"/>
        </w:r>
      </w:hyperlink>
    </w:p>
    <w:p w14:paraId="03DD342C" w14:textId="116D7BC3" w:rsidR="00163523" w:rsidRDefault="009A750B">
      <w:pPr>
        <w:pStyle w:val="Inhopg2"/>
        <w:rPr>
          <w:rFonts w:asciiTheme="minorHAnsi" w:eastAsiaTheme="minorEastAsia" w:hAnsiTheme="minorHAnsi" w:cstheme="minorBidi"/>
          <w:b w:val="0"/>
          <w:bCs w:val="0"/>
          <w:noProof/>
          <w:color w:val="auto"/>
          <w:kern w:val="2"/>
          <w:sz w:val="22"/>
          <w:szCs w:val="22"/>
          <w14:ligatures w14:val="standardContextual"/>
        </w:rPr>
      </w:pPr>
      <w:hyperlink w:anchor="_Toc144803014" w:history="1">
        <w:r w:rsidR="00163523" w:rsidRPr="00FE6AD3">
          <w:rPr>
            <w:rStyle w:val="Hyperlink"/>
            <w:noProof/>
          </w:rPr>
          <w:t>3.8</w:t>
        </w:r>
        <w:r w:rsidR="00163523">
          <w:rPr>
            <w:rFonts w:asciiTheme="minorHAnsi" w:eastAsiaTheme="minorEastAsia" w:hAnsiTheme="minorHAnsi" w:cstheme="minorBidi"/>
            <w:b w:val="0"/>
            <w:bCs w:val="0"/>
            <w:noProof/>
            <w:color w:val="auto"/>
            <w:kern w:val="2"/>
            <w:sz w:val="22"/>
            <w:szCs w:val="22"/>
            <w14:ligatures w14:val="standardContextual"/>
          </w:rPr>
          <w:tab/>
        </w:r>
        <w:r w:rsidR="00163523" w:rsidRPr="00FE6AD3">
          <w:rPr>
            <w:rStyle w:val="Hyperlink"/>
            <w:noProof/>
          </w:rPr>
          <w:t>Risk 8: Security of gas supply can be threatened due to external energy dependence</w:t>
        </w:r>
        <w:r w:rsidR="00163523">
          <w:rPr>
            <w:noProof/>
            <w:webHidden/>
          </w:rPr>
          <w:tab/>
        </w:r>
        <w:r w:rsidR="00163523">
          <w:rPr>
            <w:noProof/>
            <w:webHidden/>
          </w:rPr>
          <w:fldChar w:fldCharType="begin"/>
        </w:r>
        <w:r w:rsidR="00163523">
          <w:rPr>
            <w:noProof/>
            <w:webHidden/>
          </w:rPr>
          <w:instrText xml:space="preserve"> PAGEREF _Toc144803014 \h </w:instrText>
        </w:r>
        <w:r w:rsidR="00163523">
          <w:rPr>
            <w:noProof/>
            <w:webHidden/>
          </w:rPr>
        </w:r>
        <w:r w:rsidR="00163523">
          <w:rPr>
            <w:noProof/>
            <w:webHidden/>
          </w:rPr>
          <w:fldChar w:fldCharType="separate"/>
        </w:r>
        <w:r w:rsidR="00163523">
          <w:rPr>
            <w:noProof/>
            <w:webHidden/>
          </w:rPr>
          <w:t>27</w:t>
        </w:r>
        <w:r w:rsidR="00163523">
          <w:rPr>
            <w:noProof/>
            <w:webHidden/>
          </w:rPr>
          <w:fldChar w:fldCharType="end"/>
        </w:r>
      </w:hyperlink>
    </w:p>
    <w:p w14:paraId="58273F32" w14:textId="20D88FE4" w:rsidR="00163523" w:rsidRDefault="009A750B">
      <w:pPr>
        <w:pStyle w:val="Inhopg2"/>
        <w:rPr>
          <w:rFonts w:asciiTheme="minorHAnsi" w:eastAsiaTheme="minorEastAsia" w:hAnsiTheme="minorHAnsi" w:cstheme="minorBidi"/>
          <w:b w:val="0"/>
          <w:bCs w:val="0"/>
          <w:noProof/>
          <w:color w:val="auto"/>
          <w:kern w:val="2"/>
          <w:sz w:val="22"/>
          <w:szCs w:val="22"/>
          <w14:ligatures w14:val="standardContextual"/>
        </w:rPr>
      </w:pPr>
      <w:hyperlink w:anchor="_Toc144803015" w:history="1">
        <w:r w:rsidR="00163523" w:rsidRPr="00FE6AD3">
          <w:rPr>
            <w:rStyle w:val="Hyperlink"/>
            <w:noProof/>
          </w:rPr>
          <w:t>3.9</w:t>
        </w:r>
        <w:r w:rsidR="00163523">
          <w:rPr>
            <w:rFonts w:asciiTheme="minorHAnsi" w:eastAsiaTheme="minorEastAsia" w:hAnsiTheme="minorHAnsi" w:cstheme="minorBidi"/>
            <w:b w:val="0"/>
            <w:bCs w:val="0"/>
            <w:noProof/>
            <w:color w:val="auto"/>
            <w:kern w:val="2"/>
            <w:sz w:val="22"/>
            <w:szCs w:val="22"/>
            <w14:ligatures w14:val="standardContextual"/>
          </w:rPr>
          <w:tab/>
        </w:r>
        <w:r w:rsidR="00163523" w:rsidRPr="00FE6AD3">
          <w:rPr>
            <w:rStyle w:val="Hyperlink"/>
            <w:noProof/>
          </w:rPr>
          <w:t>Risk 9: Available inputs for production of R/LC gases, e.g. renewable electricity or biomass can be insufficient</w:t>
        </w:r>
        <w:r w:rsidR="00163523">
          <w:rPr>
            <w:noProof/>
            <w:webHidden/>
          </w:rPr>
          <w:tab/>
        </w:r>
        <w:r w:rsidR="00163523">
          <w:rPr>
            <w:noProof/>
            <w:webHidden/>
          </w:rPr>
          <w:fldChar w:fldCharType="begin"/>
        </w:r>
        <w:r w:rsidR="00163523">
          <w:rPr>
            <w:noProof/>
            <w:webHidden/>
          </w:rPr>
          <w:instrText xml:space="preserve"> PAGEREF _Toc144803015 \h </w:instrText>
        </w:r>
        <w:r w:rsidR="00163523">
          <w:rPr>
            <w:noProof/>
            <w:webHidden/>
          </w:rPr>
        </w:r>
        <w:r w:rsidR="00163523">
          <w:rPr>
            <w:noProof/>
            <w:webHidden/>
          </w:rPr>
          <w:fldChar w:fldCharType="separate"/>
        </w:r>
        <w:r w:rsidR="00163523">
          <w:rPr>
            <w:noProof/>
            <w:webHidden/>
          </w:rPr>
          <w:t>29</w:t>
        </w:r>
        <w:r w:rsidR="00163523">
          <w:rPr>
            <w:noProof/>
            <w:webHidden/>
          </w:rPr>
          <w:fldChar w:fldCharType="end"/>
        </w:r>
      </w:hyperlink>
    </w:p>
    <w:p w14:paraId="74B03861" w14:textId="40B68701" w:rsidR="00163523" w:rsidRDefault="009A750B">
      <w:pPr>
        <w:pStyle w:val="Inhopg2"/>
        <w:rPr>
          <w:rFonts w:asciiTheme="minorHAnsi" w:eastAsiaTheme="minorEastAsia" w:hAnsiTheme="minorHAnsi" w:cstheme="minorBidi"/>
          <w:b w:val="0"/>
          <w:bCs w:val="0"/>
          <w:noProof/>
          <w:color w:val="auto"/>
          <w:kern w:val="2"/>
          <w:sz w:val="22"/>
          <w:szCs w:val="22"/>
          <w14:ligatures w14:val="standardContextual"/>
        </w:rPr>
      </w:pPr>
      <w:hyperlink w:anchor="_Toc144803016" w:history="1">
        <w:r w:rsidR="00163523" w:rsidRPr="00FE6AD3">
          <w:rPr>
            <w:rStyle w:val="Hyperlink"/>
            <w:noProof/>
          </w:rPr>
          <w:t>3.10</w:t>
        </w:r>
        <w:r w:rsidR="00163523">
          <w:rPr>
            <w:rFonts w:asciiTheme="minorHAnsi" w:eastAsiaTheme="minorEastAsia" w:hAnsiTheme="minorHAnsi" w:cstheme="minorBidi"/>
            <w:b w:val="0"/>
            <w:bCs w:val="0"/>
            <w:noProof/>
            <w:color w:val="auto"/>
            <w:kern w:val="2"/>
            <w:sz w:val="22"/>
            <w:szCs w:val="22"/>
            <w14:ligatures w14:val="standardContextual"/>
          </w:rPr>
          <w:tab/>
        </w:r>
        <w:r w:rsidR="00163523" w:rsidRPr="00FE6AD3">
          <w:rPr>
            <w:rStyle w:val="Hyperlink"/>
            <w:noProof/>
          </w:rPr>
          <w:t>Risk 10: Investments in methane infrastructure can lead to lock-in on natural gas or asset stranding</w:t>
        </w:r>
        <w:r w:rsidR="00163523">
          <w:rPr>
            <w:noProof/>
            <w:webHidden/>
          </w:rPr>
          <w:tab/>
        </w:r>
        <w:r w:rsidR="00163523">
          <w:rPr>
            <w:noProof/>
            <w:webHidden/>
          </w:rPr>
          <w:fldChar w:fldCharType="begin"/>
        </w:r>
        <w:r w:rsidR="00163523">
          <w:rPr>
            <w:noProof/>
            <w:webHidden/>
          </w:rPr>
          <w:instrText xml:space="preserve"> PAGEREF _Toc144803016 \h </w:instrText>
        </w:r>
        <w:r w:rsidR="00163523">
          <w:rPr>
            <w:noProof/>
            <w:webHidden/>
          </w:rPr>
        </w:r>
        <w:r w:rsidR="00163523">
          <w:rPr>
            <w:noProof/>
            <w:webHidden/>
          </w:rPr>
          <w:fldChar w:fldCharType="separate"/>
        </w:r>
        <w:r w:rsidR="00163523">
          <w:rPr>
            <w:noProof/>
            <w:webHidden/>
          </w:rPr>
          <w:t>31</w:t>
        </w:r>
        <w:r w:rsidR="00163523">
          <w:rPr>
            <w:noProof/>
            <w:webHidden/>
          </w:rPr>
          <w:fldChar w:fldCharType="end"/>
        </w:r>
      </w:hyperlink>
    </w:p>
    <w:p w14:paraId="276FCB90" w14:textId="0AFC8D07" w:rsidR="00163523" w:rsidRDefault="009A750B">
      <w:pPr>
        <w:pStyle w:val="Inhopg2"/>
        <w:rPr>
          <w:rFonts w:asciiTheme="minorHAnsi" w:eastAsiaTheme="minorEastAsia" w:hAnsiTheme="minorHAnsi" w:cstheme="minorBidi"/>
          <w:b w:val="0"/>
          <w:bCs w:val="0"/>
          <w:noProof/>
          <w:color w:val="auto"/>
          <w:kern w:val="2"/>
          <w:sz w:val="22"/>
          <w:szCs w:val="22"/>
          <w14:ligatures w14:val="standardContextual"/>
        </w:rPr>
      </w:pPr>
      <w:hyperlink w:anchor="_Toc144803017" w:history="1">
        <w:r w:rsidR="00163523" w:rsidRPr="00FE6AD3">
          <w:rPr>
            <w:rStyle w:val="Hyperlink"/>
            <w:noProof/>
          </w:rPr>
          <w:t>3.11</w:t>
        </w:r>
        <w:r w:rsidR="00163523">
          <w:rPr>
            <w:rFonts w:asciiTheme="minorHAnsi" w:eastAsiaTheme="minorEastAsia" w:hAnsiTheme="minorHAnsi" w:cstheme="minorBidi"/>
            <w:b w:val="0"/>
            <w:bCs w:val="0"/>
            <w:noProof/>
            <w:color w:val="auto"/>
            <w:kern w:val="2"/>
            <w:sz w:val="22"/>
            <w:szCs w:val="22"/>
            <w14:ligatures w14:val="standardContextual"/>
          </w:rPr>
          <w:tab/>
        </w:r>
        <w:r w:rsidR="00163523" w:rsidRPr="00FE6AD3">
          <w:rPr>
            <w:rStyle w:val="Hyperlink"/>
            <w:noProof/>
          </w:rPr>
          <w:t>Risk 11: Policies and regulations can present barriers to implementation of gas decarbonization actions</w:t>
        </w:r>
        <w:r w:rsidR="00163523">
          <w:rPr>
            <w:noProof/>
            <w:webHidden/>
          </w:rPr>
          <w:tab/>
        </w:r>
        <w:r w:rsidR="00163523">
          <w:rPr>
            <w:noProof/>
            <w:webHidden/>
          </w:rPr>
          <w:fldChar w:fldCharType="begin"/>
        </w:r>
        <w:r w:rsidR="00163523">
          <w:rPr>
            <w:noProof/>
            <w:webHidden/>
          </w:rPr>
          <w:instrText xml:space="preserve"> PAGEREF _Toc144803017 \h </w:instrText>
        </w:r>
        <w:r w:rsidR="00163523">
          <w:rPr>
            <w:noProof/>
            <w:webHidden/>
          </w:rPr>
        </w:r>
        <w:r w:rsidR="00163523">
          <w:rPr>
            <w:noProof/>
            <w:webHidden/>
          </w:rPr>
          <w:fldChar w:fldCharType="separate"/>
        </w:r>
        <w:r w:rsidR="00163523">
          <w:rPr>
            <w:noProof/>
            <w:webHidden/>
          </w:rPr>
          <w:t>33</w:t>
        </w:r>
        <w:r w:rsidR="00163523">
          <w:rPr>
            <w:noProof/>
            <w:webHidden/>
          </w:rPr>
          <w:fldChar w:fldCharType="end"/>
        </w:r>
      </w:hyperlink>
    </w:p>
    <w:p w14:paraId="06E12391" w14:textId="02124768" w:rsidR="00163523" w:rsidRDefault="009A750B">
      <w:pPr>
        <w:pStyle w:val="Inhopg2"/>
        <w:rPr>
          <w:rFonts w:asciiTheme="minorHAnsi" w:eastAsiaTheme="minorEastAsia" w:hAnsiTheme="minorHAnsi" w:cstheme="minorBidi"/>
          <w:b w:val="0"/>
          <w:bCs w:val="0"/>
          <w:noProof/>
          <w:color w:val="auto"/>
          <w:kern w:val="2"/>
          <w:sz w:val="22"/>
          <w:szCs w:val="22"/>
          <w14:ligatures w14:val="standardContextual"/>
        </w:rPr>
      </w:pPr>
      <w:hyperlink w:anchor="_Toc144803018" w:history="1">
        <w:r w:rsidR="00163523" w:rsidRPr="00FE6AD3">
          <w:rPr>
            <w:rStyle w:val="Hyperlink"/>
            <w:noProof/>
          </w:rPr>
          <w:t>3.12</w:t>
        </w:r>
        <w:r w:rsidR="00163523">
          <w:rPr>
            <w:rFonts w:asciiTheme="minorHAnsi" w:eastAsiaTheme="minorEastAsia" w:hAnsiTheme="minorHAnsi" w:cstheme="minorBidi"/>
            <w:b w:val="0"/>
            <w:bCs w:val="0"/>
            <w:noProof/>
            <w:color w:val="auto"/>
            <w:kern w:val="2"/>
            <w:sz w:val="22"/>
            <w:szCs w:val="22"/>
            <w14:ligatures w14:val="standardContextual"/>
          </w:rPr>
          <w:tab/>
        </w:r>
        <w:r w:rsidR="00163523" w:rsidRPr="00FE6AD3">
          <w:rPr>
            <w:rStyle w:val="Hyperlink"/>
            <w:noProof/>
          </w:rPr>
          <w:t>Risk 12: Some specific gas decarbonisation actions can result in adverse environmental and climate impacts</w:t>
        </w:r>
        <w:r w:rsidR="00163523">
          <w:rPr>
            <w:noProof/>
            <w:webHidden/>
          </w:rPr>
          <w:tab/>
        </w:r>
        <w:r w:rsidR="00163523">
          <w:rPr>
            <w:noProof/>
            <w:webHidden/>
          </w:rPr>
          <w:fldChar w:fldCharType="begin"/>
        </w:r>
        <w:r w:rsidR="00163523">
          <w:rPr>
            <w:noProof/>
            <w:webHidden/>
          </w:rPr>
          <w:instrText xml:space="preserve"> PAGEREF _Toc144803018 \h </w:instrText>
        </w:r>
        <w:r w:rsidR="00163523">
          <w:rPr>
            <w:noProof/>
            <w:webHidden/>
          </w:rPr>
        </w:r>
        <w:r w:rsidR="00163523">
          <w:rPr>
            <w:noProof/>
            <w:webHidden/>
          </w:rPr>
          <w:fldChar w:fldCharType="separate"/>
        </w:r>
        <w:r w:rsidR="00163523">
          <w:rPr>
            <w:noProof/>
            <w:webHidden/>
          </w:rPr>
          <w:t>35</w:t>
        </w:r>
        <w:r w:rsidR="00163523">
          <w:rPr>
            <w:noProof/>
            <w:webHidden/>
          </w:rPr>
          <w:fldChar w:fldCharType="end"/>
        </w:r>
      </w:hyperlink>
    </w:p>
    <w:p w14:paraId="061E1366" w14:textId="56362F9D" w:rsidR="00163523" w:rsidRDefault="009A750B">
      <w:pPr>
        <w:pStyle w:val="Inhopg2"/>
        <w:rPr>
          <w:rFonts w:asciiTheme="minorHAnsi" w:eastAsiaTheme="minorEastAsia" w:hAnsiTheme="minorHAnsi" w:cstheme="minorBidi"/>
          <w:b w:val="0"/>
          <w:bCs w:val="0"/>
          <w:noProof/>
          <w:color w:val="auto"/>
          <w:kern w:val="2"/>
          <w:sz w:val="22"/>
          <w:szCs w:val="22"/>
          <w14:ligatures w14:val="standardContextual"/>
        </w:rPr>
      </w:pPr>
      <w:hyperlink w:anchor="_Toc144803019" w:history="1">
        <w:r w:rsidR="00163523" w:rsidRPr="00FE6AD3">
          <w:rPr>
            <w:rStyle w:val="Hyperlink"/>
            <w:noProof/>
          </w:rPr>
          <w:t>3.13</w:t>
        </w:r>
        <w:r w:rsidR="00163523">
          <w:rPr>
            <w:rFonts w:asciiTheme="minorHAnsi" w:eastAsiaTheme="minorEastAsia" w:hAnsiTheme="minorHAnsi" w:cstheme="minorBidi"/>
            <w:b w:val="0"/>
            <w:bCs w:val="0"/>
            <w:noProof/>
            <w:color w:val="auto"/>
            <w:kern w:val="2"/>
            <w:sz w:val="22"/>
            <w:szCs w:val="22"/>
            <w14:ligatures w14:val="standardContextual"/>
          </w:rPr>
          <w:tab/>
        </w:r>
        <w:r w:rsidR="00163523" w:rsidRPr="00FE6AD3">
          <w:rPr>
            <w:rStyle w:val="Hyperlink"/>
            <w:noProof/>
          </w:rPr>
          <w:t>Risk 13: Public opposition, due to (perception of) negative impacts</w:t>
        </w:r>
        <w:r w:rsidR="00163523">
          <w:rPr>
            <w:noProof/>
            <w:webHidden/>
          </w:rPr>
          <w:tab/>
        </w:r>
        <w:r w:rsidR="00163523">
          <w:rPr>
            <w:noProof/>
            <w:webHidden/>
          </w:rPr>
          <w:fldChar w:fldCharType="begin"/>
        </w:r>
        <w:r w:rsidR="00163523">
          <w:rPr>
            <w:noProof/>
            <w:webHidden/>
          </w:rPr>
          <w:instrText xml:space="preserve"> PAGEREF _Toc144803019 \h </w:instrText>
        </w:r>
        <w:r w:rsidR="00163523">
          <w:rPr>
            <w:noProof/>
            <w:webHidden/>
          </w:rPr>
        </w:r>
        <w:r w:rsidR="00163523">
          <w:rPr>
            <w:noProof/>
            <w:webHidden/>
          </w:rPr>
          <w:fldChar w:fldCharType="separate"/>
        </w:r>
        <w:r w:rsidR="00163523">
          <w:rPr>
            <w:noProof/>
            <w:webHidden/>
          </w:rPr>
          <w:t>37</w:t>
        </w:r>
        <w:r w:rsidR="00163523">
          <w:rPr>
            <w:noProof/>
            <w:webHidden/>
          </w:rPr>
          <w:fldChar w:fldCharType="end"/>
        </w:r>
      </w:hyperlink>
    </w:p>
    <w:p w14:paraId="4ADAD97D" w14:textId="5AA6DFA1" w:rsidR="00163523" w:rsidRDefault="009A750B">
      <w:pPr>
        <w:pStyle w:val="Inhopg2"/>
        <w:rPr>
          <w:rFonts w:asciiTheme="minorHAnsi" w:eastAsiaTheme="minorEastAsia" w:hAnsiTheme="minorHAnsi" w:cstheme="minorBidi"/>
          <w:b w:val="0"/>
          <w:bCs w:val="0"/>
          <w:noProof/>
          <w:color w:val="auto"/>
          <w:kern w:val="2"/>
          <w:sz w:val="22"/>
          <w:szCs w:val="22"/>
          <w14:ligatures w14:val="standardContextual"/>
        </w:rPr>
      </w:pPr>
      <w:hyperlink w:anchor="_Toc144803020" w:history="1">
        <w:r w:rsidR="00163523" w:rsidRPr="00FE6AD3">
          <w:rPr>
            <w:rStyle w:val="Hyperlink"/>
            <w:noProof/>
          </w:rPr>
          <w:t>3.14</w:t>
        </w:r>
        <w:r w:rsidR="00163523">
          <w:rPr>
            <w:rFonts w:asciiTheme="minorHAnsi" w:eastAsiaTheme="minorEastAsia" w:hAnsiTheme="minorHAnsi" w:cstheme="minorBidi"/>
            <w:b w:val="0"/>
            <w:bCs w:val="0"/>
            <w:noProof/>
            <w:color w:val="auto"/>
            <w:kern w:val="2"/>
            <w:sz w:val="22"/>
            <w:szCs w:val="22"/>
            <w14:ligatures w14:val="standardContextual"/>
          </w:rPr>
          <w:tab/>
        </w:r>
        <w:r w:rsidR="00163523" w:rsidRPr="00FE6AD3">
          <w:rPr>
            <w:rStyle w:val="Hyperlink"/>
            <w:noProof/>
          </w:rPr>
          <w:t>Risk 14: Key gas decarbonisation technologies may not reach sufficient cost or performance improvements</w:t>
        </w:r>
        <w:r w:rsidR="00163523">
          <w:rPr>
            <w:noProof/>
            <w:webHidden/>
          </w:rPr>
          <w:tab/>
        </w:r>
        <w:r w:rsidR="00163523">
          <w:rPr>
            <w:noProof/>
            <w:webHidden/>
          </w:rPr>
          <w:fldChar w:fldCharType="begin"/>
        </w:r>
        <w:r w:rsidR="00163523">
          <w:rPr>
            <w:noProof/>
            <w:webHidden/>
          </w:rPr>
          <w:instrText xml:space="preserve"> PAGEREF _Toc144803020 \h </w:instrText>
        </w:r>
        <w:r w:rsidR="00163523">
          <w:rPr>
            <w:noProof/>
            <w:webHidden/>
          </w:rPr>
        </w:r>
        <w:r w:rsidR="00163523">
          <w:rPr>
            <w:noProof/>
            <w:webHidden/>
          </w:rPr>
          <w:fldChar w:fldCharType="separate"/>
        </w:r>
        <w:r w:rsidR="00163523">
          <w:rPr>
            <w:noProof/>
            <w:webHidden/>
          </w:rPr>
          <w:t>40</w:t>
        </w:r>
        <w:r w:rsidR="00163523">
          <w:rPr>
            <w:noProof/>
            <w:webHidden/>
          </w:rPr>
          <w:fldChar w:fldCharType="end"/>
        </w:r>
      </w:hyperlink>
    </w:p>
    <w:p w14:paraId="48D67B68" w14:textId="364C1997" w:rsidR="00163523" w:rsidRDefault="009A750B">
      <w:pPr>
        <w:pStyle w:val="Inhopg2"/>
        <w:rPr>
          <w:rFonts w:asciiTheme="minorHAnsi" w:eastAsiaTheme="minorEastAsia" w:hAnsiTheme="minorHAnsi" w:cstheme="minorBidi"/>
          <w:b w:val="0"/>
          <w:bCs w:val="0"/>
          <w:noProof/>
          <w:color w:val="auto"/>
          <w:kern w:val="2"/>
          <w:sz w:val="22"/>
          <w:szCs w:val="22"/>
          <w14:ligatures w14:val="standardContextual"/>
        </w:rPr>
      </w:pPr>
      <w:hyperlink w:anchor="_Toc144803021" w:history="1">
        <w:r w:rsidR="00163523" w:rsidRPr="00FE6AD3">
          <w:rPr>
            <w:rStyle w:val="Hyperlink"/>
            <w:noProof/>
          </w:rPr>
          <w:t>3.15</w:t>
        </w:r>
        <w:r w:rsidR="00163523">
          <w:rPr>
            <w:rFonts w:asciiTheme="minorHAnsi" w:eastAsiaTheme="minorEastAsia" w:hAnsiTheme="minorHAnsi" w:cstheme="minorBidi"/>
            <w:b w:val="0"/>
            <w:bCs w:val="0"/>
            <w:noProof/>
            <w:color w:val="auto"/>
            <w:kern w:val="2"/>
            <w:sz w:val="22"/>
            <w:szCs w:val="22"/>
            <w14:ligatures w14:val="standardContextual"/>
          </w:rPr>
          <w:tab/>
        </w:r>
        <w:r w:rsidR="00163523" w:rsidRPr="00FE6AD3">
          <w:rPr>
            <w:rStyle w:val="Hyperlink"/>
            <w:noProof/>
          </w:rPr>
          <w:t>Risk 15: Safety risks or their perception restrict infrastructure development or certain supply/demand solutions</w:t>
        </w:r>
        <w:r w:rsidR="00163523">
          <w:rPr>
            <w:noProof/>
            <w:webHidden/>
          </w:rPr>
          <w:tab/>
        </w:r>
        <w:r w:rsidR="00163523">
          <w:rPr>
            <w:noProof/>
            <w:webHidden/>
          </w:rPr>
          <w:fldChar w:fldCharType="begin"/>
        </w:r>
        <w:r w:rsidR="00163523">
          <w:rPr>
            <w:noProof/>
            <w:webHidden/>
          </w:rPr>
          <w:instrText xml:space="preserve"> PAGEREF _Toc144803021 \h </w:instrText>
        </w:r>
        <w:r w:rsidR="00163523">
          <w:rPr>
            <w:noProof/>
            <w:webHidden/>
          </w:rPr>
        </w:r>
        <w:r w:rsidR="00163523">
          <w:rPr>
            <w:noProof/>
            <w:webHidden/>
          </w:rPr>
          <w:fldChar w:fldCharType="separate"/>
        </w:r>
        <w:r w:rsidR="00163523">
          <w:rPr>
            <w:noProof/>
            <w:webHidden/>
          </w:rPr>
          <w:t>42</w:t>
        </w:r>
        <w:r w:rsidR="00163523">
          <w:rPr>
            <w:noProof/>
            <w:webHidden/>
          </w:rPr>
          <w:fldChar w:fldCharType="end"/>
        </w:r>
      </w:hyperlink>
    </w:p>
    <w:p w14:paraId="67492D4E" w14:textId="55A49D69" w:rsidR="00163523" w:rsidRDefault="009A750B">
      <w:pPr>
        <w:pStyle w:val="Inhopg2"/>
        <w:rPr>
          <w:rFonts w:asciiTheme="minorHAnsi" w:eastAsiaTheme="minorEastAsia" w:hAnsiTheme="minorHAnsi" w:cstheme="minorBidi"/>
          <w:b w:val="0"/>
          <w:bCs w:val="0"/>
          <w:noProof/>
          <w:color w:val="auto"/>
          <w:kern w:val="2"/>
          <w:sz w:val="22"/>
          <w:szCs w:val="22"/>
          <w14:ligatures w14:val="standardContextual"/>
        </w:rPr>
      </w:pPr>
      <w:hyperlink w:anchor="_Toc144803022" w:history="1">
        <w:r w:rsidR="00163523" w:rsidRPr="00FE6AD3">
          <w:rPr>
            <w:rStyle w:val="Hyperlink"/>
            <w:noProof/>
          </w:rPr>
          <w:t>3.16</w:t>
        </w:r>
        <w:r w:rsidR="00163523">
          <w:rPr>
            <w:rFonts w:asciiTheme="minorHAnsi" w:eastAsiaTheme="minorEastAsia" w:hAnsiTheme="minorHAnsi" w:cstheme="minorBidi"/>
            <w:b w:val="0"/>
            <w:bCs w:val="0"/>
            <w:noProof/>
            <w:color w:val="auto"/>
            <w:kern w:val="2"/>
            <w:sz w:val="22"/>
            <w:szCs w:val="22"/>
            <w14:ligatures w14:val="standardContextual"/>
          </w:rPr>
          <w:tab/>
        </w:r>
        <w:r w:rsidR="00163523" w:rsidRPr="00FE6AD3">
          <w:rPr>
            <w:rStyle w:val="Hyperlink"/>
            <w:noProof/>
          </w:rPr>
          <w:t>Risk 16: Geopolitical events can divert resources and attention from gas decarbonisation measures</w:t>
        </w:r>
        <w:r w:rsidR="00163523">
          <w:rPr>
            <w:noProof/>
            <w:webHidden/>
          </w:rPr>
          <w:tab/>
        </w:r>
        <w:r w:rsidR="00163523">
          <w:rPr>
            <w:noProof/>
            <w:webHidden/>
          </w:rPr>
          <w:fldChar w:fldCharType="begin"/>
        </w:r>
        <w:r w:rsidR="00163523">
          <w:rPr>
            <w:noProof/>
            <w:webHidden/>
          </w:rPr>
          <w:instrText xml:space="preserve"> PAGEREF _Toc144803022 \h </w:instrText>
        </w:r>
        <w:r w:rsidR="00163523">
          <w:rPr>
            <w:noProof/>
            <w:webHidden/>
          </w:rPr>
        </w:r>
        <w:r w:rsidR="00163523">
          <w:rPr>
            <w:noProof/>
            <w:webHidden/>
          </w:rPr>
          <w:fldChar w:fldCharType="separate"/>
        </w:r>
        <w:r w:rsidR="00163523">
          <w:rPr>
            <w:noProof/>
            <w:webHidden/>
          </w:rPr>
          <w:t>44</w:t>
        </w:r>
        <w:r w:rsidR="00163523">
          <w:rPr>
            <w:noProof/>
            <w:webHidden/>
          </w:rPr>
          <w:fldChar w:fldCharType="end"/>
        </w:r>
      </w:hyperlink>
    </w:p>
    <w:p w14:paraId="7D5BF215" w14:textId="51D63A9B" w:rsidR="00163523" w:rsidRDefault="009A750B" w:rsidP="00163523">
      <w:pPr>
        <w:pStyle w:val="Inhopg1"/>
        <w:rPr>
          <w:rFonts w:asciiTheme="minorHAnsi" w:eastAsiaTheme="minorEastAsia" w:hAnsiTheme="minorHAnsi"/>
          <w:noProof/>
          <w:color w:val="auto"/>
          <w:kern w:val="2"/>
          <w:szCs w:val="22"/>
          <w14:ligatures w14:val="standardContextual"/>
        </w:rPr>
      </w:pPr>
      <w:hyperlink w:anchor="_Toc144803023" w:history="1">
        <w:r w:rsidR="00163523" w:rsidRPr="00FE6AD3">
          <w:rPr>
            <w:rStyle w:val="Hyperlink"/>
            <w:noProof/>
          </w:rPr>
          <w:t>4</w:t>
        </w:r>
        <w:r w:rsidR="00163523">
          <w:rPr>
            <w:rFonts w:asciiTheme="minorHAnsi" w:eastAsiaTheme="minorEastAsia" w:hAnsiTheme="minorHAnsi"/>
            <w:noProof/>
            <w:color w:val="auto"/>
            <w:kern w:val="2"/>
            <w:szCs w:val="22"/>
            <w14:ligatures w14:val="standardContextual"/>
          </w:rPr>
          <w:tab/>
        </w:r>
        <w:r w:rsidR="00163523" w:rsidRPr="00FE6AD3">
          <w:rPr>
            <w:rStyle w:val="Hyperlink"/>
            <w:noProof/>
          </w:rPr>
          <w:t>Risk assessment synthesis</w:t>
        </w:r>
        <w:r w:rsidR="00163523">
          <w:rPr>
            <w:noProof/>
            <w:webHidden/>
          </w:rPr>
          <w:tab/>
        </w:r>
        <w:r w:rsidR="00163523">
          <w:rPr>
            <w:noProof/>
            <w:webHidden/>
          </w:rPr>
          <w:fldChar w:fldCharType="begin"/>
        </w:r>
        <w:r w:rsidR="00163523">
          <w:rPr>
            <w:noProof/>
            <w:webHidden/>
          </w:rPr>
          <w:instrText xml:space="preserve"> PAGEREF _Toc144803023 \h </w:instrText>
        </w:r>
        <w:r w:rsidR="00163523">
          <w:rPr>
            <w:noProof/>
            <w:webHidden/>
          </w:rPr>
        </w:r>
        <w:r w:rsidR="00163523">
          <w:rPr>
            <w:noProof/>
            <w:webHidden/>
          </w:rPr>
          <w:fldChar w:fldCharType="separate"/>
        </w:r>
        <w:r w:rsidR="00163523">
          <w:rPr>
            <w:noProof/>
            <w:webHidden/>
          </w:rPr>
          <w:t>47</w:t>
        </w:r>
        <w:r w:rsidR="00163523">
          <w:rPr>
            <w:noProof/>
            <w:webHidden/>
          </w:rPr>
          <w:fldChar w:fldCharType="end"/>
        </w:r>
      </w:hyperlink>
    </w:p>
    <w:p w14:paraId="4B630D49" w14:textId="5A7D1EF7" w:rsidR="00163523" w:rsidRDefault="009A750B">
      <w:pPr>
        <w:pStyle w:val="Inhopg2"/>
        <w:rPr>
          <w:rFonts w:asciiTheme="minorHAnsi" w:eastAsiaTheme="minorEastAsia" w:hAnsiTheme="minorHAnsi" w:cstheme="minorBidi"/>
          <w:b w:val="0"/>
          <w:bCs w:val="0"/>
          <w:noProof/>
          <w:color w:val="auto"/>
          <w:kern w:val="2"/>
          <w:sz w:val="22"/>
          <w:szCs w:val="22"/>
          <w14:ligatures w14:val="standardContextual"/>
        </w:rPr>
      </w:pPr>
      <w:hyperlink w:anchor="_Toc144803024" w:history="1">
        <w:r w:rsidR="00163523" w:rsidRPr="00FE6AD3">
          <w:rPr>
            <w:rStyle w:val="Hyperlink"/>
            <w:noProof/>
          </w:rPr>
          <w:t>4.1</w:t>
        </w:r>
        <w:r w:rsidR="00163523">
          <w:rPr>
            <w:rFonts w:asciiTheme="minorHAnsi" w:eastAsiaTheme="minorEastAsia" w:hAnsiTheme="minorHAnsi" w:cstheme="minorBidi"/>
            <w:b w:val="0"/>
            <w:bCs w:val="0"/>
            <w:noProof/>
            <w:color w:val="auto"/>
            <w:kern w:val="2"/>
            <w:sz w:val="22"/>
            <w:szCs w:val="22"/>
            <w14:ligatures w14:val="standardContextual"/>
          </w:rPr>
          <w:tab/>
        </w:r>
        <w:r w:rsidR="00163523" w:rsidRPr="00FE6AD3">
          <w:rPr>
            <w:rStyle w:val="Hyperlink"/>
            <w:noProof/>
          </w:rPr>
          <w:t>Comparison of identified risks</w:t>
        </w:r>
        <w:r w:rsidR="00163523">
          <w:rPr>
            <w:noProof/>
            <w:webHidden/>
          </w:rPr>
          <w:tab/>
        </w:r>
        <w:r w:rsidR="00163523">
          <w:rPr>
            <w:noProof/>
            <w:webHidden/>
          </w:rPr>
          <w:fldChar w:fldCharType="begin"/>
        </w:r>
        <w:r w:rsidR="00163523">
          <w:rPr>
            <w:noProof/>
            <w:webHidden/>
          </w:rPr>
          <w:instrText xml:space="preserve"> PAGEREF _Toc144803024 \h </w:instrText>
        </w:r>
        <w:r w:rsidR="00163523">
          <w:rPr>
            <w:noProof/>
            <w:webHidden/>
          </w:rPr>
        </w:r>
        <w:r w:rsidR="00163523">
          <w:rPr>
            <w:noProof/>
            <w:webHidden/>
          </w:rPr>
          <w:fldChar w:fldCharType="separate"/>
        </w:r>
        <w:r w:rsidR="00163523">
          <w:rPr>
            <w:noProof/>
            <w:webHidden/>
          </w:rPr>
          <w:t>47</w:t>
        </w:r>
        <w:r w:rsidR="00163523">
          <w:rPr>
            <w:noProof/>
            <w:webHidden/>
          </w:rPr>
          <w:fldChar w:fldCharType="end"/>
        </w:r>
      </w:hyperlink>
    </w:p>
    <w:p w14:paraId="32017486" w14:textId="3CF3D0B6" w:rsidR="00163523" w:rsidRDefault="009A750B">
      <w:pPr>
        <w:pStyle w:val="Inhopg2"/>
        <w:rPr>
          <w:rFonts w:asciiTheme="minorHAnsi" w:eastAsiaTheme="minorEastAsia" w:hAnsiTheme="minorHAnsi" w:cstheme="minorBidi"/>
          <w:b w:val="0"/>
          <w:bCs w:val="0"/>
          <w:noProof/>
          <w:color w:val="auto"/>
          <w:kern w:val="2"/>
          <w:sz w:val="22"/>
          <w:szCs w:val="22"/>
          <w14:ligatures w14:val="standardContextual"/>
        </w:rPr>
      </w:pPr>
      <w:hyperlink w:anchor="_Toc144803025" w:history="1">
        <w:r w:rsidR="00163523" w:rsidRPr="00FE6AD3">
          <w:rPr>
            <w:rStyle w:val="Hyperlink"/>
            <w:noProof/>
          </w:rPr>
          <w:t>4.2</w:t>
        </w:r>
        <w:r w:rsidR="00163523">
          <w:rPr>
            <w:rFonts w:asciiTheme="minorHAnsi" w:eastAsiaTheme="minorEastAsia" w:hAnsiTheme="minorHAnsi" w:cstheme="minorBidi"/>
            <w:b w:val="0"/>
            <w:bCs w:val="0"/>
            <w:noProof/>
            <w:color w:val="auto"/>
            <w:kern w:val="2"/>
            <w:sz w:val="22"/>
            <w:szCs w:val="22"/>
            <w14:ligatures w14:val="standardContextual"/>
          </w:rPr>
          <w:tab/>
        </w:r>
        <w:r w:rsidR="00163523" w:rsidRPr="00FE6AD3">
          <w:rPr>
            <w:rStyle w:val="Hyperlink"/>
            <w:noProof/>
          </w:rPr>
          <w:t>Synthesis of main risk-mitigation strategies and no-regret options</w:t>
        </w:r>
        <w:r w:rsidR="00163523">
          <w:rPr>
            <w:noProof/>
            <w:webHidden/>
          </w:rPr>
          <w:tab/>
        </w:r>
        <w:r w:rsidR="00163523">
          <w:rPr>
            <w:noProof/>
            <w:webHidden/>
          </w:rPr>
          <w:fldChar w:fldCharType="begin"/>
        </w:r>
        <w:r w:rsidR="00163523">
          <w:rPr>
            <w:noProof/>
            <w:webHidden/>
          </w:rPr>
          <w:instrText xml:space="preserve"> PAGEREF _Toc144803025 \h </w:instrText>
        </w:r>
        <w:r w:rsidR="00163523">
          <w:rPr>
            <w:noProof/>
            <w:webHidden/>
          </w:rPr>
        </w:r>
        <w:r w:rsidR="00163523">
          <w:rPr>
            <w:noProof/>
            <w:webHidden/>
          </w:rPr>
          <w:fldChar w:fldCharType="separate"/>
        </w:r>
        <w:r w:rsidR="00163523">
          <w:rPr>
            <w:noProof/>
            <w:webHidden/>
          </w:rPr>
          <w:t>50</w:t>
        </w:r>
        <w:r w:rsidR="00163523">
          <w:rPr>
            <w:noProof/>
            <w:webHidden/>
          </w:rPr>
          <w:fldChar w:fldCharType="end"/>
        </w:r>
      </w:hyperlink>
    </w:p>
    <w:p w14:paraId="0BB4732C" w14:textId="7CE00BB2" w:rsidR="001126CC" w:rsidRPr="00163523" w:rsidRDefault="008741BD" w:rsidP="001126CC">
      <w:pPr>
        <w:rPr>
          <w:lang w:val="en-GB"/>
        </w:rPr>
      </w:pPr>
      <w:r w:rsidRPr="00163523">
        <w:rPr>
          <w:lang w:val="en-GB"/>
        </w:rPr>
        <w:fldChar w:fldCharType="end"/>
      </w:r>
    </w:p>
    <w:p w14:paraId="24B31AB4" w14:textId="1664C162" w:rsidR="001126CC" w:rsidRPr="00163523" w:rsidRDefault="001126CC" w:rsidP="001126CC">
      <w:pPr>
        <w:spacing w:line="360" w:lineRule="auto"/>
        <w:rPr>
          <w:lang w:val="en-GB"/>
        </w:rPr>
      </w:pPr>
    </w:p>
    <w:p w14:paraId="06143C51" w14:textId="77777777" w:rsidR="001126CC" w:rsidRPr="00163523" w:rsidRDefault="001126CC" w:rsidP="001126CC">
      <w:pPr>
        <w:spacing w:line="360" w:lineRule="auto"/>
        <w:ind w:left="0"/>
        <w:rPr>
          <w:lang w:val="en-GB"/>
        </w:rPr>
        <w:sectPr w:rsidR="001126CC" w:rsidRPr="00163523">
          <w:headerReference w:type="default" r:id="rId21"/>
          <w:pgSz w:w="11906" w:h="16838"/>
          <w:pgMar w:top="1440" w:right="1440" w:bottom="1440" w:left="1440" w:header="708" w:footer="708" w:gutter="0"/>
          <w:cols w:space="708"/>
          <w:docGrid w:linePitch="360"/>
        </w:sectPr>
      </w:pPr>
    </w:p>
    <w:p w14:paraId="241365BF" w14:textId="25F61640" w:rsidR="007D61EA" w:rsidRDefault="007D61EA" w:rsidP="001126CC">
      <w:pPr>
        <w:pStyle w:val="Kop1"/>
      </w:pPr>
      <w:bookmarkStart w:id="0" w:name="_Toc391301430"/>
      <w:bookmarkStart w:id="1" w:name="_Toc391301432"/>
      <w:bookmarkStart w:id="2" w:name="_Toc429057985"/>
      <w:bookmarkStart w:id="3" w:name="_Toc429670905"/>
      <w:bookmarkStart w:id="4" w:name="_Ref137116890"/>
      <w:bookmarkStart w:id="5" w:name="_Ref137116895"/>
      <w:bookmarkStart w:id="6" w:name="_Toc138492595"/>
      <w:bookmarkStart w:id="7" w:name="_Toc144803001"/>
      <w:bookmarkEnd w:id="0"/>
      <w:bookmarkEnd w:id="1"/>
      <w:bookmarkEnd w:id="2"/>
      <w:bookmarkEnd w:id="3"/>
      <w:r w:rsidRPr="00CC5DB0">
        <w:lastRenderedPageBreak/>
        <w:t>Introduction</w:t>
      </w:r>
      <w:bookmarkEnd w:id="4"/>
      <w:bookmarkEnd w:id="5"/>
      <w:bookmarkEnd w:id="6"/>
      <w:bookmarkEnd w:id="7"/>
    </w:p>
    <w:p w14:paraId="5C731019" w14:textId="16DA3CAB" w:rsidR="00586AA0" w:rsidRDefault="002220B0" w:rsidP="00572A67">
      <w:pPr>
        <w:rPr>
          <w:lang w:val="en-GB"/>
        </w:rPr>
      </w:pPr>
      <w:r>
        <w:rPr>
          <w:lang w:val="en-GB"/>
        </w:rPr>
        <w:t>In th</w:t>
      </w:r>
      <w:r w:rsidR="00EB7F93">
        <w:rPr>
          <w:lang w:val="en-GB"/>
        </w:rPr>
        <w:t>e</w:t>
      </w:r>
      <w:r>
        <w:rPr>
          <w:lang w:val="en-GB"/>
        </w:rPr>
        <w:t xml:space="preserve"> </w:t>
      </w:r>
      <w:r w:rsidR="0062772A">
        <w:rPr>
          <w:lang w:val="en-GB"/>
        </w:rPr>
        <w:t xml:space="preserve">previous </w:t>
      </w:r>
      <w:r w:rsidR="0089183E">
        <w:rPr>
          <w:lang w:val="en-GB"/>
        </w:rPr>
        <w:t xml:space="preserve">Deliverables, the </w:t>
      </w:r>
      <w:r w:rsidR="003653EB">
        <w:rPr>
          <w:lang w:val="en-GB"/>
        </w:rPr>
        <w:t xml:space="preserve">three Gas decarbonisation scenarios </w:t>
      </w:r>
      <w:r w:rsidR="00F3672C">
        <w:rPr>
          <w:lang w:val="en-GB"/>
        </w:rPr>
        <w:t xml:space="preserve">for the Baltic </w:t>
      </w:r>
      <w:r w:rsidR="00EC4D70">
        <w:rPr>
          <w:lang w:val="en-GB"/>
        </w:rPr>
        <w:t xml:space="preserve">Regional Gas Market countries </w:t>
      </w:r>
      <w:r w:rsidR="003653EB">
        <w:rPr>
          <w:lang w:val="en-GB"/>
        </w:rPr>
        <w:t>have been identified</w:t>
      </w:r>
      <w:r w:rsidR="00AB3DB5">
        <w:rPr>
          <w:lang w:val="en-GB"/>
        </w:rPr>
        <w:t xml:space="preserve"> </w:t>
      </w:r>
      <w:r w:rsidR="00560584">
        <w:rPr>
          <w:lang w:val="en-GB"/>
        </w:rPr>
        <w:t xml:space="preserve">and characterised </w:t>
      </w:r>
      <w:r w:rsidR="00AB3DB5">
        <w:rPr>
          <w:lang w:val="en-GB"/>
        </w:rPr>
        <w:t>(DLV 3)</w:t>
      </w:r>
      <w:r w:rsidR="003653EB">
        <w:rPr>
          <w:lang w:val="en-GB"/>
        </w:rPr>
        <w:t xml:space="preserve">, and </w:t>
      </w:r>
      <w:r w:rsidR="00B03E73">
        <w:rPr>
          <w:lang w:val="en-GB"/>
        </w:rPr>
        <w:t xml:space="preserve">their impacts </w:t>
      </w:r>
      <w:r w:rsidR="00812B99">
        <w:rPr>
          <w:lang w:val="en-GB"/>
        </w:rPr>
        <w:t>on the economy and energy system have been assessed</w:t>
      </w:r>
      <w:r w:rsidR="00EC4D70">
        <w:rPr>
          <w:lang w:val="en-GB"/>
        </w:rPr>
        <w:t xml:space="preserve"> </w:t>
      </w:r>
      <w:r w:rsidR="006C208A">
        <w:rPr>
          <w:lang w:val="en-GB"/>
        </w:rPr>
        <w:t>per country</w:t>
      </w:r>
      <w:r w:rsidR="00AB3DB5">
        <w:rPr>
          <w:lang w:val="en-GB"/>
        </w:rPr>
        <w:t xml:space="preserve"> (DLV4)</w:t>
      </w:r>
      <w:r w:rsidR="00812B99">
        <w:rPr>
          <w:lang w:val="en-GB"/>
        </w:rPr>
        <w:t xml:space="preserve">. </w:t>
      </w:r>
      <w:r w:rsidR="00586AA0">
        <w:rPr>
          <w:lang w:val="en-GB"/>
        </w:rPr>
        <w:t>In this Deliverable</w:t>
      </w:r>
      <w:r w:rsidR="00560584">
        <w:rPr>
          <w:lang w:val="en-GB"/>
        </w:rPr>
        <w:t xml:space="preserve"> 5</w:t>
      </w:r>
      <w:r>
        <w:rPr>
          <w:lang w:val="en-GB"/>
        </w:rPr>
        <w:t xml:space="preserve">, </w:t>
      </w:r>
      <w:r w:rsidR="00CE6EBD">
        <w:rPr>
          <w:lang w:val="en-GB"/>
        </w:rPr>
        <w:t xml:space="preserve">we focus on the specific risks </w:t>
      </w:r>
      <w:r w:rsidR="00D35393">
        <w:rPr>
          <w:lang w:val="en-GB"/>
        </w:rPr>
        <w:t xml:space="preserve">related to the </w:t>
      </w:r>
      <w:r w:rsidR="00CA07EE">
        <w:rPr>
          <w:lang w:val="en-GB"/>
        </w:rPr>
        <w:t>three deca</w:t>
      </w:r>
      <w:r w:rsidR="00586AA0">
        <w:rPr>
          <w:lang w:val="en-GB"/>
        </w:rPr>
        <w:t>rbonisation scenarios</w:t>
      </w:r>
      <w:r w:rsidR="001708CF">
        <w:rPr>
          <w:lang w:val="en-GB"/>
        </w:rPr>
        <w:t xml:space="preserve"> compared to the BAU scenario.</w:t>
      </w:r>
    </w:p>
    <w:p w14:paraId="08E132EC" w14:textId="77777777" w:rsidR="00DF7871" w:rsidRDefault="00DF7871" w:rsidP="00572A67">
      <w:pPr>
        <w:rPr>
          <w:lang w:val="en-GB"/>
        </w:rPr>
      </w:pPr>
    </w:p>
    <w:p w14:paraId="16306ABD" w14:textId="45E60215" w:rsidR="00572A67" w:rsidRPr="00163523" w:rsidRDefault="00DF7871" w:rsidP="00DF7871">
      <w:pPr>
        <w:rPr>
          <w:lang w:val="en-GB"/>
        </w:rPr>
      </w:pPr>
      <w:r>
        <w:rPr>
          <w:lang w:val="en-GB"/>
        </w:rPr>
        <w:t>The o</w:t>
      </w:r>
      <w:r w:rsidR="00572A67" w:rsidRPr="00163523">
        <w:rPr>
          <w:lang w:val="en-GB"/>
        </w:rPr>
        <w:t>bjective</w:t>
      </w:r>
      <w:r w:rsidR="00754BE7" w:rsidRPr="00163523">
        <w:rPr>
          <w:lang w:val="en-GB"/>
        </w:rPr>
        <w:t xml:space="preserve"> of this </w:t>
      </w:r>
      <w:r w:rsidR="00731538" w:rsidRPr="00163523">
        <w:rPr>
          <w:lang w:val="en-GB"/>
        </w:rPr>
        <w:t>exe</w:t>
      </w:r>
      <w:r w:rsidR="00AA05CE" w:rsidRPr="00163523">
        <w:rPr>
          <w:lang w:val="en-GB"/>
        </w:rPr>
        <w:t>r</w:t>
      </w:r>
      <w:r w:rsidR="00731538" w:rsidRPr="00163523">
        <w:rPr>
          <w:lang w:val="en-GB"/>
        </w:rPr>
        <w:t>c</w:t>
      </w:r>
      <w:r w:rsidR="00AA05CE" w:rsidRPr="00163523">
        <w:rPr>
          <w:lang w:val="en-GB"/>
        </w:rPr>
        <w:t>ise is to</w:t>
      </w:r>
    </w:p>
    <w:p w14:paraId="748EB9C3" w14:textId="4885F104" w:rsidR="00ED1056" w:rsidRDefault="00572A67" w:rsidP="00FC300E">
      <w:pPr>
        <w:pStyle w:val="Lijstalinea"/>
        <w:numPr>
          <w:ilvl w:val="0"/>
          <w:numId w:val="9"/>
        </w:numPr>
      </w:pPr>
      <w:r>
        <w:t xml:space="preserve">Identify </w:t>
      </w:r>
      <w:r w:rsidR="00ED1056">
        <w:t>the relevant risks related to</w:t>
      </w:r>
      <w:r w:rsidR="004537D9">
        <w:t xml:space="preserve"> </w:t>
      </w:r>
      <w:r w:rsidR="00567ED1">
        <w:t xml:space="preserve">the </w:t>
      </w:r>
      <w:r w:rsidR="00F82B4C">
        <w:t xml:space="preserve">identified </w:t>
      </w:r>
      <w:r w:rsidR="004537D9">
        <w:t>gas de</w:t>
      </w:r>
      <w:r w:rsidR="00F64497">
        <w:t>carbonisation scenarios</w:t>
      </w:r>
      <w:r w:rsidR="00FC300E">
        <w:t>;</w:t>
      </w:r>
    </w:p>
    <w:p w14:paraId="5A7B9A91" w14:textId="557C0A2F" w:rsidR="00572A67" w:rsidRDefault="004537D9" w:rsidP="00FC300E">
      <w:pPr>
        <w:pStyle w:val="Lijstalinea"/>
        <w:numPr>
          <w:ilvl w:val="0"/>
          <w:numId w:val="9"/>
        </w:numPr>
      </w:pPr>
      <w:r>
        <w:t xml:space="preserve">Assess the </w:t>
      </w:r>
      <w:r w:rsidR="00572A67">
        <w:t xml:space="preserve">likelihood, severity and mitigation measures </w:t>
      </w:r>
      <w:r w:rsidR="00D95EAF">
        <w:t xml:space="preserve">of each </w:t>
      </w:r>
      <w:r w:rsidR="005F4150">
        <w:t xml:space="preserve">identified </w:t>
      </w:r>
      <w:r w:rsidR="00572A67">
        <w:t>risk</w:t>
      </w:r>
      <w:r w:rsidR="00FC300E">
        <w:t>;</w:t>
      </w:r>
    </w:p>
    <w:p w14:paraId="52E59892" w14:textId="129F7DDA" w:rsidR="00572A67" w:rsidRDefault="00572A67" w:rsidP="00FC300E">
      <w:pPr>
        <w:pStyle w:val="Lijstalinea"/>
        <w:numPr>
          <w:ilvl w:val="0"/>
          <w:numId w:val="9"/>
        </w:numPr>
      </w:pPr>
      <w:r>
        <w:t xml:space="preserve">For the </w:t>
      </w:r>
      <w:r w:rsidR="00AE567B" w:rsidRPr="00AE567B">
        <w:t>Baltic Regional Gas Market</w:t>
      </w:r>
      <w:r w:rsidR="0048231E">
        <w:t xml:space="preserve"> countries</w:t>
      </w:r>
      <w:r w:rsidR="00AE567B">
        <w:t>,</w:t>
      </w:r>
      <w:r>
        <w:t xml:space="preserve"> pinpoint any risks specific to</w:t>
      </w:r>
      <w:r w:rsidR="0048231E">
        <w:t xml:space="preserve"> </w:t>
      </w:r>
      <w:r>
        <w:t>a sub-set of countries</w:t>
      </w:r>
      <w:r w:rsidR="00FC300E">
        <w:t>;</w:t>
      </w:r>
    </w:p>
    <w:p w14:paraId="4D1B0875" w14:textId="0BABC055" w:rsidR="00572A67" w:rsidRDefault="00572A67" w:rsidP="00FC300E">
      <w:pPr>
        <w:pStyle w:val="Lijstalinea"/>
        <w:numPr>
          <w:ilvl w:val="0"/>
          <w:numId w:val="9"/>
        </w:numPr>
      </w:pPr>
      <w:r>
        <w:t>Assess</w:t>
      </w:r>
      <w:r w:rsidR="00807ED2">
        <w:t xml:space="preserve"> and </w:t>
      </w:r>
      <w:r>
        <w:t xml:space="preserve">pinpoint </w:t>
      </w:r>
      <w:r w:rsidR="0061390C">
        <w:t xml:space="preserve">for </w:t>
      </w:r>
      <w:r w:rsidR="00DA0EBB">
        <w:t xml:space="preserve">each </w:t>
      </w:r>
      <w:r w:rsidR="002743B7">
        <w:t xml:space="preserve">identified </w:t>
      </w:r>
      <w:r w:rsidR="00CB72ED">
        <w:t>risk</w:t>
      </w:r>
      <w:r w:rsidR="008F4FAF">
        <w:t xml:space="preserve"> </w:t>
      </w:r>
      <w:r w:rsidR="00470DCE">
        <w:t xml:space="preserve">the extent to which it </w:t>
      </w:r>
      <w:r w:rsidR="001C007F">
        <w:t xml:space="preserve">would apply to the </w:t>
      </w:r>
      <w:r w:rsidR="001E3B45">
        <w:t>different gas</w:t>
      </w:r>
      <w:r>
        <w:t xml:space="preserve"> </w:t>
      </w:r>
      <w:r w:rsidR="002743B7">
        <w:t>decarbonisation s</w:t>
      </w:r>
      <w:r>
        <w:t>cenarios</w:t>
      </w:r>
      <w:r w:rsidR="00FC300E">
        <w:t>.</w:t>
      </w:r>
    </w:p>
    <w:p w14:paraId="3FB3D63A" w14:textId="77777777" w:rsidR="00DA5EA4" w:rsidRPr="00E54F91" w:rsidRDefault="00DA5EA4" w:rsidP="00DA5EA4">
      <w:pPr>
        <w:rPr>
          <w:lang w:val="en-GB"/>
        </w:rPr>
      </w:pPr>
    </w:p>
    <w:p w14:paraId="40A6E1B4" w14:textId="4435D849" w:rsidR="00572A67" w:rsidRPr="00163523" w:rsidRDefault="00AB68B8" w:rsidP="00DA5EA4">
      <w:pPr>
        <w:rPr>
          <w:lang w:val="en-GB"/>
        </w:rPr>
      </w:pPr>
      <w:r w:rsidRPr="00163523">
        <w:rPr>
          <w:lang w:val="en-GB"/>
        </w:rPr>
        <w:t>For this risk assessment, the following a</w:t>
      </w:r>
      <w:r w:rsidR="00572A67" w:rsidRPr="00163523">
        <w:rPr>
          <w:lang w:val="en-GB"/>
        </w:rPr>
        <w:t>pproach</w:t>
      </w:r>
      <w:r w:rsidRPr="00163523">
        <w:rPr>
          <w:lang w:val="en-GB"/>
        </w:rPr>
        <w:t xml:space="preserve"> has been impl</w:t>
      </w:r>
      <w:r w:rsidR="00225D66" w:rsidRPr="00163523">
        <w:rPr>
          <w:lang w:val="en-GB"/>
        </w:rPr>
        <w:t>emented:</w:t>
      </w:r>
    </w:p>
    <w:p w14:paraId="5D2D8D75" w14:textId="56FE2FD4" w:rsidR="00572A67" w:rsidRDefault="00572A67" w:rsidP="00FC300E">
      <w:pPr>
        <w:pStyle w:val="Lijstalinea"/>
        <w:numPr>
          <w:ilvl w:val="0"/>
          <w:numId w:val="11"/>
        </w:numPr>
      </w:pPr>
      <w:r>
        <w:t>Risk categorisation</w:t>
      </w:r>
      <w:r w:rsidR="00FC300E">
        <w:t>;</w:t>
      </w:r>
    </w:p>
    <w:p w14:paraId="37989DE4" w14:textId="707DC5A2" w:rsidR="00572A67" w:rsidRDefault="00572A67" w:rsidP="00FC300E">
      <w:pPr>
        <w:pStyle w:val="Lijstalinea"/>
        <w:numPr>
          <w:ilvl w:val="0"/>
          <w:numId w:val="11"/>
        </w:numPr>
      </w:pPr>
      <w:r>
        <w:t>Assessment</w:t>
      </w:r>
      <w:r w:rsidR="003437B9">
        <w:t xml:space="preserve"> based on desk research</w:t>
      </w:r>
      <w:r w:rsidR="00FC300E">
        <w:t>;</w:t>
      </w:r>
    </w:p>
    <w:p w14:paraId="74EE0C3E" w14:textId="2413CE17" w:rsidR="00572A67" w:rsidRDefault="00874278" w:rsidP="00FC300E">
      <w:pPr>
        <w:pStyle w:val="Lijstalinea"/>
        <w:numPr>
          <w:ilvl w:val="0"/>
          <w:numId w:val="11"/>
        </w:numPr>
      </w:pPr>
      <w:r>
        <w:t>V</w:t>
      </w:r>
      <w:r w:rsidR="00572A67">
        <w:t xml:space="preserve">alidation of </w:t>
      </w:r>
      <w:r w:rsidR="001C7912">
        <w:t xml:space="preserve">the </w:t>
      </w:r>
      <w:r w:rsidR="00572A67">
        <w:t>results</w:t>
      </w:r>
      <w:r w:rsidR="001C7912">
        <w:t xml:space="preserve"> via </w:t>
      </w:r>
      <w:r w:rsidR="00053460">
        <w:t>a</w:t>
      </w:r>
      <w:r w:rsidR="001C7912">
        <w:t xml:space="preserve"> consultation</w:t>
      </w:r>
      <w:r w:rsidR="00053460">
        <w:t xml:space="preserve"> with </w:t>
      </w:r>
      <w:r w:rsidR="005F052E">
        <w:t xml:space="preserve">the steering group and </w:t>
      </w:r>
      <w:r w:rsidR="00053460">
        <w:t>stakeholders</w:t>
      </w:r>
      <w:r w:rsidR="005F052E">
        <w:t xml:space="preserve"> from the concerned countries</w:t>
      </w:r>
      <w:r w:rsidR="00FC300E">
        <w:t>.</w:t>
      </w:r>
    </w:p>
    <w:p w14:paraId="688D778E" w14:textId="77777777" w:rsidR="00572A67" w:rsidRDefault="00572A67" w:rsidP="00572A67">
      <w:pPr>
        <w:rPr>
          <w:lang w:val="en-GB"/>
        </w:rPr>
      </w:pPr>
    </w:p>
    <w:p w14:paraId="5C7B27F5" w14:textId="092D07D4" w:rsidR="00ED4D48" w:rsidRDefault="00ED4D48" w:rsidP="00572A67">
      <w:pPr>
        <w:rPr>
          <w:lang w:val="en-GB"/>
        </w:rPr>
      </w:pPr>
      <w:r>
        <w:rPr>
          <w:lang w:val="en-GB"/>
        </w:rPr>
        <w:t>This report is structured as follows:</w:t>
      </w:r>
    </w:p>
    <w:p w14:paraId="0DC8B668" w14:textId="1110C765" w:rsidR="00851605" w:rsidRDefault="00851605" w:rsidP="00FC300E">
      <w:pPr>
        <w:pStyle w:val="Lijstalinea"/>
        <w:numPr>
          <w:ilvl w:val="0"/>
          <w:numId w:val="11"/>
        </w:numPr>
      </w:pPr>
      <w:r>
        <w:t xml:space="preserve">Chapter </w:t>
      </w:r>
      <w:r w:rsidR="00FC300E">
        <w:fldChar w:fldCharType="begin"/>
      </w:r>
      <w:r w:rsidR="00FC300E">
        <w:instrText xml:space="preserve"> REF _Ref138492519 \r \h </w:instrText>
      </w:r>
      <w:r w:rsidR="00FC300E">
        <w:fldChar w:fldCharType="separate"/>
      </w:r>
      <w:r w:rsidR="00841323">
        <w:t>2</w:t>
      </w:r>
      <w:r w:rsidR="00FC300E">
        <w:fldChar w:fldCharType="end"/>
      </w:r>
      <w:r>
        <w:t xml:space="preserve"> comprises an </w:t>
      </w:r>
      <w:r w:rsidR="00FD2B61">
        <w:t xml:space="preserve">inventory of (potential) risks and </w:t>
      </w:r>
      <w:r w:rsidR="00644AA8">
        <w:t xml:space="preserve">concludes by presenting a </w:t>
      </w:r>
      <w:r w:rsidR="00127523">
        <w:t xml:space="preserve">short list of the most relevant risks of the </w:t>
      </w:r>
      <w:r w:rsidR="00D64112">
        <w:t xml:space="preserve">considered decarbonisation scenarios </w:t>
      </w:r>
      <w:r w:rsidR="00127523">
        <w:t>for the Baltic countries</w:t>
      </w:r>
      <w:r w:rsidR="00FC300E">
        <w:t>;</w:t>
      </w:r>
    </w:p>
    <w:p w14:paraId="680A727E" w14:textId="57E0223B" w:rsidR="00851605" w:rsidRDefault="004D43DF" w:rsidP="00FC300E">
      <w:pPr>
        <w:pStyle w:val="Lijstalinea"/>
        <w:numPr>
          <w:ilvl w:val="0"/>
          <w:numId w:val="11"/>
        </w:numPr>
      </w:pPr>
      <w:r w:rsidRPr="004D43DF">
        <w:t xml:space="preserve">Chapter </w:t>
      </w:r>
      <w:r w:rsidR="00FC300E">
        <w:fldChar w:fldCharType="begin"/>
      </w:r>
      <w:r w:rsidR="00FC300E">
        <w:instrText xml:space="preserve"> REF _Ref138058378 \r \h </w:instrText>
      </w:r>
      <w:r w:rsidR="00FC300E">
        <w:fldChar w:fldCharType="separate"/>
      </w:r>
      <w:r w:rsidR="00841323">
        <w:t>3</w:t>
      </w:r>
      <w:r w:rsidR="00FC300E">
        <w:fldChar w:fldCharType="end"/>
      </w:r>
      <w:r w:rsidRPr="004D43DF">
        <w:t xml:space="preserve"> compr</w:t>
      </w:r>
      <w:r>
        <w:t>i</w:t>
      </w:r>
      <w:r w:rsidRPr="004D43DF">
        <w:t xml:space="preserve">ses for each </w:t>
      </w:r>
      <w:r>
        <w:t xml:space="preserve">short-listed </w:t>
      </w:r>
      <w:r w:rsidRPr="004D43DF">
        <w:t>ri</w:t>
      </w:r>
      <w:r>
        <w:t>s</w:t>
      </w:r>
      <w:r w:rsidRPr="004D43DF">
        <w:t xml:space="preserve">k a detailed description, </w:t>
      </w:r>
      <w:r w:rsidR="00E12F83">
        <w:t>its</w:t>
      </w:r>
      <w:r w:rsidRPr="004D43DF">
        <w:t xml:space="preserve"> rating </w:t>
      </w:r>
      <w:r w:rsidR="00E12F83">
        <w:t xml:space="preserve">per scenario </w:t>
      </w:r>
      <w:r w:rsidRPr="004D43DF">
        <w:t>and mitigation measures</w:t>
      </w:r>
      <w:r>
        <w:rPr>
          <w:b/>
          <w:bCs/>
        </w:rPr>
        <w:t xml:space="preserve"> </w:t>
      </w:r>
      <w:r w:rsidR="00CB4A91">
        <w:t>which could be employed to reduce the risk</w:t>
      </w:r>
      <w:r w:rsidR="00E12F83">
        <w:t>’s</w:t>
      </w:r>
      <w:r w:rsidR="00CB4A91">
        <w:t xml:space="preserve"> likelihood and/or severity</w:t>
      </w:r>
      <w:r w:rsidR="00FC300E">
        <w:t>;</w:t>
      </w:r>
    </w:p>
    <w:p w14:paraId="7A501D41" w14:textId="03C5C667" w:rsidR="003D3088" w:rsidRPr="005504F2" w:rsidRDefault="00180F9D" w:rsidP="00FC300E">
      <w:pPr>
        <w:pStyle w:val="Lijstalinea"/>
        <w:numPr>
          <w:ilvl w:val="0"/>
          <w:numId w:val="11"/>
        </w:numPr>
      </w:pPr>
      <w:r>
        <w:t xml:space="preserve">Chapter </w:t>
      </w:r>
      <w:r w:rsidR="00FC300E">
        <w:fldChar w:fldCharType="begin"/>
      </w:r>
      <w:r w:rsidR="00FC300E">
        <w:instrText xml:space="preserve"> REF _Ref138492524 \r \h </w:instrText>
      </w:r>
      <w:r w:rsidR="00FC300E">
        <w:fldChar w:fldCharType="separate"/>
      </w:r>
      <w:r w:rsidR="00841323">
        <w:t>4</w:t>
      </w:r>
      <w:r w:rsidR="00FC300E">
        <w:fldChar w:fldCharType="end"/>
      </w:r>
      <w:r w:rsidR="000A05D8">
        <w:t xml:space="preserve"> presents a summary of the risks’ assessment and </w:t>
      </w:r>
      <w:r w:rsidR="00D733F9">
        <w:t>conclusions</w:t>
      </w:r>
      <w:r w:rsidR="00FC300E">
        <w:t>.</w:t>
      </w:r>
    </w:p>
    <w:p w14:paraId="38A19ABE" w14:textId="77777777" w:rsidR="003D3088" w:rsidRPr="00163523" w:rsidRDefault="003D3088" w:rsidP="009546AF">
      <w:pPr>
        <w:rPr>
          <w:lang w:val="en-GB"/>
        </w:rPr>
      </w:pPr>
    </w:p>
    <w:p w14:paraId="1E2C8022" w14:textId="0A731148" w:rsidR="003D3088" w:rsidRDefault="003D3088">
      <w:pPr>
        <w:spacing w:after="200" w:line="276" w:lineRule="auto"/>
        <w:ind w:left="0"/>
        <w:rPr>
          <w:lang w:val="en-GB"/>
        </w:rPr>
      </w:pPr>
      <w:r w:rsidRPr="009546AF">
        <w:rPr>
          <w:lang w:val="en-GB"/>
        </w:rPr>
        <w:br w:type="page"/>
      </w:r>
    </w:p>
    <w:p w14:paraId="1733195F" w14:textId="47F4D71D" w:rsidR="007D61EA" w:rsidRPr="00CC5DB0" w:rsidRDefault="005002DE" w:rsidP="00AD1434">
      <w:pPr>
        <w:pStyle w:val="Kop1"/>
      </w:pPr>
      <w:bookmarkStart w:id="8" w:name="_Ref138492517"/>
      <w:bookmarkStart w:id="9" w:name="_Ref138492519"/>
      <w:bookmarkStart w:id="10" w:name="_Toc138492596"/>
      <w:bookmarkStart w:id="11" w:name="_Toc144803002"/>
      <w:r>
        <w:lastRenderedPageBreak/>
        <w:t>Inventory of risks</w:t>
      </w:r>
      <w:bookmarkEnd w:id="8"/>
      <w:bookmarkEnd w:id="9"/>
      <w:bookmarkEnd w:id="10"/>
      <w:bookmarkEnd w:id="11"/>
    </w:p>
    <w:p w14:paraId="1E6101D8" w14:textId="05AFAC20" w:rsidR="007D61EA" w:rsidRDefault="00F51A21" w:rsidP="001A3CCD">
      <w:pPr>
        <w:pStyle w:val="Kop2"/>
      </w:pPr>
      <w:bookmarkStart w:id="12" w:name="_Toc138492597"/>
      <w:bookmarkStart w:id="13" w:name="_Toc144803003"/>
      <w:r>
        <w:t>B</w:t>
      </w:r>
      <w:r w:rsidR="007D61EA" w:rsidRPr="00CC5DB0">
        <w:t>ackground for the risk</w:t>
      </w:r>
      <w:r w:rsidR="00B36E3C">
        <w:t>s’</w:t>
      </w:r>
      <w:r w:rsidR="007D61EA" w:rsidRPr="00CC5DB0">
        <w:t xml:space="preserve"> categorisation</w:t>
      </w:r>
      <w:bookmarkEnd w:id="12"/>
      <w:bookmarkEnd w:id="13"/>
    </w:p>
    <w:p w14:paraId="41E5915C" w14:textId="7B121CCB" w:rsidR="009520DF" w:rsidRPr="00163523" w:rsidRDefault="00EA1612" w:rsidP="00A72563">
      <w:pPr>
        <w:rPr>
          <w:lang w:val="en-GB"/>
        </w:rPr>
      </w:pPr>
      <w:r w:rsidRPr="00163523">
        <w:rPr>
          <w:lang w:val="en-GB"/>
        </w:rPr>
        <w:t xml:space="preserve">The literature on risks for the energy system has a long history, </w:t>
      </w:r>
      <w:r w:rsidR="00F35134" w:rsidRPr="00163523">
        <w:rPr>
          <w:lang w:val="en-GB"/>
        </w:rPr>
        <w:t xml:space="preserve">with </w:t>
      </w:r>
      <w:r w:rsidR="001E4B14" w:rsidRPr="00163523">
        <w:rPr>
          <w:lang w:val="en-GB"/>
        </w:rPr>
        <w:t xml:space="preserve">broad </w:t>
      </w:r>
      <w:r w:rsidR="00F35134" w:rsidRPr="00163523">
        <w:rPr>
          <w:lang w:val="en-GB"/>
        </w:rPr>
        <w:t>attention being paid to th</w:t>
      </w:r>
      <w:r w:rsidR="001E4B14" w:rsidRPr="00163523">
        <w:rPr>
          <w:lang w:val="en-GB"/>
        </w:rPr>
        <w:t xml:space="preserve">is </w:t>
      </w:r>
      <w:r w:rsidR="00F35134" w:rsidRPr="00163523">
        <w:rPr>
          <w:lang w:val="en-GB"/>
        </w:rPr>
        <w:t xml:space="preserve">topic </w:t>
      </w:r>
      <w:r w:rsidR="00BA18F0" w:rsidRPr="00163523">
        <w:rPr>
          <w:lang w:val="en-GB"/>
        </w:rPr>
        <w:t xml:space="preserve">mainly </w:t>
      </w:r>
      <w:r w:rsidR="00F35134" w:rsidRPr="00163523">
        <w:rPr>
          <w:lang w:val="en-GB"/>
        </w:rPr>
        <w:t xml:space="preserve">since the oil crisis </w:t>
      </w:r>
      <w:r w:rsidR="00846C10" w:rsidRPr="00163523">
        <w:rPr>
          <w:lang w:val="en-GB"/>
        </w:rPr>
        <w:t>in</w:t>
      </w:r>
      <w:r w:rsidR="00F35134" w:rsidRPr="00163523">
        <w:rPr>
          <w:lang w:val="en-GB"/>
        </w:rPr>
        <w:t xml:space="preserve"> the 70s.</w:t>
      </w:r>
    </w:p>
    <w:p w14:paraId="0B89444A" w14:textId="77777777" w:rsidR="00A72563" w:rsidRPr="00163523" w:rsidRDefault="00A72563" w:rsidP="00A72563">
      <w:pPr>
        <w:rPr>
          <w:lang w:val="en-GB"/>
        </w:rPr>
      </w:pPr>
    </w:p>
    <w:p w14:paraId="33601272" w14:textId="1EC97FA8" w:rsidR="00F35134" w:rsidRDefault="00084266" w:rsidP="00A72563">
      <w:pPr>
        <w:rPr>
          <w:lang w:val="en-GB"/>
        </w:rPr>
      </w:pPr>
      <w:r w:rsidRPr="00163523">
        <w:rPr>
          <w:lang w:val="en-GB"/>
        </w:rPr>
        <w:t>In recent years</w:t>
      </w:r>
      <w:r w:rsidR="00F35134" w:rsidRPr="00163523">
        <w:rPr>
          <w:lang w:val="en-GB"/>
        </w:rPr>
        <w:t>, increase</w:t>
      </w:r>
      <w:r w:rsidRPr="00163523">
        <w:rPr>
          <w:lang w:val="en-GB"/>
        </w:rPr>
        <w:t>d</w:t>
      </w:r>
      <w:r w:rsidR="00F35134" w:rsidRPr="00163523">
        <w:rPr>
          <w:lang w:val="en-GB"/>
        </w:rPr>
        <w:t xml:space="preserve"> attention has been paid not only to risks associated with </w:t>
      </w:r>
      <w:r w:rsidR="00846C10" w:rsidRPr="00163523">
        <w:rPr>
          <w:lang w:val="en-GB"/>
        </w:rPr>
        <w:t xml:space="preserve">the supply of </w:t>
      </w:r>
      <w:r w:rsidR="00F35134" w:rsidRPr="00163523">
        <w:rPr>
          <w:lang w:val="en-GB"/>
        </w:rPr>
        <w:t xml:space="preserve">energy commodities but also </w:t>
      </w:r>
      <w:r w:rsidR="00AF66AE" w:rsidRPr="00163523">
        <w:rPr>
          <w:lang w:val="en-GB"/>
        </w:rPr>
        <w:t xml:space="preserve">to </w:t>
      </w:r>
      <w:r w:rsidR="00F35134" w:rsidRPr="00163523">
        <w:rPr>
          <w:lang w:val="en-GB"/>
        </w:rPr>
        <w:t>those related to the energy technology supply chains</w:t>
      </w:r>
      <w:r w:rsidR="00A72563">
        <w:rPr>
          <w:lang w:val="en-GB"/>
        </w:rPr>
        <w:t xml:space="preserve">. </w:t>
      </w:r>
      <w:r w:rsidR="00F35134" w:rsidRPr="00163523">
        <w:rPr>
          <w:lang w:val="en-GB"/>
        </w:rPr>
        <w:t>These risks derive from various factor</w:t>
      </w:r>
      <w:r w:rsidR="007733C9" w:rsidRPr="00163523">
        <w:rPr>
          <w:lang w:val="en-GB"/>
        </w:rPr>
        <w:t>s</w:t>
      </w:r>
      <w:r w:rsidR="00F35134" w:rsidRPr="00163523">
        <w:rPr>
          <w:lang w:val="en-GB"/>
        </w:rPr>
        <w:t xml:space="preserve"> such as dependencies on the supply of critical raw materials or components for strategic energy technologies from a small number of (non-EU) suppliers</w:t>
      </w:r>
      <w:r w:rsidR="00A72563">
        <w:rPr>
          <w:lang w:val="en-GB"/>
        </w:rPr>
        <w:t>.</w:t>
      </w:r>
    </w:p>
    <w:p w14:paraId="2159ACE0" w14:textId="77777777" w:rsidR="00A72563" w:rsidRPr="00A72563" w:rsidRDefault="00A72563" w:rsidP="00A72563">
      <w:pPr>
        <w:rPr>
          <w:lang w:val="en-GB"/>
        </w:rPr>
      </w:pPr>
    </w:p>
    <w:p w14:paraId="04CECF50" w14:textId="6EFCBA25" w:rsidR="00F35134" w:rsidRDefault="00F35134" w:rsidP="00A72563">
      <w:pPr>
        <w:rPr>
          <w:lang w:val="en-GB"/>
        </w:rPr>
      </w:pPr>
      <w:r w:rsidRPr="00163523">
        <w:rPr>
          <w:lang w:val="en-GB"/>
        </w:rPr>
        <w:t xml:space="preserve">However, other threats can impact the energy system, including </w:t>
      </w:r>
      <w:r w:rsidR="00411F5D" w:rsidRPr="00163523">
        <w:rPr>
          <w:lang w:val="en-GB"/>
        </w:rPr>
        <w:t xml:space="preserve">more frequently occurring </w:t>
      </w:r>
      <w:r w:rsidRPr="00163523">
        <w:rPr>
          <w:lang w:val="en-GB"/>
        </w:rPr>
        <w:t>extreme weather events affecting the manufacturing, logistics, installation or the operation of energy production, transport, storage or demand assets</w:t>
      </w:r>
      <w:r w:rsidR="00A72563">
        <w:rPr>
          <w:lang w:val="en-GB"/>
        </w:rPr>
        <w:t xml:space="preserve">. </w:t>
      </w:r>
      <w:r w:rsidRPr="00163523">
        <w:rPr>
          <w:lang w:val="en-GB"/>
        </w:rPr>
        <w:t>Other threats such as cyber</w:t>
      </w:r>
      <w:r w:rsidR="00ED6DAD" w:rsidRPr="00163523">
        <w:rPr>
          <w:lang w:val="en-GB"/>
        </w:rPr>
        <w:t>-</w:t>
      </w:r>
      <w:r w:rsidRPr="00163523">
        <w:rPr>
          <w:lang w:val="en-GB"/>
        </w:rPr>
        <w:t>attacks or global pandemics can also disrupt the EU energy system</w:t>
      </w:r>
      <w:r w:rsidR="00A72563">
        <w:rPr>
          <w:lang w:val="en-GB"/>
        </w:rPr>
        <w:t>.</w:t>
      </w:r>
    </w:p>
    <w:p w14:paraId="4BF24F37" w14:textId="77777777" w:rsidR="00AE567B" w:rsidRPr="00A72563" w:rsidRDefault="00AE567B" w:rsidP="00A72563">
      <w:pPr>
        <w:rPr>
          <w:lang w:val="en-GB"/>
        </w:rPr>
      </w:pPr>
    </w:p>
    <w:p w14:paraId="231D16AE" w14:textId="3CDF33D7" w:rsidR="00084266" w:rsidRPr="00163523" w:rsidRDefault="00084266" w:rsidP="00A72563">
      <w:pPr>
        <w:rPr>
          <w:lang w:val="en-GB"/>
        </w:rPr>
      </w:pPr>
      <w:r w:rsidRPr="00163523">
        <w:rPr>
          <w:lang w:val="en-GB"/>
        </w:rPr>
        <w:t xml:space="preserve">The European Commission </w:t>
      </w:r>
      <w:r w:rsidR="008A7EE9" w:rsidRPr="00163523">
        <w:rPr>
          <w:lang w:val="en-GB"/>
        </w:rPr>
        <w:t xml:space="preserve">publishes since 2014 a list </w:t>
      </w:r>
      <w:r w:rsidR="0051328D" w:rsidRPr="00163523">
        <w:rPr>
          <w:lang w:val="en-GB"/>
        </w:rPr>
        <w:t xml:space="preserve">of </w:t>
      </w:r>
      <w:r w:rsidR="008A7EE9" w:rsidRPr="00163523">
        <w:rPr>
          <w:lang w:val="en-GB"/>
        </w:rPr>
        <w:t xml:space="preserve">critical raw materials, based on an assessment of their </w:t>
      </w:r>
      <w:r w:rsidR="0065079A" w:rsidRPr="00163523">
        <w:rPr>
          <w:lang w:val="en-GB"/>
        </w:rPr>
        <w:t>importance to the EU economy, availability and existence of possibilities for e.g. recycling and substitution</w:t>
      </w:r>
      <w:r w:rsidR="005A65E3" w:rsidRPr="00163523">
        <w:rPr>
          <w:lang w:val="en-GB"/>
        </w:rPr>
        <w:t>. The current (fourth) list includes 30 critical raw materials.</w:t>
      </w:r>
      <w:r w:rsidR="005A65E3" w:rsidRPr="00163523">
        <w:rPr>
          <w:rStyle w:val="Voetnootmarkering"/>
          <w:lang w:val="en-GB"/>
        </w:rPr>
        <w:footnoteReference w:id="2"/>
      </w:r>
    </w:p>
    <w:p w14:paraId="37768F33" w14:textId="77777777" w:rsidR="00A72563" w:rsidRPr="00163523" w:rsidRDefault="00A72563" w:rsidP="00A72563">
      <w:pPr>
        <w:rPr>
          <w:lang w:val="en-GB"/>
        </w:rPr>
      </w:pPr>
    </w:p>
    <w:p w14:paraId="583791E9" w14:textId="3D68A7F5" w:rsidR="00C76006" w:rsidRPr="00163523" w:rsidRDefault="00F35134" w:rsidP="00A72563">
      <w:pPr>
        <w:rPr>
          <w:lang w:val="en-GB"/>
        </w:rPr>
      </w:pPr>
      <w:r w:rsidRPr="00163523">
        <w:rPr>
          <w:lang w:val="en-GB"/>
        </w:rPr>
        <w:t xml:space="preserve">Trinomics </w:t>
      </w:r>
      <w:r w:rsidR="00C00F70">
        <w:rPr>
          <w:lang w:val="en-GB"/>
        </w:rPr>
        <w:t>and Artelys</w:t>
      </w:r>
      <w:r w:rsidR="00BE75DE" w:rsidRPr="00163523">
        <w:rPr>
          <w:lang w:val="en-GB"/>
        </w:rPr>
        <w:t xml:space="preserve"> </w:t>
      </w:r>
      <w:r w:rsidRPr="00163523">
        <w:rPr>
          <w:lang w:val="en-GB"/>
        </w:rPr>
        <w:t>(2021)</w:t>
      </w:r>
      <w:r w:rsidR="00BE75DE" w:rsidRPr="00163523">
        <w:rPr>
          <w:rStyle w:val="Voetnootmarkering"/>
          <w:lang w:val="en-GB"/>
        </w:rPr>
        <w:footnoteReference w:id="3"/>
      </w:r>
      <w:r w:rsidRPr="00163523">
        <w:rPr>
          <w:lang w:val="en-GB"/>
        </w:rPr>
        <w:t xml:space="preserve"> </w:t>
      </w:r>
      <w:r w:rsidR="00C00F70">
        <w:rPr>
          <w:lang w:val="en-GB"/>
        </w:rPr>
        <w:t>have</w:t>
      </w:r>
      <w:r w:rsidRPr="00163523">
        <w:rPr>
          <w:lang w:val="en-GB"/>
        </w:rPr>
        <w:t xml:space="preserve"> assessed </w:t>
      </w:r>
      <w:r w:rsidR="008B4A32" w:rsidRPr="00163523">
        <w:rPr>
          <w:lang w:val="en-GB"/>
        </w:rPr>
        <w:t>major</w:t>
      </w:r>
      <w:r w:rsidRPr="00163523">
        <w:rPr>
          <w:lang w:val="en-GB"/>
        </w:rPr>
        <w:t xml:space="preserve"> threats to the EU energy technology supply chains</w:t>
      </w:r>
      <w:r w:rsidR="00F01270" w:rsidRPr="00163523">
        <w:rPr>
          <w:lang w:val="en-GB"/>
        </w:rPr>
        <w:t xml:space="preserve">. </w:t>
      </w:r>
      <w:r w:rsidR="00C00F70">
        <w:rPr>
          <w:lang w:val="en-GB"/>
        </w:rPr>
        <w:t>The study</w:t>
      </w:r>
      <w:r w:rsidR="00F01270" w:rsidRPr="00163523">
        <w:rPr>
          <w:lang w:val="en-GB"/>
        </w:rPr>
        <w:t xml:space="preserve"> identified a number of vulnerable materials as well as components and O&amp;M functions for several energy technologies</w:t>
      </w:r>
      <w:r w:rsidR="00A10B08" w:rsidRPr="00163523">
        <w:rPr>
          <w:lang w:val="en-GB"/>
        </w:rPr>
        <w:t xml:space="preserve">. As can be seen in </w:t>
      </w:r>
      <w:r w:rsidR="00A10B08" w:rsidRPr="00163523">
        <w:rPr>
          <w:lang w:val="en-GB"/>
        </w:rPr>
        <w:fldChar w:fldCharType="begin"/>
      </w:r>
      <w:r w:rsidR="00A10B08" w:rsidRPr="00163523">
        <w:rPr>
          <w:lang w:val="en-GB"/>
        </w:rPr>
        <w:instrText xml:space="preserve"> REF _Ref115171544 \h </w:instrText>
      </w:r>
      <w:r w:rsidR="00A10B08" w:rsidRPr="00163523">
        <w:rPr>
          <w:lang w:val="en-GB"/>
        </w:rPr>
      </w:r>
      <w:r w:rsidR="00A10B08" w:rsidRPr="00163523">
        <w:rPr>
          <w:lang w:val="en-GB"/>
        </w:rPr>
        <w:fldChar w:fldCharType="separate"/>
      </w:r>
      <w:r w:rsidR="00A10B08" w:rsidRPr="00163523">
        <w:rPr>
          <w:lang w:val="en-GB"/>
        </w:rPr>
        <w:t>Table 1</w:t>
      </w:r>
      <w:r w:rsidR="00A10B08" w:rsidRPr="00163523">
        <w:rPr>
          <w:lang w:val="en-GB"/>
        </w:rPr>
        <w:noBreakHyphen/>
        <w:t>1</w:t>
      </w:r>
      <w:r w:rsidR="00A10B08" w:rsidRPr="00163523">
        <w:rPr>
          <w:lang w:val="en-GB"/>
        </w:rPr>
        <w:fldChar w:fldCharType="end"/>
      </w:r>
      <w:r w:rsidR="00C76006" w:rsidRPr="00163523">
        <w:rPr>
          <w:lang w:val="en-GB"/>
        </w:rPr>
        <w:t xml:space="preserve"> several technologies relevant for the decarbonisation of the</w:t>
      </w:r>
      <w:r w:rsidR="0072582F" w:rsidRPr="00163523">
        <w:rPr>
          <w:lang w:val="en-GB"/>
        </w:rPr>
        <w:t xml:space="preserve"> Baltic </w:t>
      </w:r>
      <w:r w:rsidR="00C76006" w:rsidRPr="00163523">
        <w:rPr>
          <w:lang w:val="en-GB"/>
        </w:rPr>
        <w:t>regional gas system are deemed both strategic to the EU energy system and vulnerable to a number of threats. Th</w:t>
      </w:r>
      <w:r w:rsidR="00AF2FB6" w:rsidRPr="00163523">
        <w:rPr>
          <w:lang w:val="en-GB"/>
        </w:rPr>
        <w:t>ese technologies i</w:t>
      </w:r>
      <w:r w:rsidR="00C76006" w:rsidRPr="00163523">
        <w:rPr>
          <w:lang w:val="en-GB"/>
        </w:rPr>
        <w:t xml:space="preserve">nclude the supply chain for gas infrastructure, </w:t>
      </w:r>
      <w:r w:rsidR="00117072" w:rsidRPr="00163523">
        <w:rPr>
          <w:lang w:val="en-GB"/>
        </w:rPr>
        <w:t>hydrogen p</w:t>
      </w:r>
      <w:r w:rsidR="00C76006" w:rsidRPr="00163523">
        <w:rPr>
          <w:lang w:val="en-GB"/>
        </w:rPr>
        <w:t xml:space="preserve">roduction, </w:t>
      </w:r>
      <w:r w:rsidR="00F33B4D" w:rsidRPr="00163523">
        <w:rPr>
          <w:lang w:val="en-GB"/>
        </w:rPr>
        <w:t xml:space="preserve">energy </w:t>
      </w:r>
      <w:r w:rsidR="00C76006" w:rsidRPr="00163523">
        <w:rPr>
          <w:lang w:val="en-GB"/>
        </w:rPr>
        <w:t>storage and use, as well as digital technologies used throughout the energy supply chain.</w:t>
      </w:r>
    </w:p>
    <w:p w14:paraId="013774D9" w14:textId="77777777" w:rsidR="00A72563" w:rsidRPr="00163523" w:rsidRDefault="00A72563" w:rsidP="00A72563">
      <w:pPr>
        <w:rPr>
          <w:lang w:val="en-GB"/>
        </w:rPr>
      </w:pPr>
    </w:p>
    <w:p w14:paraId="28DBE202" w14:textId="44DB3161" w:rsidR="00F35134" w:rsidRPr="00163523" w:rsidRDefault="00C76006" w:rsidP="00A72563">
      <w:pPr>
        <w:rPr>
          <w:lang w:val="en-GB"/>
        </w:rPr>
      </w:pPr>
      <w:r w:rsidRPr="00163523">
        <w:rPr>
          <w:lang w:val="en-GB"/>
        </w:rPr>
        <w:t xml:space="preserve">The </w:t>
      </w:r>
      <w:r w:rsidR="00A72563">
        <w:rPr>
          <w:lang w:val="en-GB"/>
        </w:rPr>
        <w:t xml:space="preserve">Trinomics </w:t>
      </w:r>
      <w:r w:rsidRPr="00163523">
        <w:rPr>
          <w:lang w:val="en-GB"/>
        </w:rPr>
        <w:t xml:space="preserve">study has </w:t>
      </w:r>
      <w:r w:rsidR="00193101" w:rsidRPr="00163523">
        <w:rPr>
          <w:lang w:val="en-GB"/>
        </w:rPr>
        <w:t xml:space="preserve">also </w:t>
      </w:r>
      <w:r w:rsidRPr="00163523">
        <w:rPr>
          <w:lang w:val="en-GB"/>
        </w:rPr>
        <w:t xml:space="preserve">considered other technologies such as </w:t>
      </w:r>
      <w:r w:rsidR="00193101" w:rsidRPr="00163523">
        <w:rPr>
          <w:lang w:val="en-GB"/>
        </w:rPr>
        <w:t xml:space="preserve">those used </w:t>
      </w:r>
      <w:r w:rsidRPr="00163523">
        <w:rPr>
          <w:lang w:val="en-GB"/>
        </w:rPr>
        <w:t xml:space="preserve">for biogas and biomethane production, but these were not deemed strategic at the EU level. However, this does not mean </w:t>
      </w:r>
      <w:r w:rsidR="00F33B4D" w:rsidRPr="00163523">
        <w:rPr>
          <w:lang w:val="en-GB"/>
        </w:rPr>
        <w:t xml:space="preserve">that </w:t>
      </w:r>
      <w:r w:rsidR="00105A6D" w:rsidRPr="00163523">
        <w:rPr>
          <w:lang w:val="en-GB"/>
        </w:rPr>
        <w:t xml:space="preserve">these </w:t>
      </w:r>
      <w:r w:rsidRPr="00163523">
        <w:rPr>
          <w:lang w:val="en-GB"/>
        </w:rPr>
        <w:t>technologies are not important in the context of this study, nor that they don’t exhibit vulnerabilities.</w:t>
      </w:r>
    </w:p>
    <w:p w14:paraId="393B3635" w14:textId="09CBBAF3" w:rsidR="00F51209" w:rsidRDefault="00F51209" w:rsidP="000F3DCF">
      <w:pPr>
        <w:keepNext/>
        <w:rPr>
          <w:lang w:val="en-GB"/>
        </w:rPr>
      </w:pPr>
    </w:p>
    <w:p w14:paraId="5924091C" w14:textId="5AA4304C" w:rsidR="00F01270" w:rsidRPr="00F01270" w:rsidRDefault="00F01270" w:rsidP="00F51A21">
      <w:pPr>
        <w:pStyle w:val="Bijschrift"/>
        <w:rPr>
          <w:lang w:val="en-GB"/>
        </w:rPr>
      </w:pPr>
      <w:bookmarkStart w:id="14" w:name="_Ref115171544"/>
      <w:bookmarkStart w:id="15" w:name="_Toc75774458"/>
      <w:bookmarkStart w:id="16" w:name="_Toc75782541"/>
      <w:r w:rsidRPr="00F01270">
        <w:rPr>
          <w:lang w:val="en-GB"/>
        </w:rPr>
        <w:t xml:space="preserve">Table </w:t>
      </w:r>
      <w:r w:rsidR="008962EB">
        <w:rPr>
          <w:lang w:val="en-GB"/>
        </w:rPr>
        <w:fldChar w:fldCharType="begin"/>
      </w:r>
      <w:r w:rsidR="008962EB">
        <w:rPr>
          <w:lang w:val="en-GB"/>
        </w:rPr>
        <w:instrText xml:space="preserve"> STYLEREF 1 \s </w:instrText>
      </w:r>
      <w:r w:rsidR="008962EB">
        <w:rPr>
          <w:lang w:val="en-GB"/>
        </w:rPr>
        <w:fldChar w:fldCharType="separate"/>
      </w:r>
      <w:r w:rsidR="008962EB">
        <w:rPr>
          <w:noProof/>
          <w:lang w:val="en-GB"/>
        </w:rPr>
        <w:t>2</w:t>
      </w:r>
      <w:r w:rsidR="008962EB">
        <w:rPr>
          <w:lang w:val="en-GB"/>
        </w:rPr>
        <w:fldChar w:fldCharType="end"/>
      </w:r>
      <w:r w:rsidR="008962EB">
        <w:rPr>
          <w:lang w:val="en-GB"/>
        </w:rPr>
        <w:noBreakHyphen/>
      </w:r>
      <w:r w:rsidR="008962EB">
        <w:rPr>
          <w:lang w:val="en-GB"/>
        </w:rPr>
        <w:fldChar w:fldCharType="begin"/>
      </w:r>
      <w:r w:rsidR="008962EB">
        <w:rPr>
          <w:lang w:val="en-GB"/>
        </w:rPr>
        <w:instrText xml:space="preserve"> SEQ Table \* ARABIC \s 1 </w:instrText>
      </w:r>
      <w:r w:rsidR="008962EB">
        <w:rPr>
          <w:lang w:val="en-GB"/>
        </w:rPr>
        <w:fldChar w:fldCharType="separate"/>
      </w:r>
      <w:r w:rsidR="008962EB">
        <w:rPr>
          <w:noProof/>
          <w:lang w:val="en-GB"/>
        </w:rPr>
        <w:t>1</w:t>
      </w:r>
      <w:r w:rsidR="008962EB">
        <w:rPr>
          <w:lang w:val="en-GB"/>
        </w:rPr>
        <w:fldChar w:fldCharType="end"/>
      </w:r>
      <w:bookmarkEnd w:id="14"/>
      <w:r w:rsidRPr="00F01270">
        <w:rPr>
          <w:lang w:val="en-GB"/>
        </w:rPr>
        <w:t xml:space="preserve"> Overview of the vulnerability of energy technologies supply chain stages</w:t>
      </w:r>
      <w:bookmarkEnd w:id="15"/>
      <w:bookmarkEnd w:id="16"/>
    </w:p>
    <w:tbl>
      <w:tblPr>
        <w:tblStyle w:val="Table1"/>
        <w:tblW w:w="5142" w:type="pct"/>
        <w:tblLayout w:type="fixed"/>
        <w:tblCellMar>
          <w:top w:w="28" w:type="dxa"/>
          <w:bottom w:w="28" w:type="dxa"/>
        </w:tblCellMar>
        <w:tblLook w:val="04A0" w:firstRow="1" w:lastRow="0" w:firstColumn="1" w:lastColumn="0" w:noHBand="0" w:noVBand="1"/>
      </w:tblPr>
      <w:tblGrid>
        <w:gridCol w:w="1556"/>
        <w:gridCol w:w="2125"/>
        <w:gridCol w:w="2552"/>
        <w:gridCol w:w="3039"/>
      </w:tblGrid>
      <w:tr w:rsidR="00F01270" w:rsidRPr="00E47EEA" w14:paraId="31E4FCE5" w14:textId="77777777" w:rsidTr="00E47EEA">
        <w:trPr>
          <w:cnfStyle w:val="100000000000" w:firstRow="1" w:lastRow="0" w:firstColumn="0" w:lastColumn="0" w:oddVBand="0" w:evenVBand="0" w:oddHBand="0"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839" w:type="pct"/>
          </w:tcPr>
          <w:p w14:paraId="567E58E1" w14:textId="77777777" w:rsidR="00F01270" w:rsidRPr="00E47EEA" w:rsidRDefault="00F01270" w:rsidP="000F3DCF">
            <w:pPr>
              <w:keepNext/>
              <w:spacing w:line="240" w:lineRule="auto"/>
              <w:ind w:left="0"/>
              <w:jc w:val="left"/>
              <w:rPr>
                <w:sz w:val="16"/>
                <w:szCs w:val="16"/>
                <w:lang w:val="en-GB"/>
              </w:rPr>
            </w:pPr>
            <w:r w:rsidRPr="00E47EEA">
              <w:rPr>
                <w:sz w:val="16"/>
                <w:szCs w:val="16"/>
                <w:lang w:val="en-GB"/>
              </w:rPr>
              <w:t>Strategic supply chains</w:t>
            </w:r>
          </w:p>
        </w:tc>
        <w:tc>
          <w:tcPr>
            <w:tcW w:w="1146" w:type="pct"/>
          </w:tcPr>
          <w:p w14:paraId="4824842F" w14:textId="77777777" w:rsidR="00F01270" w:rsidRPr="00E47EEA" w:rsidRDefault="00F01270" w:rsidP="000F3DCF">
            <w:pPr>
              <w:keepNext/>
              <w:spacing w:line="240" w:lineRule="auto"/>
              <w:ind w:left="0"/>
              <w:jc w:val="left"/>
              <w:cnfStyle w:val="100000000000" w:firstRow="1" w:lastRow="0" w:firstColumn="0" w:lastColumn="0" w:oddVBand="0" w:evenVBand="0" w:oddHBand="0" w:evenHBand="0" w:firstRowFirstColumn="0" w:firstRowLastColumn="0" w:lastRowFirstColumn="0" w:lastRowLastColumn="0"/>
              <w:rPr>
                <w:sz w:val="16"/>
                <w:szCs w:val="16"/>
                <w:lang w:val="en-GB"/>
              </w:rPr>
            </w:pPr>
            <w:r w:rsidRPr="00E47EEA">
              <w:rPr>
                <w:sz w:val="16"/>
                <w:szCs w:val="16"/>
                <w:lang w:val="en-GB"/>
              </w:rPr>
              <w:t>Raw &amp; Processed Materials</w:t>
            </w:r>
          </w:p>
        </w:tc>
        <w:tc>
          <w:tcPr>
            <w:tcW w:w="1376" w:type="pct"/>
          </w:tcPr>
          <w:p w14:paraId="3BEFCDC0" w14:textId="77777777" w:rsidR="00F01270" w:rsidRPr="00E47EEA" w:rsidRDefault="00F01270" w:rsidP="000F3DCF">
            <w:pPr>
              <w:keepNext/>
              <w:spacing w:line="240" w:lineRule="auto"/>
              <w:ind w:left="0"/>
              <w:jc w:val="left"/>
              <w:cnfStyle w:val="100000000000" w:firstRow="1" w:lastRow="0" w:firstColumn="0" w:lastColumn="0" w:oddVBand="0" w:evenVBand="0" w:oddHBand="0" w:evenHBand="0" w:firstRowFirstColumn="0" w:firstRowLastColumn="0" w:lastRowFirstColumn="0" w:lastRowLastColumn="0"/>
              <w:rPr>
                <w:sz w:val="16"/>
                <w:szCs w:val="16"/>
                <w:lang w:val="en-GB"/>
              </w:rPr>
            </w:pPr>
            <w:r w:rsidRPr="00E47EEA">
              <w:rPr>
                <w:sz w:val="16"/>
                <w:szCs w:val="16"/>
                <w:lang w:val="en-GB"/>
              </w:rPr>
              <w:t>Manufacturing &amp; Assembly</w:t>
            </w:r>
          </w:p>
        </w:tc>
        <w:tc>
          <w:tcPr>
            <w:tcW w:w="1639" w:type="pct"/>
          </w:tcPr>
          <w:p w14:paraId="79B50DF2" w14:textId="77777777" w:rsidR="00F01270" w:rsidRPr="00E47EEA" w:rsidRDefault="00F01270" w:rsidP="000F3DCF">
            <w:pPr>
              <w:keepNext/>
              <w:spacing w:line="240" w:lineRule="auto"/>
              <w:ind w:left="0"/>
              <w:jc w:val="left"/>
              <w:cnfStyle w:val="100000000000" w:firstRow="1" w:lastRow="0" w:firstColumn="0" w:lastColumn="0" w:oddVBand="0" w:evenVBand="0" w:oddHBand="0" w:evenHBand="0" w:firstRowFirstColumn="0" w:firstRowLastColumn="0" w:lastRowFirstColumn="0" w:lastRowLastColumn="0"/>
              <w:rPr>
                <w:sz w:val="16"/>
                <w:szCs w:val="16"/>
                <w:lang w:val="en-GB"/>
              </w:rPr>
            </w:pPr>
            <w:r w:rsidRPr="00E47EEA">
              <w:rPr>
                <w:sz w:val="16"/>
                <w:szCs w:val="16"/>
                <w:lang w:val="en-GB"/>
              </w:rPr>
              <w:t>O&amp;M</w:t>
            </w:r>
          </w:p>
        </w:tc>
      </w:tr>
      <w:tr w:rsidR="00F01270" w:rsidRPr="009E69A2" w14:paraId="102FDFCA" w14:textId="77777777" w:rsidTr="00E47EEA">
        <w:trPr>
          <w:trHeight w:val="486"/>
        </w:trPr>
        <w:tc>
          <w:tcPr>
            <w:cnfStyle w:val="001000000000" w:firstRow="0" w:lastRow="0" w:firstColumn="1" w:lastColumn="0" w:oddVBand="0" w:evenVBand="0" w:oddHBand="0" w:evenHBand="0" w:firstRowFirstColumn="0" w:firstRowLastColumn="0" w:lastRowFirstColumn="0" w:lastRowLastColumn="0"/>
            <w:tcW w:w="839" w:type="pct"/>
            <w:shd w:val="clear" w:color="auto" w:fill="D9D9D9" w:themeFill="background1" w:themeFillShade="D9"/>
          </w:tcPr>
          <w:p w14:paraId="38C699F6" w14:textId="6E4FF09D" w:rsidR="00F01270" w:rsidRPr="00E47EEA" w:rsidRDefault="00F01270" w:rsidP="000F3DCF">
            <w:pPr>
              <w:keepNext/>
              <w:spacing w:line="240" w:lineRule="auto"/>
              <w:ind w:left="0"/>
              <w:rPr>
                <w:b/>
                <w:sz w:val="16"/>
                <w:szCs w:val="16"/>
                <w:lang w:val="en-GB"/>
              </w:rPr>
            </w:pPr>
            <w:r w:rsidRPr="00E47EEA">
              <w:rPr>
                <w:b/>
                <w:sz w:val="16"/>
                <w:szCs w:val="16"/>
                <w:lang w:val="en-GB"/>
              </w:rPr>
              <w:t>Wind</w:t>
            </w:r>
            <w:r w:rsidR="00105A6D">
              <w:rPr>
                <w:b/>
                <w:sz w:val="16"/>
                <w:szCs w:val="16"/>
                <w:lang w:val="en-GB"/>
              </w:rPr>
              <w:t xml:space="preserve"> energy</w:t>
            </w:r>
          </w:p>
        </w:tc>
        <w:tc>
          <w:tcPr>
            <w:tcW w:w="1146" w:type="pct"/>
            <w:shd w:val="clear" w:color="auto" w:fill="FFE3A5" w:themeFill="accent4"/>
          </w:tcPr>
          <w:p w14:paraId="360D31C2" w14:textId="77777777" w:rsidR="00F01270" w:rsidRPr="00E47EEA" w:rsidRDefault="00F01270" w:rsidP="000F3DCF">
            <w:pPr>
              <w:keepNext/>
              <w:spacing w:line="240" w:lineRule="auto"/>
              <w:ind w:left="0"/>
              <w:jc w:val="left"/>
              <w:cnfStyle w:val="000000000000" w:firstRow="0" w:lastRow="0" w:firstColumn="0" w:lastColumn="0" w:oddVBand="0" w:evenVBand="0" w:oddHBand="0" w:evenHBand="0" w:firstRowFirstColumn="0" w:firstRowLastColumn="0" w:lastRowFirstColumn="0" w:lastRowLastColumn="0"/>
              <w:rPr>
                <w:sz w:val="16"/>
                <w:szCs w:val="16"/>
                <w:lang w:val="en-GB"/>
              </w:rPr>
            </w:pPr>
            <w:r w:rsidRPr="00E47EEA">
              <w:rPr>
                <w:sz w:val="16"/>
                <w:szCs w:val="16"/>
                <w:lang w:val="en-GB"/>
              </w:rPr>
              <w:t xml:space="preserve">Cu, </w:t>
            </w:r>
            <w:r w:rsidRPr="00E47EEA">
              <w:rPr>
                <w:b/>
                <w:sz w:val="16"/>
                <w:szCs w:val="16"/>
                <w:lang w:val="en-GB"/>
              </w:rPr>
              <w:t>Dy</w:t>
            </w:r>
            <w:r w:rsidRPr="00E47EEA">
              <w:rPr>
                <w:sz w:val="16"/>
                <w:szCs w:val="16"/>
                <w:lang w:val="en-GB"/>
              </w:rPr>
              <w:t xml:space="preserve">, </w:t>
            </w:r>
            <w:r w:rsidRPr="00E47EEA">
              <w:rPr>
                <w:b/>
                <w:sz w:val="16"/>
                <w:szCs w:val="16"/>
                <w:lang w:val="en-GB"/>
              </w:rPr>
              <w:t>Nd</w:t>
            </w:r>
            <w:r w:rsidRPr="00E47EEA">
              <w:rPr>
                <w:sz w:val="16"/>
                <w:szCs w:val="16"/>
                <w:lang w:val="en-GB"/>
              </w:rPr>
              <w:t>; electrical steel</w:t>
            </w:r>
          </w:p>
        </w:tc>
        <w:tc>
          <w:tcPr>
            <w:tcW w:w="1376" w:type="pct"/>
            <w:shd w:val="clear" w:color="auto" w:fill="FFE3A5" w:themeFill="accent4"/>
          </w:tcPr>
          <w:p w14:paraId="333AAC94" w14:textId="77777777" w:rsidR="00F01270" w:rsidRPr="00E47EEA" w:rsidRDefault="00F01270" w:rsidP="000F3DCF">
            <w:pPr>
              <w:keepNext/>
              <w:spacing w:line="240" w:lineRule="auto"/>
              <w:ind w:left="0"/>
              <w:jc w:val="left"/>
              <w:cnfStyle w:val="000000000000" w:firstRow="0" w:lastRow="0" w:firstColumn="0" w:lastColumn="0" w:oddVBand="0" w:evenVBand="0" w:oddHBand="0" w:evenHBand="0" w:firstRowFirstColumn="0" w:firstRowLastColumn="0" w:lastRowFirstColumn="0" w:lastRowLastColumn="0"/>
              <w:rPr>
                <w:sz w:val="16"/>
                <w:szCs w:val="16"/>
                <w:lang w:val="en-GB"/>
              </w:rPr>
            </w:pPr>
            <w:r w:rsidRPr="00E47EEA">
              <w:rPr>
                <w:sz w:val="16"/>
                <w:szCs w:val="16"/>
                <w:lang w:val="en-GB"/>
              </w:rPr>
              <w:t>Permanent magnets</w:t>
            </w:r>
          </w:p>
        </w:tc>
        <w:tc>
          <w:tcPr>
            <w:tcW w:w="1639" w:type="pct"/>
            <w:shd w:val="clear" w:color="auto" w:fill="FFE3A5" w:themeFill="accent4"/>
          </w:tcPr>
          <w:p w14:paraId="6CFB8015" w14:textId="128C859A" w:rsidR="00F01270" w:rsidRPr="00E47EEA" w:rsidRDefault="00F01270" w:rsidP="000F3DCF">
            <w:pPr>
              <w:keepNext/>
              <w:spacing w:line="240" w:lineRule="auto"/>
              <w:ind w:left="0"/>
              <w:jc w:val="left"/>
              <w:cnfStyle w:val="000000000000" w:firstRow="0" w:lastRow="0" w:firstColumn="0" w:lastColumn="0" w:oddVBand="0" w:evenVBand="0" w:oddHBand="0" w:evenHBand="0" w:firstRowFirstColumn="0" w:firstRowLastColumn="0" w:lastRowFirstColumn="0" w:lastRowLastColumn="0"/>
              <w:rPr>
                <w:sz w:val="16"/>
                <w:szCs w:val="16"/>
                <w:lang w:val="en-GB"/>
              </w:rPr>
            </w:pPr>
            <w:r w:rsidRPr="00E47EEA">
              <w:rPr>
                <w:sz w:val="16"/>
                <w:szCs w:val="16"/>
                <w:lang w:val="en-GB"/>
              </w:rPr>
              <w:t>Vulnerability to cyber</w:t>
            </w:r>
            <w:r w:rsidR="00105A6D">
              <w:rPr>
                <w:sz w:val="16"/>
                <w:szCs w:val="16"/>
                <w:lang w:val="en-GB"/>
              </w:rPr>
              <w:t>-</w:t>
            </w:r>
            <w:r w:rsidRPr="00E47EEA">
              <w:rPr>
                <w:sz w:val="16"/>
                <w:szCs w:val="16"/>
                <w:lang w:val="en-GB"/>
              </w:rPr>
              <w:t>attacks due to increased digitalisation</w:t>
            </w:r>
          </w:p>
          <w:p w14:paraId="076D8910" w14:textId="77777777" w:rsidR="00F01270" w:rsidRPr="00E47EEA" w:rsidRDefault="00F01270" w:rsidP="000F3DCF">
            <w:pPr>
              <w:keepNext/>
              <w:spacing w:line="240" w:lineRule="auto"/>
              <w:ind w:left="0"/>
              <w:jc w:val="left"/>
              <w:cnfStyle w:val="000000000000" w:firstRow="0" w:lastRow="0" w:firstColumn="0" w:lastColumn="0" w:oddVBand="0" w:evenVBand="0" w:oddHBand="0" w:evenHBand="0" w:firstRowFirstColumn="0" w:firstRowLastColumn="0" w:lastRowFirstColumn="0" w:lastRowLastColumn="0"/>
              <w:rPr>
                <w:sz w:val="16"/>
                <w:szCs w:val="16"/>
                <w:lang w:val="en-GB"/>
              </w:rPr>
            </w:pPr>
            <w:r w:rsidRPr="00E47EEA">
              <w:rPr>
                <w:sz w:val="16"/>
                <w:szCs w:val="16"/>
                <w:lang w:val="en-GB"/>
              </w:rPr>
              <w:t>Availability of installation vessels for offshore wind</w:t>
            </w:r>
          </w:p>
        </w:tc>
      </w:tr>
      <w:tr w:rsidR="00F01270" w:rsidRPr="009E69A2" w14:paraId="093451B8" w14:textId="77777777" w:rsidTr="00E47EEA">
        <w:trPr>
          <w:trHeight w:val="486"/>
        </w:trPr>
        <w:tc>
          <w:tcPr>
            <w:cnfStyle w:val="001000000000" w:firstRow="0" w:lastRow="0" w:firstColumn="1" w:lastColumn="0" w:oddVBand="0" w:evenVBand="0" w:oddHBand="0" w:evenHBand="0" w:firstRowFirstColumn="0" w:firstRowLastColumn="0" w:lastRowFirstColumn="0" w:lastRowLastColumn="0"/>
            <w:tcW w:w="839" w:type="pct"/>
            <w:shd w:val="clear" w:color="auto" w:fill="D9D9D9" w:themeFill="background1" w:themeFillShade="D9"/>
          </w:tcPr>
          <w:p w14:paraId="17A90BF9" w14:textId="77777777" w:rsidR="00F01270" w:rsidRPr="00E47EEA" w:rsidRDefault="00F01270" w:rsidP="000F3DCF">
            <w:pPr>
              <w:keepNext/>
              <w:spacing w:line="240" w:lineRule="auto"/>
              <w:ind w:left="0"/>
              <w:rPr>
                <w:b/>
                <w:sz w:val="16"/>
                <w:szCs w:val="16"/>
                <w:lang w:val="en-GB"/>
              </w:rPr>
            </w:pPr>
            <w:r w:rsidRPr="00E47EEA">
              <w:rPr>
                <w:b/>
                <w:sz w:val="16"/>
                <w:szCs w:val="16"/>
                <w:lang w:val="en-GB"/>
              </w:rPr>
              <w:t>Solar PV</w:t>
            </w:r>
          </w:p>
        </w:tc>
        <w:tc>
          <w:tcPr>
            <w:tcW w:w="1146" w:type="pct"/>
            <w:shd w:val="clear" w:color="auto" w:fill="F8CBAD"/>
          </w:tcPr>
          <w:p w14:paraId="4B3CFCCA" w14:textId="77777777" w:rsidR="00F01270" w:rsidRPr="009E69A2" w:rsidRDefault="00F01270" w:rsidP="000F3DCF">
            <w:pPr>
              <w:keepNext/>
              <w:spacing w:line="240" w:lineRule="auto"/>
              <w:ind w:left="0"/>
              <w:jc w:val="left"/>
              <w:cnfStyle w:val="000000000000" w:firstRow="0" w:lastRow="0" w:firstColumn="0" w:lastColumn="0" w:oddVBand="0" w:evenVBand="0" w:oddHBand="0" w:evenHBand="0" w:firstRowFirstColumn="0" w:firstRowLastColumn="0" w:lastRowFirstColumn="0" w:lastRowLastColumn="0"/>
              <w:rPr>
                <w:sz w:val="16"/>
                <w:szCs w:val="16"/>
              </w:rPr>
            </w:pPr>
            <w:r w:rsidRPr="009E69A2">
              <w:rPr>
                <w:b/>
                <w:sz w:val="16"/>
                <w:szCs w:val="16"/>
              </w:rPr>
              <w:t xml:space="preserve">B, </w:t>
            </w:r>
            <w:r w:rsidRPr="009E69A2">
              <w:rPr>
                <w:sz w:val="16"/>
                <w:szCs w:val="16"/>
              </w:rPr>
              <w:t>Cu,</w:t>
            </w:r>
            <w:r w:rsidRPr="009E69A2">
              <w:rPr>
                <w:b/>
                <w:sz w:val="16"/>
                <w:szCs w:val="16"/>
              </w:rPr>
              <w:t xml:space="preserve"> Ga, Ge</w:t>
            </w:r>
            <w:r w:rsidRPr="009E69A2">
              <w:rPr>
                <w:sz w:val="16"/>
                <w:szCs w:val="16"/>
              </w:rPr>
              <w:t xml:space="preserve">, </w:t>
            </w:r>
            <w:r w:rsidRPr="009E69A2">
              <w:rPr>
                <w:b/>
                <w:sz w:val="16"/>
                <w:szCs w:val="16"/>
              </w:rPr>
              <w:t>In</w:t>
            </w:r>
            <w:r w:rsidRPr="009E69A2">
              <w:rPr>
                <w:sz w:val="16"/>
                <w:szCs w:val="16"/>
              </w:rPr>
              <w:t xml:space="preserve">, Se, </w:t>
            </w:r>
            <w:r w:rsidRPr="009E69A2">
              <w:rPr>
                <w:b/>
                <w:sz w:val="16"/>
                <w:szCs w:val="16"/>
              </w:rPr>
              <w:t>Si</w:t>
            </w:r>
            <w:r w:rsidRPr="009E69A2">
              <w:rPr>
                <w:sz w:val="16"/>
                <w:szCs w:val="16"/>
              </w:rPr>
              <w:t>, Te</w:t>
            </w:r>
          </w:p>
        </w:tc>
        <w:tc>
          <w:tcPr>
            <w:tcW w:w="1376" w:type="pct"/>
            <w:shd w:val="clear" w:color="auto" w:fill="F8CBAD"/>
          </w:tcPr>
          <w:p w14:paraId="7DBAA719" w14:textId="77777777" w:rsidR="00F01270" w:rsidRPr="00E47EEA" w:rsidRDefault="00F01270" w:rsidP="000F3DCF">
            <w:pPr>
              <w:keepNext/>
              <w:spacing w:line="240" w:lineRule="auto"/>
              <w:ind w:left="0"/>
              <w:jc w:val="left"/>
              <w:cnfStyle w:val="000000000000" w:firstRow="0" w:lastRow="0" w:firstColumn="0" w:lastColumn="0" w:oddVBand="0" w:evenVBand="0" w:oddHBand="0" w:evenHBand="0" w:firstRowFirstColumn="0" w:firstRowLastColumn="0" w:lastRowFirstColumn="0" w:lastRowLastColumn="0"/>
              <w:rPr>
                <w:sz w:val="16"/>
                <w:szCs w:val="16"/>
                <w:lang w:val="en-GB"/>
              </w:rPr>
            </w:pPr>
            <w:r w:rsidRPr="00E47EEA">
              <w:rPr>
                <w:sz w:val="16"/>
                <w:szCs w:val="16"/>
                <w:lang w:val="en-GB"/>
              </w:rPr>
              <w:t>PV cells and modules</w:t>
            </w:r>
          </w:p>
        </w:tc>
        <w:tc>
          <w:tcPr>
            <w:tcW w:w="1639" w:type="pct"/>
            <w:shd w:val="clear" w:color="auto" w:fill="FFE3A5" w:themeFill="accent4"/>
          </w:tcPr>
          <w:p w14:paraId="7CA9627D" w14:textId="77777777" w:rsidR="00F01270" w:rsidRPr="00E47EEA" w:rsidRDefault="00F01270" w:rsidP="000F3DCF">
            <w:pPr>
              <w:keepNext/>
              <w:spacing w:line="240" w:lineRule="auto"/>
              <w:ind w:left="0"/>
              <w:jc w:val="left"/>
              <w:cnfStyle w:val="000000000000" w:firstRow="0" w:lastRow="0" w:firstColumn="0" w:lastColumn="0" w:oddVBand="0" w:evenVBand="0" w:oddHBand="0" w:evenHBand="0" w:firstRowFirstColumn="0" w:firstRowLastColumn="0" w:lastRowFirstColumn="0" w:lastRowLastColumn="0"/>
              <w:rPr>
                <w:sz w:val="16"/>
                <w:szCs w:val="16"/>
                <w:lang w:val="en-GB"/>
              </w:rPr>
            </w:pPr>
            <w:r w:rsidRPr="00E47EEA">
              <w:rPr>
                <w:sz w:val="16"/>
                <w:szCs w:val="16"/>
                <w:lang w:val="en-GB"/>
              </w:rPr>
              <w:t xml:space="preserve">Potential for vulnerability to </w:t>
            </w:r>
            <w:proofErr w:type="spellStart"/>
            <w:r w:rsidRPr="00E47EEA">
              <w:rPr>
                <w:sz w:val="16"/>
                <w:szCs w:val="16"/>
                <w:lang w:val="en-GB"/>
              </w:rPr>
              <w:t>cyber attacks</w:t>
            </w:r>
            <w:proofErr w:type="spellEnd"/>
            <w:r w:rsidRPr="00E47EEA">
              <w:rPr>
                <w:sz w:val="16"/>
                <w:szCs w:val="16"/>
                <w:lang w:val="en-GB"/>
              </w:rPr>
              <w:t xml:space="preserve"> due to remotely controlled inverters</w:t>
            </w:r>
            <w:r w:rsidRPr="00E47EEA" w:rsidDel="005F5BEA">
              <w:rPr>
                <w:sz w:val="16"/>
                <w:szCs w:val="16"/>
                <w:lang w:val="en-GB"/>
              </w:rPr>
              <w:t xml:space="preserve"> </w:t>
            </w:r>
          </w:p>
        </w:tc>
      </w:tr>
      <w:tr w:rsidR="00F01270" w:rsidRPr="00E47EEA" w14:paraId="763F2F73" w14:textId="77777777" w:rsidTr="00E47EEA">
        <w:trPr>
          <w:trHeight w:val="486"/>
        </w:trPr>
        <w:tc>
          <w:tcPr>
            <w:cnfStyle w:val="001000000000" w:firstRow="0" w:lastRow="0" w:firstColumn="1" w:lastColumn="0" w:oddVBand="0" w:evenVBand="0" w:oddHBand="0" w:evenHBand="0" w:firstRowFirstColumn="0" w:firstRowLastColumn="0" w:lastRowFirstColumn="0" w:lastRowLastColumn="0"/>
            <w:tcW w:w="839" w:type="pct"/>
            <w:shd w:val="clear" w:color="auto" w:fill="D9D9D9" w:themeFill="background1" w:themeFillShade="D9"/>
          </w:tcPr>
          <w:p w14:paraId="372FC082" w14:textId="77777777" w:rsidR="00F01270" w:rsidRPr="00E47EEA" w:rsidRDefault="00F01270" w:rsidP="000F3DCF">
            <w:pPr>
              <w:keepNext/>
              <w:spacing w:line="240" w:lineRule="auto"/>
              <w:ind w:left="0"/>
              <w:rPr>
                <w:b/>
                <w:sz w:val="16"/>
                <w:szCs w:val="16"/>
                <w:lang w:val="en-GB"/>
              </w:rPr>
            </w:pPr>
            <w:r w:rsidRPr="00E47EEA">
              <w:rPr>
                <w:b/>
                <w:sz w:val="16"/>
                <w:szCs w:val="16"/>
                <w:lang w:val="en-GB"/>
              </w:rPr>
              <w:t>Nuclear fission</w:t>
            </w:r>
          </w:p>
        </w:tc>
        <w:tc>
          <w:tcPr>
            <w:tcW w:w="1146" w:type="pct"/>
            <w:shd w:val="clear" w:color="auto" w:fill="FFE3A5" w:themeFill="accent4"/>
          </w:tcPr>
          <w:p w14:paraId="3DF90BB3" w14:textId="77777777" w:rsidR="00F01270" w:rsidRPr="00E47EEA" w:rsidRDefault="00F01270" w:rsidP="000F3DCF">
            <w:pPr>
              <w:keepNext/>
              <w:spacing w:line="240" w:lineRule="auto"/>
              <w:ind w:left="0"/>
              <w:jc w:val="left"/>
              <w:cnfStyle w:val="000000000000" w:firstRow="0" w:lastRow="0" w:firstColumn="0" w:lastColumn="0" w:oddVBand="0" w:evenVBand="0" w:oddHBand="0" w:evenHBand="0" w:firstRowFirstColumn="0" w:firstRowLastColumn="0" w:lastRowFirstColumn="0" w:lastRowLastColumn="0"/>
              <w:rPr>
                <w:sz w:val="16"/>
                <w:szCs w:val="16"/>
                <w:lang w:val="pt-BR"/>
              </w:rPr>
            </w:pPr>
            <w:r w:rsidRPr="00E47EEA">
              <w:rPr>
                <w:sz w:val="16"/>
                <w:szCs w:val="16"/>
                <w:lang w:val="pt-BR"/>
              </w:rPr>
              <w:t>Ar, Cr, N, Zn;</w:t>
            </w:r>
          </w:p>
          <w:p w14:paraId="1642AF04" w14:textId="77777777" w:rsidR="00F01270" w:rsidRPr="00E47EEA" w:rsidRDefault="00F01270" w:rsidP="000F3DCF">
            <w:pPr>
              <w:keepNext/>
              <w:spacing w:line="240" w:lineRule="auto"/>
              <w:ind w:left="0"/>
              <w:jc w:val="left"/>
              <w:cnfStyle w:val="000000000000" w:firstRow="0" w:lastRow="0" w:firstColumn="0" w:lastColumn="0" w:oddVBand="0" w:evenVBand="0" w:oddHBand="0" w:evenHBand="0" w:firstRowFirstColumn="0" w:firstRowLastColumn="0" w:lastRowFirstColumn="0" w:lastRowLastColumn="0"/>
              <w:rPr>
                <w:sz w:val="16"/>
                <w:szCs w:val="16"/>
                <w:lang w:val="pt-BR"/>
              </w:rPr>
            </w:pPr>
            <w:r w:rsidRPr="00E47EEA">
              <w:rPr>
                <w:sz w:val="16"/>
                <w:szCs w:val="16"/>
                <w:lang w:val="pt-BR"/>
              </w:rPr>
              <w:t>Ni-Cr-Fe alloys</w:t>
            </w:r>
          </w:p>
        </w:tc>
        <w:tc>
          <w:tcPr>
            <w:tcW w:w="1376" w:type="pct"/>
            <w:shd w:val="clear" w:color="auto" w:fill="F8CBAD"/>
          </w:tcPr>
          <w:p w14:paraId="1740EFE4" w14:textId="77777777" w:rsidR="00F01270" w:rsidRPr="00E47EEA" w:rsidRDefault="00F01270" w:rsidP="000F3DCF">
            <w:pPr>
              <w:keepNext/>
              <w:spacing w:line="240" w:lineRule="auto"/>
              <w:ind w:left="0"/>
              <w:jc w:val="left"/>
              <w:cnfStyle w:val="000000000000" w:firstRow="0" w:lastRow="0" w:firstColumn="0" w:lastColumn="0" w:oddVBand="0" w:evenVBand="0" w:oddHBand="0" w:evenHBand="0" w:firstRowFirstColumn="0" w:firstRowLastColumn="0" w:lastRowFirstColumn="0" w:lastRowLastColumn="0"/>
              <w:rPr>
                <w:sz w:val="16"/>
                <w:szCs w:val="16"/>
                <w:lang w:val="en-GB"/>
              </w:rPr>
            </w:pPr>
            <w:r w:rsidRPr="00E47EEA">
              <w:rPr>
                <w:sz w:val="16"/>
                <w:szCs w:val="16"/>
                <w:lang w:val="en-GB"/>
              </w:rPr>
              <w:t>Nuclear-grade certified suppliers (primary circuits, rods and other components/services for the nuclear island)</w:t>
            </w:r>
          </w:p>
        </w:tc>
        <w:tc>
          <w:tcPr>
            <w:tcW w:w="1639" w:type="pct"/>
            <w:shd w:val="clear" w:color="auto" w:fill="F8CBAD"/>
          </w:tcPr>
          <w:p w14:paraId="313FC396" w14:textId="77777777" w:rsidR="00F01270" w:rsidRPr="00E47EEA" w:rsidRDefault="00F01270" w:rsidP="000F3DCF">
            <w:pPr>
              <w:keepNext/>
              <w:spacing w:line="240" w:lineRule="auto"/>
              <w:ind w:left="0"/>
              <w:jc w:val="left"/>
              <w:cnfStyle w:val="000000000000" w:firstRow="0" w:lastRow="0" w:firstColumn="0" w:lastColumn="0" w:oddVBand="0" w:evenVBand="0" w:oddHBand="0" w:evenHBand="0" w:firstRowFirstColumn="0" w:firstRowLastColumn="0" w:lastRowFirstColumn="0" w:lastRowLastColumn="0"/>
              <w:rPr>
                <w:sz w:val="16"/>
                <w:szCs w:val="16"/>
                <w:lang w:val="en-GB"/>
              </w:rPr>
            </w:pPr>
            <w:r w:rsidRPr="00E47EEA">
              <w:rPr>
                <w:sz w:val="16"/>
                <w:szCs w:val="16"/>
                <w:lang w:val="en-GB"/>
              </w:rPr>
              <w:t>Certified service providers</w:t>
            </w:r>
          </w:p>
        </w:tc>
      </w:tr>
      <w:tr w:rsidR="00F01270" w:rsidRPr="009E69A2" w14:paraId="34052D81" w14:textId="77777777" w:rsidTr="00E47EEA">
        <w:trPr>
          <w:trHeight w:val="486"/>
        </w:trPr>
        <w:tc>
          <w:tcPr>
            <w:cnfStyle w:val="001000000000" w:firstRow="0" w:lastRow="0" w:firstColumn="1" w:lastColumn="0" w:oddVBand="0" w:evenVBand="0" w:oddHBand="0" w:evenHBand="0" w:firstRowFirstColumn="0" w:firstRowLastColumn="0" w:lastRowFirstColumn="0" w:lastRowLastColumn="0"/>
            <w:tcW w:w="839" w:type="pct"/>
            <w:shd w:val="clear" w:color="auto" w:fill="D9D9D9" w:themeFill="background1" w:themeFillShade="D9"/>
          </w:tcPr>
          <w:p w14:paraId="710C466F" w14:textId="77777777" w:rsidR="00F01270" w:rsidRPr="00E47EEA" w:rsidRDefault="00F01270" w:rsidP="000F3DCF">
            <w:pPr>
              <w:keepNext/>
              <w:spacing w:line="240" w:lineRule="auto"/>
              <w:ind w:left="0"/>
              <w:rPr>
                <w:b/>
                <w:sz w:val="16"/>
                <w:szCs w:val="16"/>
                <w:lang w:val="en-GB"/>
              </w:rPr>
            </w:pPr>
            <w:r w:rsidRPr="00E47EEA">
              <w:rPr>
                <w:b/>
                <w:sz w:val="16"/>
                <w:szCs w:val="16"/>
                <w:lang w:val="en-GB"/>
              </w:rPr>
              <w:t>H</w:t>
            </w:r>
            <w:r w:rsidRPr="00E47EEA">
              <w:rPr>
                <w:b/>
                <w:sz w:val="16"/>
                <w:szCs w:val="16"/>
                <w:vertAlign w:val="subscript"/>
                <w:lang w:val="en-GB"/>
              </w:rPr>
              <w:t>2</w:t>
            </w:r>
            <w:r w:rsidRPr="00E47EEA">
              <w:rPr>
                <w:b/>
                <w:sz w:val="16"/>
                <w:szCs w:val="16"/>
                <w:lang w:val="en-GB"/>
              </w:rPr>
              <w:t xml:space="preserve"> production / storage / use</w:t>
            </w:r>
          </w:p>
        </w:tc>
        <w:tc>
          <w:tcPr>
            <w:tcW w:w="1146" w:type="pct"/>
            <w:shd w:val="clear" w:color="auto" w:fill="F8CBAD"/>
          </w:tcPr>
          <w:p w14:paraId="7EF713AC" w14:textId="3A4EBCE0" w:rsidR="00F01270" w:rsidRPr="00E47EEA" w:rsidRDefault="00F01270" w:rsidP="000F3DCF">
            <w:pPr>
              <w:keepNext/>
              <w:spacing w:line="240" w:lineRule="auto"/>
              <w:ind w:left="0"/>
              <w:jc w:val="left"/>
              <w:cnfStyle w:val="000000000000" w:firstRow="0" w:lastRow="0" w:firstColumn="0" w:lastColumn="0" w:oddVBand="0" w:evenVBand="0" w:oddHBand="0" w:evenHBand="0" w:firstRowFirstColumn="0" w:firstRowLastColumn="0" w:lastRowFirstColumn="0" w:lastRowLastColumn="0"/>
              <w:rPr>
                <w:b/>
                <w:sz w:val="16"/>
                <w:szCs w:val="16"/>
                <w:lang w:val="pt-BR"/>
              </w:rPr>
            </w:pPr>
            <w:r w:rsidRPr="00E47EEA">
              <w:rPr>
                <w:b/>
                <w:sz w:val="16"/>
                <w:szCs w:val="16"/>
                <w:lang w:val="pt-BR"/>
              </w:rPr>
              <w:t>PGMs (Pt, Pd, Ru, Rh, Ir), REEs, Ti</w:t>
            </w:r>
          </w:p>
          <w:p w14:paraId="67BA975B" w14:textId="77777777" w:rsidR="00F01270" w:rsidRPr="00163523" w:rsidRDefault="00F01270" w:rsidP="000F3DCF">
            <w:pPr>
              <w:keepNext/>
              <w:spacing w:line="240" w:lineRule="auto"/>
              <w:ind w:left="0"/>
              <w:jc w:val="left"/>
              <w:cnfStyle w:val="000000000000" w:firstRow="0" w:lastRow="0" w:firstColumn="0" w:lastColumn="0" w:oddVBand="0" w:evenVBand="0" w:oddHBand="0" w:evenHBand="0" w:firstRowFirstColumn="0" w:firstRowLastColumn="0" w:lastRowFirstColumn="0" w:lastRowLastColumn="0"/>
              <w:rPr>
                <w:sz w:val="16"/>
                <w:szCs w:val="16"/>
                <w:lang w:val="en-GB"/>
              </w:rPr>
            </w:pPr>
            <w:r w:rsidRPr="00163523">
              <w:rPr>
                <w:sz w:val="16"/>
                <w:szCs w:val="16"/>
                <w:lang w:val="en-GB"/>
              </w:rPr>
              <w:t>CFC, (PFSA)</w:t>
            </w:r>
          </w:p>
        </w:tc>
        <w:tc>
          <w:tcPr>
            <w:tcW w:w="1376" w:type="pct"/>
            <w:shd w:val="clear" w:color="auto" w:fill="D0E2E1" w:themeFill="accent3" w:themeFillTint="99"/>
          </w:tcPr>
          <w:p w14:paraId="7C4D7138" w14:textId="77777777" w:rsidR="00F01270" w:rsidRPr="00E47EEA" w:rsidRDefault="00F01270" w:rsidP="000F3DCF">
            <w:pPr>
              <w:keepNext/>
              <w:spacing w:line="240" w:lineRule="auto"/>
              <w:ind w:left="0"/>
              <w:jc w:val="left"/>
              <w:cnfStyle w:val="000000000000" w:firstRow="0" w:lastRow="0" w:firstColumn="0" w:lastColumn="0" w:oddVBand="0" w:evenVBand="0" w:oddHBand="0" w:evenHBand="0" w:firstRowFirstColumn="0" w:firstRowLastColumn="0" w:lastRowFirstColumn="0" w:lastRowLastColumn="0"/>
              <w:rPr>
                <w:sz w:val="16"/>
                <w:szCs w:val="16"/>
                <w:lang w:val="en-GB"/>
              </w:rPr>
            </w:pPr>
            <w:r w:rsidRPr="00E47EEA">
              <w:rPr>
                <w:sz w:val="16"/>
                <w:szCs w:val="16"/>
                <w:lang w:val="en-GB"/>
              </w:rPr>
              <w:t>(HFC stack assembly, with decreasing vulnerability)</w:t>
            </w:r>
          </w:p>
        </w:tc>
        <w:tc>
          <w:tcPr>
            <w:tcW w:w="1639" w:type="pct"/>
            <w:shd w:val="clear" w:color="auto" w:fill="D0E2E1" w:themeFill="accent3" w:themeFillTint="99"/>
          </w:tcPr>
          <w:p w14:paraId="41FD7884" w14:textId="77777777" w:rsidR="00F01270" w:rsidRPr="00E47EEA" w:rsidRDefault="00F01270" w:rsidP="000F3DCF">
            <w:pPr>
              <w:keepNext/>
              <w:spacing w:line="240" w:lineRule="auto"/>
              <w:ind w:left="0"/>
              <w:jc w:val="left"/>
              <w:cnfStyle w:val="000000000000" w:firstRow="0" w:lastRow="0" w:firstColumn="0" w:lastColumn="0" w:oddVBand="0" w:evenVBand="0" w:oddHBand="0" w:evenHBand="0" w:firstRowFirstColumn="0" w:firstRowLastColumn="0" w:lastRowFirstColumn="0" w:lastRowLastColumn="0"/>
              <w:rPr>
                <w:sz w:val="16"/>
                <w:szCs w:val="16"/>
                <w:lang w:val="en-GB"/>
              </w:rPr>
            </w:pPr>
          </w:p>
        </w:tc>
      </w:tr>
      <w:tr w:rsidR="00F01270" w:rsidRPr="009E69A2" w14:paraId="4E1AAD5B" w14:textId="77777777" w:rsidTr="00E47EEA">
        <w:trPr>
          <w:trHeight w:val="486"/>
        </w:trPr>
        <w:tc>
          <w:tcPr>
            <w:cnfStyle w:val="001000000000" w:firstRow="0" w:lastRow="0" w:firstColumn="1" w:lastColumn="0" w:oddVBand="0" w:evenVBand="0" w:oddHBand="0" w:evenHBand="0" w:firstRowFirstColumn="0" w:firstRowLastColumn="0" w:lastRowFirstColumn="0" w:lastRowLastColumn="0"/>
            <w:tcW w:w="839" w:type="pct"/>
            <w:shd w:val="clear" w:color="auto" w:fill="D9D9D9" w:themeFill="background1" w:themeFillShade="D9"/>
          </w:tcPr>
          <w:p w14:paraId="45AF87A1" w14:textId="77777777" w:rsidR="00F01270" w:rsidRPr="00E47EEA" w:rsidRDefault="00F01270" w:rsidP="000F3DCF">
            <w:pPr>
              <w:keepNext/>
              <w:spacing w:line="240" w:lineRule="auto"/>
              <w:ind w:left="0"/>
              <w:rPr>
                <w:b/>
                <w:sz w:val="16"/>
                <w:szCs w:val="16"/>
                <w:lang w:val="en-GB"/>
              </w:rPr>
            </w:pPr>
            <w:r w:rsidRPr="00E47EEA">
              <w:rPr>
                <w:b/>
                <w:sz w:val="16"/>
                <w:szCs w:val="16"/>
                <w:lang w:val="en-GB"/>
              </w:rPr>
              <w:t>Gas infrastructure</w:t>
            </w:r>
          </w:p>
        </w:tc>
        <w:tc>
          <w:tcPr>
            <w:tcW w:w="1146" w:type="pct"/>
            <w:shd w:val="clear" w:color="auto" w:fill="D0E2E1" w:themeFill="accent3" w:themeFillTint="99"/>
          </w:tcPr>
          <w:p w14:paraId="79F2F630" w14:textId="77777777" w:rsidR="00F01270" w:rsidRPr="00E47EEA" w:rsidRDefault="00F01270" w:rsidP="000F3DCF">
            <w:pPr>
              <w:keepNext/>
              <w:spacing w:line="240" w:lineRule="auto"/>
              <w:ind w:left="0"/>
              <w:jc w:val="left"/>
              <w:cnfStyle w:val="000000000000" w:firstRow="0" w:lastRow="0" w:firstColumn="0" w:lastColumn="0" w:oddVBand="0" w:evenVBand="0" w:oddHBand="0" w:evenHBand="0" w:firstRowFirstColumn="0" w:firstRowLastColumn="0" w:lastRowFirstColumn="0" w:lastRowLastColumn="0"/>
              <w:rPr>
                <w:sz w:val="16"/>
                <w:szCs w:val="16"/>
                <w:lang w:val="en-GB"/>
              </w:rPr>
            </w:pPr>
          </w:p>
        </w:tc>
        <w:tc>
          <w:tcPr>
            <w:tcW w:w="1376" w:type="pct"/>
            <w:shd w:val="clear" w:color="auto" w:fill="FFE3A5" w:themeFill="accent4"/>
          </w:tcPr>
          <w:p w14:paraId="78DB934F" w14:textId="77777777" w:rsidR="00F01270" w:rsidRPr="00E47EEA" w:rsidRDefault="00F01270" w:rsidP="000F3DCF">
            <w:pPr>
              <w:keepNext/>
              <w:spacing w:line="240" w:lineRule="auto"/>
              <w:ind w:left="0"/>
              <w:jc w:val="left"/>
              <w:cnfStyle w:val="000000000000" w:firstRow="0" w:lastRow="0" w:firstColumn="0" w:lastColumn="0" w:oddVBand="0" w:evenVBand="0" w:oddHBand="0" w:evenHBand="0" w:firstRowFirstColumn="0" w:firstRowLastColumn="0" w:lastRowFirstColumn="0" w:lastRowLastColumn="0"/>
              <w:rPr>
                <w:sz w:val="16"/>
                <w:szCs w:val="16"/>
                <w:lang w:val="en-GB"/>
              </w:rPr>
            </w:pPr>
            <w:r w:rsidRPr="00E47EEA">
              <w:rPr>
                <w:sz w:val="16"/>
                <w:szCs w:val="16"/>
                <w:lang w:val="en-GB"/>
              </w:rPr>
              <w:t>Ball valves, filters, and purifiers</w:t>
            </w:r>
          </w:p>
        </w:tc>
        <w:tc>
          <w:tcPr>
            <w:tcW w:w="1639" w:type="pct"/>
            <w:shd w:val="clear" w:color="auto" w:fill="F8CBAD"/>
          </w:tcPr>
          <w:p w14:paraId="1AAF31EA" w14:textId="77777777" w:rsidR="00F01270" w:rsidRPr="00E47EEA" w:rsidRDefault="00F01270" w:rsidP="000F3DCF">
            <w:pPr>
              <w:keepNext/>
              <w:spacing w:line="240" w:lineRule="auto"/>
              <w:ind w:left="0"/>
              <w:jc w:val="left"/>
              <w:cnfStyle w:val="000000000000" w:firstRow="0" w:lastRow="0" w:firstColumn="0" w:lastColumn="0" w:oddVBand="0" w:evenVBand="0" w:oddHBand="0" w:evenHBand="0" w:firstRowFirstColumn="0" w:firstRowLastColumn="0" w:lastRowFirstColumn="0" w:lastRowLastColumn="0"/>
              <w:rPr>
                <w:sz w:val="16"/>
                <w:szCs w:val="16"/>
                <w:lang w:val="en-GB"/>
              </w:rPr>
            </w:pPr>
            <w:r w:rsidRPr="00E47EEA">
              <w:rPr>
                <w:sz w:val="16"/>
                <w:szCs w:val="16"/>
                <w:lang w:val="en-GB"/>
              </w:rPr>
              <w:t>Cyber security of control systems / 3</w:t>
            </w:r>
            <w:r w:rsidRPr="00E47EEA">
              <w:rPr>
                <w:sz w:val="16"/>
                <w:szCs w:val="16"/>
                <w:vertAlign w:val="superscript"/>
                <w:lang w:val="en-GB"/>
              </w:rPr>
              <w:t>rd</w:t>
            </w:r>
            <w:r w:rsidRPr="00E47EEA">
              <w:rPr>
                <w:sz w:val="16"/>
                <w:szCs w:val="16"/>
                <w:lang w:val="en-GB"/>
              </w:rPr>
              <w:t xml:space="preserve"> party service providers</w:t>
            </w:r>
          </w:p>
        </w:tc>
      </w:tr>
      <w:tr w:rsidR="00F01270" w:rsidRPr="009E69A2" w14:paraId="13C5F0E9" w14:textId="77777777" w:rsidTr="00E47EEA">
        <w:trPr>
          <w:trHeight w:val="486"/>
        </w:trPr>
        <w:tc>
          <w:tcPr>
            <w:cnfStyle w:val="001000000000" w:firstRow="0" w:lastRow="0" w:firstColumn="1" w:lastColumn="0" w:oddVBand="0" w:evenVBand="0" w:oddHBand="0" w:evenHBand="0" w:firstRowFirstColumn="0" w:firstRowLastColumn="0" w:lastRowFirstColumn="0" w:lastRowLastColumn="0"/>
            <w:tcW w:w="839" w:type="pct"/>
            <w:shd w:val="clear" w:color="auto" w:fill="D9D9D9" w:themeFill="background1" w:themeFillShade="D9"/>
          </w:tcPr>
          <w:p w14:paraId="7079639B" w14:textId="77777777" w:rsidR="00F01270" w:rsidRPr="00E47EEA" w:rsidRDefault="00F01270" w:rsidP="000F3DCF">
            <w:pPr>
              <w:keepNext/>
              <w:spacing w:line="240" w:lineRule="auto"/>
              <w:ind w:left="0"/>
              <w:rPr>
                <w:b/>
                <w:sz w:val="16"/>
                <w:szCs w:val="16"/>
                <w:lang w:val="en-GB"/>
              </w:rPr>
            </w:pPr>
            <w:r w:rsidRPr="00E47EEA">
              <w:rPr>
                <w:b/>
                <w:sz w:val="16"/>
                <w:szCs w:val="16"/>
                <w:lang w:val="en-GB"/>
              </w:rPr>
              <w:t>Electricity networks</w:t>
            </w:r>
          </w:p>
        </w:tc>
        <w:tc>
          <w:tcPr>
            <w:tcW w:w="1146" w:type="pct"/>
            <w:shd w:val="clear" w:color="auto" w:fill="F8CBAD"/>
          </w:tcPr>
          <w:p w14:paraId="7BEF328E" w14:textId="77777777" w:rsidR="00F01270" w:rsidRPr="00E47EEA" w:rsidRDefault="00F01270" w:rsidP="000F3DCF">
            <w:pPr>
              <w:keepNext/>
              <w:spacing w:line="240" w:lineRule="auto"/>
              <w:ind w:left="0"/>
              <w:jc w:val="left"/>
              <w:cnfStyle w:val="000000000000" w:firstRow="0" w:lastRow="0" w:firstColumn="0" w:lastColumn="0" w:oddVBand="0" w:evenVBand="0" w:oddHBand="0" w:evenHBand="0" w:firstRowFirstColumn="0" w:firstRowLastColumn="0" w:lastRowFirstColumn="0" w:lastRowLastColumn="0"/>
              <w:rPr>
                <w:sz w:val="16"/>
                <w:szCs w:val="16"/>
                <w:lang w:val="es-ES"/>
              </w:rPr>
            </w:pPr>
            <w:r w:rsidRPr="00E47EEA">
              <w:rPr>
                <w:sz w:val="16"/>
                <w:szCs w:val="16"/>
                <w:lang w:val="es-ES"/>
              </w:rPr>
              <w:t>Al</w:t>
            </w:r>
            <w:r w:rsidRPr="00E47EEA">
              <w:rPr>
                <w:b/>
                <w:sz w:val="16"/>
                <w:szCs w:val="16"/>
                <w:lang w:val="es-ES"/>
              </w:rPr>
              <w:t xml:space="preserve">, </w:t>
            </w:r>
            <w:r w:rsidRPr="00E47EEA">
              <w:rPr>
                <w:sz w:val="16"/>
                <w:szCs w:val="16"/>
                <w:lang w:val="es-ES"/>
              </w:rPr>
              <w:t xml:space="preserve">Cu, </w:t>
            </w:r>
            <w:r w:rsidRPr="00E47EEA">
              <w:rPr>
                <w:b/>
                <w:sz w:val="16"/>
                <w:szCs w:val="16"/>
                <w:lang w:val="es-ES"/>
              </w:rPr>
              <w:t>Mg</w:t>
            </w:r>
            <w:r w:rsidRPr="00E47EEA">
              <w:rPr>
                <w:sz w:val="16"/>
                <w:szCs w:val="16"/>
                <w:lang w:val="es-ES"/>
              </w:rPr>
              <w:t xml:space="preserve">, </w:t>
            </w:r>
            <w:r w:rsidRPr="00E47EEA">
              <w:rPr>
                <w:b/>
                <w:sz w:val="16"/>
                <w:szCs w:val="16"/>
                <w:lang w:val="es-ES"/>
              </w:rPr>
              <w:t>Si</w:t>
            </w:r>
            <w:r w:rsidRPr="00E47EEA">
              <w:rPr>
                <w:sz w:val="16"/>
                <w:szCs w:val="16"/>
                <w:lang w:val="es-ES"/>
              </w:rPr>
              <w:t>;</w:t>
            </w:r>
          </w:p>
          <w:p w14:paraId="22737E87" w14:textId="77777777" w:rsidR="00F01270" w:rsidRPr="00E47EEA" w:rsidRDefault="00F01270" w:rsidP="000F3DCF">
            <w:pPr>
              <w:keepNext/>
              <w:spacing w:line="240" w:lineRule="auto"/>
              <w:ind w:left="0"/>
              <w:jc w:val="left"/>
              <w:cnfStyle w:val="000000000000" w:firstRow="0" w:lastRow="0" w:firstColumn="0" w:lastColumn="0" w:oddVBand="0" w:evenVBand="0" w:oddHBand="0" w:evenHBand="0" w:firstRowFirstColumn="0" w:firstRowLastColumn="0" w:lastRowFirstColumn="0" w:lastRowLastColumn="0"/>
              <w:rPr>
                <w:sz w:val="16"/>
                <w:szCs w:val="16"/>
                <w:lang w:val="es-ES"/>
              </w:rPr>
            </w:pPr>
            <w:r w:rsidRPr="00E47EEA">
              <w:rPr>
                <w:sz w:val="16"/>
                <w:szCs w:val="16"/>
                <w:lang w:val="es-ES"/>
              </w:rPr>
              <w:t xml:space="preserve">electrical </w:t>
            </w:r>
            <w:r w:rsidRPr="003D565F">
              <w:rPr>
                <w:sz w:val="16"/>
                <w:szCs w:val="16"/>
                <w:lang w:val="es-ES"/>
              </w:rPr>
              <w:t>steel</w:t>
            </w:r>
          </w:p>
        </w:tc>
        <w:tc>
          <w:tcPr>
            <w:tcW w:w="1376" w:type="pct"/>
            <w:shd w:val="clear" w:color="auto" w:fill="D0E2E1" w:themeFill="accent3" w:themeFillTint="99"/>
          </w:tcPr>
          <w:p w14:paraId="43C9CE25" w14:textId="77777777" w:rsidR="00F01270" w:rsidRPr="00E47EEA" w:rsidRDefault="00F01270" w:rsidP="000F3DCF">
            <w:pPr>
              <w:keepNext/>
              <w:spacing w:line="240" w:lineRule="auto"/>
              <w:ind w:left="0"/>
              <w:jc w:val="left"/>
              <w:cnfStyle w:val="000000000000" w:firstRow="0" w:lastRow="0" w:firstColumn="0" w:lastColumn="0" w:oddVBand="0" w:evenVBand="0" w:oddHBand="0" w:evenHBand="0" w:firstRowFirstColumn="0" w:firstRowLastColumn="0" w:lastRowFirstColumn="0" w:lastRowLastColumn="0"/>
              <w:rPr>
                <w:sz w:val="16"/>
                <w:szCs w:val="16"/>
                <w:lang w:val="es-ES"/>
              </w:rPr>
            </w:pPr>
          </w:p>
        </w:tc>
        <w:tc>
          <w:tcPr>
            <w:tcW w:w="1639" w:type="pct"/>
            <w:shd w:val="clear" w:color="auto" w:fill="F8CBAD"/>
          </w:tcPr>
          <w:p w14:paraId="2FF637C3" w14:textId="77777777" w:rsidR="00F01270" w:rsidRPr="00E47EEA" w:rsidRDefault="00F01270" w:rsidP="000F3DCF">
            <w:pPr>
              <w:keepNext/>
              <w:spacing w:line="240" w:lineRule="auto"/>
              <w:ind w:left="0"/>
              <w:jc w:val="left"/>
              <w:cnfStyle w:val="000000000000" w:firstRow="0" w:lastRow="0" w:firstColumn="0" w:lastColumn="0" w:oddVBand="0" w:evenVBand="0" w:oddHBand="0" w:evenHBand="0" w:firstRowFirstColumn="0" w:firstRowLastColumn="0" w:lastRowFirstColumn="0" w:lastRowLastColumn="0"/>
              <w:rPr>
                <w:sz w:val="16"/>
                <w:szCs w:val="16"/>
                <w:lang w:val="en-GB"/>
              </w:rPr>
            </w:pPr>
            <w:r w:rsidRPr="00E47EEA">
              <w:rPr>
                <w:sz w:val="16"/>
                <w:szCs w:val="16"/>
                <w:lang w:val="en-GB"/>
              </w:rPr>
              <w:t>Cyber security of control systems / 3</w:t>
            </w:r>
            <w:r w:rsidRPr="00E47EEA">
              <w:rPr>
                <w:sz w:val="16"/>
                <w:szCs w:val="16"/>
                <w:vertAlign w:val="superscript"/>
                <w:lang w:val="en-GB"/>
              </w:rPr>
              <w:t>rd</w:t>
            </w:r>
            <w:r w:rsidRPr="00E47EEA">
              <w:rPr>
                <w:sz w:val="16"/>
                <w:szCs w:val="16"/>
                <w:lang w:val="en-GB"/>
              </w:rPr>
              <w:t xml:space="preserve"> party service providers</w:t>
            </w:r>
          </w:p>
        </w:tc>
      </w:tr>
      <w:tr w:rsidR="00F01270" w:rsidRPr="009E69A2" w14:paraId="7EA20B17" w14:textId="77777777" w:rsidTr="00E47EEA">
        <w:trPr>
          <w:trHeight w:val="486"/>
        </w:trPr>
        <w:tc>
          <w:tcPr>
            <w:cnfStyle w:val="001000000000" w:firstRow="0" w:lastRow="0" w:firstColumn="1" w:lastColumn="0" w:oddVBand="0" w:evenVBand="0" w:oddHBand="0" w:evenHBand="0" w:firstRowFirstColumn="0" w:firstRowLastColumn="0" w:lastRowFirstColumn="0" w:lastRowLastColumn="0"/>
            <w:tcW w:w="839" w:type="pct"/>
            <w:shd w:val="clear" w:color="auto" w:fill="D9D9D9" w:themeFill="background1" w:themeFillShade="D9"/>
          </w:tcPr>
          <w:p w14:paraId="2BB7CF8C" w14:textId="77777777" w:rsidR="00F01270" w:rsidRPr="00E47EEA" w:rsidRDefault="00F01270" w:rsidP="000F3DCF">
            <w:pPr>
              <w:keepNext/>
              <w:spacing w:line="240" w:lineRule="auto"/>
              <w:ind w:left="0"/>
              <w:rPr>
                <w:b/>
                <w:sz w:val="16"/>
                <w:szCs w:val="16"/>
                <w:lang w:val="en-GB"/>
              </w:rPr>
            </w:pPr>
            <w:r w:rsidRPr="00E47EEA">
              <w:rPr>
                <w:b/>
                <w:sz w:val="16"/>
                <w:szCs w:val="16"/>
                <w:lang w:val="en-GB"/>
              </w:rPr>
              <w:t>Batteries</w:t>
            </w:r>
          </w:p>
        </w:tc>
        <w:tc>
          <w:tcPr>
            <w:tcW w:w="1146" w:type="pct"/>
            <w:shd w:val="clear" w:color="auto" w:fill="F8CBAD"/>
          </w:tcPr>
          <w:p w14:paraId="45A1EA7A" w14:textId="77777777" w:rsidR="00F01270" w:rsidRPr="00163523" w:rsidRDefault="00F01270" w:rsidP="000F3DCF">
            <w:pPr>
              <w:keepNext/>
              <w:spacing w:line="240" w:lineRule="auto"/>
              <w:ind w:left="0"/>
              <w:jc w:val="left"/>
              <w:cnfStyle w:val="000000000000" w:firstRow="0" w:lastRow="0" w:firstColumn="0" w:lastColumn="0" w:oddVBand="0" w:evenVBand="0" w:oddHBand="0" w:evenHBand="0" w:firstRowFirstColumn="0" w:firstRowLastColumn="0" w:lastRowFirstColumn="0" w:lastRowLastColumn="0"/>
              <w:rPr>
                <w:sz w:val="16"/>
                <w:szCs w:val="16"/>
                <w:lang w:val="en-GB"/>
              </w:rPr>
            </w:pPr>
            <w:r w:rsidRPr="00163523">
              <w:rPr>
                <w:sz w:val="16"/>
                <w:szCs w:val="16"/>
                <w:lang w:val="en-GB"/>
              </w:rPr>
              <w:t>Al</w:t>
            </w:r>
            <w:r w:rsidRPr="00163523">
              <w:rPr>
                <w:b/>
                <w:sz w:val="16"/>
                <w:szCs w:val="16"/>
                <w:lang w:val="en-GB"/>
              </w:rPr>
              <w:t xml:space="preserve">, Co, Li, Nb, </w:t>
            </w:r>
            <w:r w:rsidRPr="00163523">
              <w:rPr>
                <w:sz w:val="16"/>
                <w:szCs w:val="16"/>
                <w:lang w:val="en-GB"/>
              </w:rPr>
              <w:t>Ni</w:t>
            </w:r>
            <w:r w:rsidRPr="00163523">
              <w:rPr>
                <w:b/>
                <w:sz w:val="16"/>
                <w:szCs w:val="16"/>
                <w:lang w:val="en-GB"/>
              </w:rPr>
              <w:t>, Si</w:t>
            </w:r>
            <w:r w:rsidRPr="00163523">
              <w:rPr>
                <w:sz w:val="16"/>
                <w:szCs w:val="16"/>
                <w:lang w:val="en-GB"/>
              </w:rPr>
              <w:t>,</w:t>
            </w:r>
            <w:r w:rsidRPr="00163523">
              <w:rPr>
                <w:b/>
                <w:sz w:val="16"/>
                <w:szCs w:val="16"/>
                <w:lang w:val="en-GB"/>
              </w:rPr>
              <w:t xml:space="preserve"> Ti, graphite</w:t>
            </w:r>
          </w:p>
        </w:tc>
        <w:tc>
          <w:tcPr>
            <w:tcW w:w="1376" w:type="pct"/>
            <w:shd w:val="clear" w:color="auto" w:fill="F8CBAD"/>
          </w:tcPr>
          <w:p w14:paraId="6FAD2222" w14:textId="77777777" w:rsidR="00F01270" w:rsidRPr="00E47EEA" w:rsidRDefault="00F01270" w:rsidP="000F3DCF">
            <w:pPr>
              <w:keepNext/>
              <w:spacing w:line="240" w:lineRule="auto"/>
              <w:ind w:left="0"/>
              <w:jc w:val="left"/>
              <w:cnfStyle w:val="000000000000" w:firstRow="0" w:lastRow="0" w:firstColumn="0" w:lastColumn="0" w:oddVBand="0" w:evenVBand="0" w:oddHBand="0" w:evenHBand="0" w:firstRowFirstColumn="0" w:firstRowLastColumn="0" w:lastRowFirstColumn="0" w:lastRowLastColumn="0"/>
              <w:rPr>
                <w:sz w:val="16"/>
                <w:szCs w:val="16"/>
                <w:lang w:val="en-GB"/>
              </w:rPr>
            </w:pPr>
            <w:r w:rsidRPr="00E47EEA">
              <w:rPr>
                <w:sz w:val="16"/>
                <w:szCs w:val="16"/>
                <w:lang w:val="en-GB"/>
              </w:rPr>
              <w:t>Li-ion cells, cathode, anode, electrolyte, separator</w:t>
            </w:r>
          </w:p>
        </w:tc>
        <w:tc>
          <w:tcPr>
            <w:tcW w:w="1639" w:type="pct"/>
            <w:shd w:val="clear" w:color="auto" w:fill="D0E2E1" w:themeFill="accent3" w:themeFillTint="99"/>
          </w:tcPr>
          <w:p w14:paraId="60036E0E" w14:textId="77777777" w:rsidR="00F01270" w:rsidRPr="00E47EEA" w:rsidRDefault="00F01270" w:rsidP="000F3DCF">
            <w:pPr>
              <w:keepNext/>
              <w:spacing w:line="240" w:lineRule="auto"/>
              <w:ind w:left="0"/>
              <w:jc w:val="left"/>
              <w:cnfStyle w:val="000000000000" w:firstRow="0" w:lastRow="0" w:firstColumn="0" w:lastColumn="0" w:oddVBand="0" w:evenVBand="0" w:oddHBand="0" w:evenHBand="0" w:firstRowFirstColumn="0" w:firstRowLastColumn="0" w:lastRowFirstColumn="0" w:lastRowLastColumn="0"/>
              <w:rPr>
                <w:sz w:val="16"/>
                <w:szCs w:val="16"/>
                <w:lang w:val="en-GB"/>
              </w:rPr>
            </w:pPr>
          </w:p>
        </w:tc>
      </w:tr>
      <w:tr w:rsidR="00F01270" w:rsidRPr="009E69A2" w14:paraId="7B247227" w14:textId="77777777" w:rsidTr="00E47EEA">
        <w:trPr>
          <w:trHeight w:val="486"/>
        </w:trPr>
        <w:tc>
          <w:tcPr>
            <w:cnfStyle w:val="001000000000" w:firstRow="0" w:lastRow="0" w:firstColumn="1" w:lastColumn="0" w:oddVBand="0" w:evenVBand="0" w:oddHBand="0" w:evenHBand="0" w:firstRowFirstColumn="0" w:firstRowLastColumn="0" w:lastRowFirstColumn="0" w:lastRowLastColumn="0"/>
            <w:tcW w:w="839" w:type="pct"/>
            <w:shd w:val="clear" w:color="auto" w:fill="D9D9D9" w:themeFill="background1" w:themeFillShade="D9"/>
          </w:tcPr>
          <w:p w14:paraId="299062CC" w14:textId="77777777" w:rsidR="00F01270" w:rsidRPr="00E47EEA" w:rsidRDefault="00F01270" w:rsidP="000F3DCF">
            <w:pPr>
              <w:keepNext/>
              <w:spacing w:line="240" w:lineRule="auto"/>
              <w:ind w:left="0"/>
              <w:rPr>
                <w:b/>
                <w:sz w:val="16"/>
                <w:szCs w:val="16"/>
                <w:lang w:val="en-GB"/>
              </w:rPr>
            </w:pPr>
            <w:r w:rsidRPr="00E47EEA">
              <w:rPr>
                <w:b/>
                <w:sz w:val="16"/>
                <w:szCs w:val="16"/>
                <w:lang w:val="en-GB"/>
              </w:rPr>
              <w:t>Smart buildings</w:t>
            </w:r>
          </w:p>
        </w:tc>
        <w:tc>
          <w:tcPr>
            <w:tcW w:w="1146" w:type="pct"/>
            <w:shd w:val="clear" w:color="auto" w:fill="F8CBAD"/>
          </w:tcPr>
          <w:p w14:paraId="232B0640" w14:textId="77777777" w:rsidR="00F01270" w:rsidRPr="00163523" w:rsidRDefault="00F01270" w:rsidP="000F3DCF">
            <w:pPr>
              <w:keepNext/>
              <w:spacing w:line="240" w:lineRule="auto"/>
              <w:ind w:left="0"/>
              <w:jc w:val="left"/>
              <w:cnfStyle w:val="000000000000" w:firstRow="0" w:lastRow="0" w:firstColumn="0" w:lastColumn="0" w:oddVBand="0" w:evenVBand="0" w:oddHBand="0" w:evenHBand="0" w:firstRowFirstColumn="0" w:firstRowLastColumn="0" w:lastRowFirstColumn="0" w:lastRowLastColumn="0"/>
              <w:rPr>
                <w:sz w:val="16"/>
                <w:szCs w:val="16"/>
                <w:lang w:val="en-GB"/>
              </w:rPr>
            </w:pPr>
            <w:r w:rsidRPr="00163523">
              <w:rPr>
                <w:b/>
                <w:sz w:val="16"/>
                <w:szCs w:val="16"/>
                <w:lang w:val="en-GB"/>
              </w:rPr>
              <w:t>B, Co, Ga, Ge, In, Li, Mg, graphite, PGMs, REEs, Si, W</w:t>
            </w:r>
          </w:p>
        </w:tc>
        <w:tc>
          <w:tcPr>
            <w:tcW w:w="1376" w:type="pct"/>
            <w:shd w:val="clear" w:color="auto" w:fill="FFE3A5" w:themeFill="accent4"/>
          </w:tcPr>
          <w:p w14:paraId="449B8C6F" w14:textId="77777777" w:rsidR="00F01270" w:rsidRPr="00E47EEA" w:rsidRDefault="00F01270" w:rsidP="000F3DCF">
            <w:pPr>
              <w:keepNext/>
              <w:spacing w:line="240" w:lineRule="auto"/>
              <w:ind w:left="0"/>
              <w:jc w:val="left"/>
              <w:cnfStyle w:val="000000000000" w:firstRow="0" w:lastRow="0" w:firstColumn="0" w:lastColumn="0" w:oddVBand="0" w:evenVBand="0" w:oddHBand="0" w:evenHBand="0" w:firstRowFirstColumn="0" w:firstRowLastColumn="0" w:lastRowFirstColumn="0" w:lastRowLastColumn="0"/>
              <w:rPr>
                <w:sz w:val="16"/>
                <w:szCs w:val="16"/>
                <w:lang w:val="en-GB"/>
              </w:rPr>
            </w:pPr>
            <w:r w:rsidRPr="00E47EEA">
              <w:rPr>
                <w:sz w:val="16"/>
                <w:szCs w:val="16"/>
                <w:lang w:val="en-GB"/>
              </w:rPr>
              <w:t>Home energy management systems</w:t>
            </w:r>
          </w:p>
        </w:tc>
        <w:tc>
          <w:tcPr>
            <w:tcW w:w="1639" w:type="pct"/>
            <w:shd w:val="clear" w:color="auto" w:fill="F8CBAD"/>
          </w:tcPr>
          <w:p w14:paraId="1E67473B" w14:textId="77777777" w:rsidR="00F01270" w:rsidRPr="00E47EEA" w:rsidRDefault="00F01270" w:rsidP="000F3DCF">
            <w:pPr>
              <w:keepNext/>
              <w:spacing w:line="240" w:lineRule="auto"/>
              <w:ind w:left="0"/>
              <w:jc w:val="left"/>
              <w:cnfStyle w:val="000000000000" w:firstRow="0" w:lastRow="0" w:firstColumn="0" w:lastColumn="0" w:oddVBand="0" w:evenVBand="0" w:oddHBand="0" w:evenHBand="0" w:firstRowFirstColumn="0" w:firstRowLastColumn="0" w:lastRowFirstColumn="0" w:lastRowLastColumn="0"/>
              <w:rPr>
                <w:sz w:val="16"/>
                <w:szCs w:val="16"/>
                <w:lang w:val="en-GB"/>
              </w:rPr>
            </w:pPr>
            <w:r w:rsidRPr="00E47EEA">
              <w:rPr>
                <w:sz w:val="16"/>
                <w:szCs w:val="16"/>
                <w:lang w:val="en-GB"/>
              </w:rPr>
              <w:t>Cyber security of home/building energy management systems and decentralised devices</w:t>
            </w:r>
          </w:p>
        </w:tc>
      </w:tr>
      <w:tr w:rsidR="00F01270" w:rsidRPr="009E69A2" w14:paraId="4E698D9A" w14:textId="77777777" w:rsidTr="00E47EEA">
        <w:trPr>
          <w:trHeight w:val="486"/>
        </w:trPr>
        <w:tc>
          <w:tcPr>
            <w:cnfStyle w:val="001000000000" w:firstRow="0" w:lastRow="0" w:firstColumn="1" w:lastColumn="0" w:oddVBand="0" w:evenVBand="0" w:oddHBand="0" w:evenHBand="0" w:firstRowFirstColumn="0" w:firstRowLastColumn="0" w:lastRowFirstColumn="0" w:lastRowLastColumn="0"/>
            <w:tcW w:w="839" w:type="pct"/>
            <w:shd w:val="clear" w:color="auto" w:fill="D9D9D9" w:themeFill="background1" w:themeFillShade="D9"/>
          </w:tcPr>
          <w:p w14:paraId="403C4C90" w14:textId="77777777" w:rsidR="00F01270" w:rsidRPr="00E47EEA" w:rsidRDefault="00F01270" w:rsidP="00E47EEA">
            <w:pPr>
              <w:spacing w:line="240" w:lineRule="auto"/>
              <w:ind w:left="0"/>
              <w:rPr>
                <w:b/>
                <w:sz w:val="16"/>
                <w:szCs w:val="16"/>
                <w:lang w:val="en-GB"/>
              </w:rPr>
            </w:pPr>
            <w:r w:rsidRPr="00E47EEA">
              <w:rPr>
                <w:b/>
                <w:sz w:val="16"/>
                <w:szCs w:val="16"/>
                <w:lang w:val="en-GB"/>
              </w:rPr>
              <w:t>Digital technologies</w:t>
            </w:r>
          </w:p>
        </w:tc>
        <w:tc>
          <w:tcPr>
            <w:tcW w:w="1146" w:type="pct"/>
            <w:shd w:val="clear" w:color="auto" w:fill="F8CBAD"/>
          </w:tcPr>
          <w:p w14:paraId="6451F6AB" w14:textId="77777777" w:rsidR="00F01270" w:rsidRPr="00163523" w:rsidRDefault="00F01270" w:rsidP="00E47EEA">
            <w:pPr>
              <w:spacing w:line="240" w:lineRule="auto"/>
              <w:ind w:left="0"/>
              <w:jc w:val="left"/>
              <w:cnfStyle w:val="000000000000" w:firstRow="0" w:lastRow="0" w:firstColumn="0" w:lastColumn="0" w:oddVBand="0" w:evenVBand="0" w:oddHBand="0" w:evenHBand="0" w:firstRowFirstColumn="0" w:firstRowLastColumn="0" w:lastRowFirstColumn="0" w:lastRowLastColumn="0"/>
              <w:rPr>
                <w:b/>
                <w:sz w:val="16"/>
                <w:szCs w:val="16"/>
                <w:lang w:val="en-GB"/>
              </w:rPr>
            </w:pPr>
            <w:r w:rsidRPr="00163523">
              <w:rPr>
                <w:b/>
                <w:sz w:val="16"/>
                <w:szCs w:val="16"/>
                <w:lang w:val="en-GB"/>
              </w:rPr>
              <w:t>B, Co, Ga, Ge, In, Li, Mg, graphite, PGMS, REEs, Si, W</w:t>
            </w:r>
          </w:p>
        </w:tc>
        <w:tc>
          <w:tcPr>
            <w:tcW w:w="1376" w:type="pct"/>
            <w:shd w:val="clear" w:color="auto" w:fill="F8CBAD"/>
          </w:tcPr>
          <w:p w14:paraId="3770ED77" w14:textId="77777777" w:rsidR="00F01270" w:rsidRPr="00E47EEA" w:rsidRDefault="00F01270" w:rsidP="00E47EEA">
            <w:pPr>
              <w:spacing w:line="240" w:lineRule="auto"/>
              <w:ind w:left="0"/>
              <w:jc w:val="left"/>
              <w:cnfStyle w:val="000000000000" w:firstRow="0" w:lastRow="0" w:firstColumn="0" w:lastColumn="0" w:oddVBand="0" w:evenVBand="0" w:oddHBand="0" w:evenHBand="0" w:firstRowFirstColumn="0" w:firstRowLastColumn="0" w:lastRowFirstColumn="0" w:lastRowLastColumn="0"/>
              <w:rPr>
                <w:sz w:val="16"/>
                <w:szCs w:val="16"/>
                <w:lang w:val="en-GB"/>
              </w:rPr>
            </w:pPr>
            <w:r w:rsidRPr="00E47EEA">
              <w:rPr>
                <w:sz w:val="16"/>
                <w:szCs w:val="16"/>
                <w:lang w:val="en-GB"/>
              </w:rPr>
              <w:t>Electronic boards, semiconductors and processors</w:t>
            </w:r>
          </w:p>
          <w:p w14:paraId="0252C4ED" w14:textId="77777777" w:rsidR="00F01270" w:rsidRPr="00E47EEA" w:rsidRDefault="00F01270" w:rsidP="00E47EEA">
            <w:pPr>
              <w:spacing w:line="240" w:lineRule="auto"/>
              <w:ind w:left="0"/>
              <w:jc w:val="left"/>
              <w:cnfStyle w:val="000000000000" w:firstRow="0" w:lastRow="0" w:firstColumn="0" w:lastColumn="0" w:oddVBand="0" w:evenVBand="0" w:oddHBand="0" w:evenHBand="0" w:firstRowFirstColumn="0" w:firstRowLastColumn="0" w:lastRowFirstColumn="0" w:lastRowLastColumn="0"/>
              <w:rPr>
                <w:sz w:val="16"/>
                <w:szCs w:val="16"/>
                <w:lang w:val="en-GB"/>
              </w:rPr>
            </w:pPr>
            <w:r w:rsidRPr="00E47EEA">
              <w:rPr>
                <w:sz w:val="16"/>
                <w:szCs w:val="16"/>
                <w:lang w:val="en-GB"/>
              </w:rPr>
              <w:t>Servers and data storage equipment</w:t>
            </w:r>
          </w:p>
        </w:tc>
        <w:tc>
          <w:tcPr>
            <w:tcW w:w="1639" w:type="pct"/>
            <w:shd w:val="clear" w:color="auto" w:fill="F8CBAD"/>
          </w:tcPr>
          <w:p w14:paraId="3C5971A5" w14:textId="77777777" w:rsidR="00F01270" w:rsidRPr="00E47EEA" w:rsidRDefault="00F01270" w:rsidP="00E47EEA">
            <w:pPr>
              <w:spacing w:line="240" w:lineRule="auto"/>
              <w:ind w:left="0"/>
              <w:jc w:val="left"/>
              <w:cnfStyle w:val="000000000000" w:firstRow="0" w:lastRow="0" w:firstColumn="0" w:lastColumn="0" w:oddVBand="0" w:evenVBand="0" w:oddHBand="0" w:evenHBand="0" w:firstRowFirstColumn="0" w:firstRowLastColumn="0" w:lastRowFirstColumn="0" w:lastRowLastColumn="0"/>
              <w:rPr>
                <w:sz w:val="16"/>
                <w:szCs w:val="16"/>
                <w:lang w:val="en-GB"/>
              </w:rPr>
            </w:pPr>
            <w:r w:rsidRPr="00E47EEA">
              <w:rPr>
                <w:sz w:val="16"/>
                <w:szCs w:val="16"/>
                <w:lang w:val="en-GB"/>
              </w:rPr>
              <w:t>Related to cyber-security of digital technologies use in other supply chains</w:t>
            </w:r>
          </w:p>
        </w:tc>
      </w:tr>
    </w:tbl>
    <w:p w14:paraId="426A2270" w14:textId="77777777" w:rsidR="00F01270" w:rsidRPr="00F01270" w:rsidRDefault="00F01270" w:rsidP="00F01270">
      <w:pPr>
        <w:rPr>
          <w:i/>
          <w:iCs/>
          <w:lang w:val="en-GB"/>
        </w:rPr>
      </w:pPr>
      <w:r w:rsidRPr="00F01270">
        <w:rPr>
          <w:i/>
          <w:iCs/>
          <w:lang w:val="en-GB"/>
        </w:rPr>
        <w:t>Legend:</w:t>
      </w:r>
    </w:p>
    <w:p w14:paraId="5044DC67" w14:textId="77777777" w:rsidR="00F01270" w:rsidRPr="00F01270" w:rsidRDefault="00F01270" w:rsidP="00F01270">
      <w:pPr>
        <w:rPr>
          <w:i/>
          <w:iCs/>
          <w:lang w:val="en-GB"/>
        </w:rPr>
      </w:pPr>
      <w:r w:rsidRPr="00F01270">
        <w:rPr>
          <w:b/>
          <w:i/>
          <w:iCs/>
          <w:shd w:val="clear" w:color="auto" w:fill="FFE3A5" w:themeFill="accent4"/>
          <w:lang w:val="en-GB"/>
        </w:rPr>
        <w:t>yellow</w:t>
      </w:r>
      <w:r w:rsidRPr="00F01270">
        <w:rPr>
          <w:b/>
          <w:bCs/>
          <w:i/>
          <w:iCs/>
          <w:lang w:val="en-GB"/>
        </w:rPr>
        <w:t xml:space="preserve"> </w:t>
      </w:r>
      <w:r w:rsidRPr="00F01270">
        <w:rPr>
          <w:i/>
          <w:iCs/>
          <w:lang w:val="en-GB"/>
        </w:rPr>
        <w:t>- supply chain stage with one to a couple of elements identified as vulnerable;</w:t>
      </w:r>
    </w:p>
    <w:p w14:paraId="7CB80630" w14:textId="77777777" w:rsidR="00F01270" w:rsidRPr="00F01270" w:rsidRDefault="00F01270" w:rsidP="00F01270">
      <w:pPr>
        <w:rPr>
          <w:i/>
          <w:iCs/>
          <w:lang w:val="en-GB"/>
        </w:rPr>
      </w:pPr>
      <w:r w:rsidRPr="00F01270">
        <w:rPr>
          <w:b/>
          <w:i/>
          <w:iCs/>
          <w:shd w:val="clear" w:color="auto" w:fill="F8CBAD"/>
          <w:lang w:val="en-GB"/>
        </w:rPr>
        <w:t>orange</w:t>
      </w:r>
      <w:r w:rsidRPr="00F01270">
        <w:rPr>
          <w:i/>
          <w:iCs/>
          <w:lang w:val="en-GB"/>
        </w:rPr>
        <w:t xml:space="preserve"> – supply chain stage with a few vulnerable elements / with high risk vulnerabilities;</w:t>
      </w:r>
    </w:p>
    <w:p w14:paraId="34EDD9D7" w14:textId="77777777" w:rsidR="00F01270" w:rsidRPr="00F01270" w:rsidRDefault="00F01270" w:rsidP="00F01270">
      <w:pPr>
        <w:rPr>
          <w:i/>
          <w:iCs/>
          <w:lang w:val="en-GB"/>
        </w:rPr>
      </w:pPr>
      <w:r w:rsidRPr="00F01270">
        <w:rPr>
          <w:b/>
          <w:i/>
          <w:iCs/>
          <w:shd w:val="clear" w:color="auto" w:fill="D0E2E1" w:themeFill="accent3" w:themeFillTint="99"/>
          <w:lang w:val="en-GB"/>
        </w:rPr>
        <w:t>green</w:t>
      </w:r>
      <w:r w:rsidRPr="00F01270">
        <w:rPr>
          <w:i/>
          <w:iCs/>
          <w:lang w:val="en-GB"/>
        </w:rPr>
        <w:t xml:space="preserve"> – supply chain stage without vulnerable elements;</w:t>
      </w:r>
    </w:p>
    <w:p w14:paraId="23CAEC44" w14:textId="77777777" w:rsidR="00F01270" w:rsidRPr="00F01270" w:rsidRDefault="00F01270" w:rsidP="00F01270">
      <w:pPr>
        <w:rPr>
          <w:i/>
          <w:iCs/>
          <w:lang w:val="en-GB"/>
        </w:rPr>
      </w:pPr>
      <w:r w:rsidRPr="00F01270">
        <w:rPr>
          <w:b/>
          <w:i/>
          <w:iCs/>
          <w:lang w:val="en-GB"/>
        </w:rPr>
        <w:t>bold</w:t>
      </w:r>
      <w:r w:rsidRPr="00F01270">
        <w:rPr>
          <w:i/>
          <w:iCs/>
          <w:lang w:val="en-GB"/>
        </w:rPr>
        <w:t xml:space="preserve"> – critical raw materials (CRMs) based on EC list for 2020.</w:t>
      </w:r>
    </w:p>
    <w:p w14:paraId="7F9E090E" w14:textId="77777777" w:rsidR="00A72563" w:rsidRPr="00163523" w:rsidRDefault="00A72563" w:rsidP="00A72563">
      <w:pPr>
        <w:rPr>
          <w:lang w:val="en-GB"/>
        </w:rPr>
      </w:pPr>
    </w:p>
    <w:p w14:paraId="3AD6BA68" w14:textId="5C148A23" w:rsidR="00F01270" w:rsidRPr="00163523" w:rsidRDefault="00FB3E90" w:rsidP="00A72563">
      <w:pPr>
        <w:rPr>
          <w:lang w:val="en-GB"/>
        </w:rPr>
      </w:pPr>
      <w:r w:rsidRPr="00163523">
        <w:rPr>
          <w:lang w:val="en-GB"/>
        </w:rPr>
        <w:t>N</w:t>
      </w:r>
      <w:r w:rsidR="009F2C79" w:rsidRPr="00163523">
        <w:rPr>
          <w:lang w:val="en-GB"/>
        </w:rPr>
        <w:t xml:space="preserve">ot only </w:t>
      </w:r>
      <w:r w:rsidR="00B8341B" w:rsidRPr="00163523">
        <w:rPr>
          <w:lang w:val="en-GB"/>
        </w:rPr>
        <w:t xml:space="preserve">specific </w:t>
      </w:r>
      <w:r w:rsidR="009F2C79" w:rsidRPr="00163523">
        <w:rPr>
          <w:lang w:val="en-GB"/>
        </w:rPr>
        <w:t>risks to the EU, regional and Estonian energy system must be considered</w:t>
      </w:r>
      <w:r w:rsidR="005F07A1" w:rsidRPr="00163523">
        <w:rPr>
          <w:lang w:val="en-GB"/>
        </w:rPr>
        <w:t xml:space="preserve"> in this context</w:t>
      </w:r>
      <w:r w:rsidR="009F2C79" w:rsidRPr="00163523">
        <w:rPr>
          <w:lang w:val="en-GB"/>
        </w:rPr>
        <w:t xml:space="preserve">. Other </w:t>
      </w:r>
      <w:r w:rsidR="00B8341B" w:rsidRPr="00163523">
        <w:rPr>
          <w:lang w:val="en-GB"/>
        </w:rPr>
        <w:t xml:space="preserve">global </w:t>
      </w:r>
      <w:r w:rsidR="009F2C79" w:rsidRPr="00163523">
        <w:rPr>
          <w:lang w:val="en-GB"/>
        </w:rPr>
        <w:t xml:space="preserve">threats to the economy and society overall can have a strong impact on </w:t>
      </w:r>
      <w:r w:rsidR="00E70054" w:rsidRPr="00163523">
        <w:rPr>
          <w:lang w:val="en-GB"/>
        </w:rPr>
        <w:t xml:space="preserve">local and regional </w:t>
      </w:r>
      <w:r w:rsidR="009F2C79" w:rsidRPr="00163523">
        <w:rPr>
          <w:lang w:val="en-GB"/>
        </w:rPr>
        <w:t>energy system</w:t>
      </w:r>
      <w:r w:rsidR="00E70054" w:rsidRPr="00163523">
        <w:rPr>
          <w:lang w:val="en-GB"/>
        </w:rPr>
        <w:t>s</w:t>
      </w:r>
      <w:r w:rsidR="009F2C79" w:rsidRPr="00163523">
        <w:rPr>
          <w:lang w:val="en-GB"/>
        </w:rPr>
        <w:t>, as has been demonstrated by the COVID pandemic</w:t>
      </w:r>
      <w:r w:rsidR="00030D22" w:rsidRPr="00163523">
        <w:rPr>
          <w:lang w:val="en-GB"/>
        </w:rPr>
        <w:t xml:space="preserve">. Socio-economic disruptions such as economic depressions can significantly impact the </w:t>
      </w:r>
      <w:r w:rsidR="00DA255A" w:rsidRPr="00163523">
        <w:rPr>
          <w:lang w:val="en-GB"/>
        </w:rPr>
        <w:t>national</w:t>
      </w:r>
      <w:r w:rsidR="0000015C" w:rsidRPr="00163523">
        <w:rPr>
          <w:lang w:val="en-GB"/>
        </w:rPr>
        <w:t>/</w:t>
      </w:r>
      <w:r w:rsidR="00DA255A" w:rsidRPr="00163523">
        <w:rPr>
          <w:lang w:val="en-GB"/>
        </w:rPr>
        <w:t xml:space="preserve">regional </w:t>
      </w:r>
      <w:r w:rsidR="00030D22" w:rsidRPr="00163523">
        <w:rPr>
          <w:lang w:val="en-GB"/>
        </w:rPr>
        <w:t>econom</w:t>
      </w:r>
      <w:r w:rsidR="00DA255A" w:rsidRPr="00163523">
        <w:rPr>
          <w:lang w:val="en-GB"/>
        </w:rPr>
        <w:t>ies’</w:t>
      </w:r>
      <w:r w:rsidR="0000015C" w:rsidRPr="00163523">
        <w:rPr>
          <w:lang w:val="en-GB"/>
        </w:rPr>
        <w:t xml:space="preserve"> </w:t>
      </w:r>
      <w:r w:rsidR="00030D22" w:rsidRPr="00163523">
        <w:rPr>
          <w:lang w:val="en-GB"/>
        </w:rPr>
        <w:t xml:space="preserve">ability to </w:t>
      </w:r>
      <w:r w:rsidR="00090122" w:rsidRPr="00163523">
        <w:rPr>
          <w:lang w:val="en-GB"/>
        </w:rPr>
        <w:t xml:space="preserve">properly develop and operate </w:t>
      </w:r>
      <w:r w:rsidR="0000015C" w:rsidRPr="00163523">
        <w:rPr>
          <w:lang w:val="en-GB"/>
        </w:rPr>
        <w:t>their e</w:t>
      </w:r>
      <w:r w:rsidR="00090122" w:rsidRPr="00163523">
        <w:rPr>
          <w:lang w:val="en-GB"/>
        </w:rPr>
        <w:t xml:space="preserve">nergy system. Disruptions to the energy system can also directly impact the overall economy, as has been </w:t>
      </w:r>
      <w:r w:rsidR="007A23F9" w:rsidRPr="00163523">
        <w:rPr>
          <w:lang w:val="en-GB"/>
        </w:rPr>
        <w:t>demonstrated by the Russian aggression against Ukraine and the associated energy crisis.</w:t>
      </w:r>
    </w:p>
    <w:p w14:paraId="6CC608BD" w14:textId="77777777" w:rsidR="00A72563" w:rsidRPr="00163523" w:rsidRDefault="00A72563" w:rsidP="00A72563">
      <w:pPr>
        <w:rPr>
          <w:lang w:val="en-GB"/>
        </w:rPr>
      </w:pPr>
    </w:p>
    <w:p w14:paraId="1663527C" w14:textId="586B64C7" w:rsidR="004F4E0D" w:rsidRDefault="00A32C1F" w:rsidP="00A72563">
      <w:pPr>
        <w:rPr>
          <w:lang w:val="en-GB"/>
        </w:rPr>
      </w:pPr>
      <w:r w:rsidRPr="00163523">
        <w:rPr>
          <w:lang w:val="en-GB"/>
        </w:rPr>
        <w:t xml:space="preserve">The </w:t>
      </w:r>
      <w:r w:rsidR="00D045E9" w:rsidRPr="00163523">
        <w:rPr>
          <w:lang w:val="en-GB"/>
        </w:rPr>
        <w:t xml:space="preserve">World </w:t>
      </w:r>
      <w:r w:rsidRPr="00163523">
        <w:rPr>
          <w:lang w:val="en-GB"/>
        </w:rPr>
        <w:t>Economic Forum’s Global Risks Report</w:t>
      </w:r>
      <w:r w:rsidR="00820493" w:rsidRPr="00163523">
        <w:rPr>
          <w:rStyle w:val="Voetnootmarkering"/>
          <w:lang w:val="en-GB"/>
        </w:rPr>
        <w:footnoteReference w:id="4"/>
      </w:r>
      <w:r w:rsidRPr="00163523">
        <w:rPr>
          <w:lang w:val="en-GB"/>
        </w:rPr>
        <w:t xml:space="preserve"> illustrates the diversity of risks </w:t>
      </w:r>
      <w:r w:rsidR="00A50527" w:rsidRPr="00163523">
        <w:rPr>
          <w:lang w:val="en-GB"/>
        </w:rPr>
        <w:t xml:space="preserve">which can impact the global economy, and by consequence the </w:t>
      </w:r>
      <w:r w:rsidR="00565C6C" w:rsidRPr="00163523">
        <w:rPr>
          <w:lang w:val="en-GB"/>
        </w:rPr>
        <w:t xml:space="preserve">Baltic </w:t>
      </w:r>
      <w:r w:rsidR="00A50527" w:rsidRPr="00163523">
        <w:rPr>
          <w:lang w:val="en-GB"/>
        </w:rPr>
        <w:t xml:space="preserve">regional energy systems. </w:t>
      </w:r>
      <w:r w:rsidR="00A80A2E" w:rsidRPr="00163523">
        <w:rPr>
          <w:lang w:val="en-GB"/>
        </w:rPr>
        <w:t xml:space="preserve">A survey of over 900 experts globally revealed a number </w:t>
      </w:r>
      <w:r w:rsidR="006A1818" w:rsidRPr="00163523">
        <w:rPr>
          <w:lang w:val="en-GB"/>
        </w:rPr>
        <w:t>of severe risks in the next 10 years</w:t>
      </w:r>
      <w:r w:rsidR="009F5B4A" w:rsidRPr="00163523">
        <w:rPr>
          <w:lang w:val="en-GB"/>
        </w:rPr>
        <w:t xml:space="preserve"> (</w:t>
      </w:r>
      <w:r w:rsidR="009F5B4A" w:rsidRPr="00163523">
        <w:rPr>
          <w:lang w:val="en-GB"/>
        </w:rPr>
        <w:fldChar w:fldCharType="begin"/>
      </w:r>
      <w:r w:rsidR="009F5B4A" w:rsidRPr="00163523">
        <w:rPr>
          <w:lang w:val="en-GB"/>
        </w:rPr>
        <w:instrText xml:space="preserve"> REF _Ref115178771 \h </w:instrText>
      </w:r>
      <w:r w:rsidR="009F5B4A" w:rsidRPr="00163523">
        <w:rPr>
          <w:lang w:val="en-GB"/>
        </w:rPr>
      </w:r>
      <w:r w:rsidR="009F5B4A" w:rsidRPr="00163523">
        <w:rPr>
          <w:lang w:val="en-GB"/>
        </w:rPr>
        <w:fldChar w:fldCharType="separate"/>
      </w:r>
      <w:r w:rsidR="009F5B4A" w:rsidRPr="00163523">
        <w:rPr>
          <w:lang w:val="en-GB"/>
        </w:rPr>
        <w:t>Figure 1</w:t>
      </w:r>
      <w:r w:rsidR="009F5B4A" w:rsidRPr="00163523">
        <w:rPr>
          <w:lang w:val="en-GB"/>
        </w:rPr>
        <w:fldChar w:fldCharType="end"/>
      </w:r>
      <w:r w:rsidR="009F5B4A" w:rsidRPr="00163523">
        <w:rPr>
          <w:lang w:val="en-GB"/>
        </w:rPr>
        <w:t xml:space="preserve">). </w:t>
      </w:r>
      <w:r w:rsidR="00AA46D0" w:rsidRPr="00163523">
        <w:rPr>
          <w:lang w:val="en-GB"/>
        </w:rPr>
        <w:t>It is emblematic that out of the 10 most severe risks identified in the report, 5 are of an environmental nature. This illustrates the strong energy-economy-environment interdependency</w:t>
      </w:r>
      <w:r w:rsidR="00A72563">
        <w:rPr>
          <w:lang w:val="en-GB"/>
        </w:rPr>
        <w:t>.</w:t>
      </w:r>
    </w:p>
    <w:p w14:paraId="5AA81A76" w14:textId="77777777" w:rsidR="00A72563" w:rsidRPr="00A72563" w:rsidRDefault="00A72563" w:rsidP="00A72563">
      <w:pPr>
        <w:rPr>
          <w:lang w:val="en-GB"/>
        </w:rPr>
      </w:pPr>
    </w:p>
    <w:p w14:paraId="0F814A59" w14:textId="73C1AE75" w:rsidR="00404468" w:rsidRPr="00163523" w:rsidRDefault="00404468" w:rsidP="00A72563">
      <w:pPr>
        <w:rPr>
          <w:lang w:val="en-GB"/>
        </w:rPr>
      </w:pPr>
      <w:r w:rsidRPr="00163523">
        <w:rPr>
          <w:lang w:val="en-GB"/>
        </w:rPr>
        <w:lastRenderedPageBreak/>
        <w:t>Moreover, a survey of over 12 000 global leaders pinpoints the highest risks for the Baltic</w:t>
      </w:r>
      <w:r w:rsidR="00B733C2" w:rsidRPr="00163523">
        <w:rPr>
          <w:lang w:val="en-GB"/>
        </w:rPr>
        <w:t xml:space="preserve"> </w:t>
      </w:r>
      <w:r w:rsidR="00901E92" w:rsidRPr="00163523">
        <w:rPr>
          <w:lang w:val="en-GB"/>
        </w:rPr>
        <w:t>region</w:t>
      </w:r>
      <w:r w:rsidRPr="00163523">
        <w:rPr>
          <w:lang w:val="en-GB"/>
        </w:rPr>
        <w:t xml:space="preserve"> in their opinion (</w:t>
      </w:r>
      <w:r w:rsidRPr="00163523">
        <w:rPr>
          <w:lang w:val="en-GB"/>
        </w:rPr>
        <w:fldChar w:fldCharType="begin"/>
      </w:r>
      <w:r w:rsidRPr="00163523">
        <w:rPr>
          <w:lang w:val="en-GB"/>
        </w:rPr>
        <w:instrText xml:space="preserve"> REF _Ref115179157 \h </w:instrText>
      </w:r>
      <w:r w:rsidRPr="00163523">
        <w:rPr>
          <w:lang w:val="en-GB"/>
        </w:rPr>
      </w:r>
      <w:r w:rsidRPr="00163523">
        <w:rPr>
          <w:lang w:val="en-GB"/>
        </w:rPr>
        <w:fldChar w:fldCharType="separate"/>
      </w:r>
      <w:r w:rsidRPr="00163523">
        <w:rPr>
          <w:lang w:val="en-GB"/>
        </w:rPr>
        <w:t>Table 2</w:t>
      </w:r>
      <w:r w:rsidRPr="00163523">
        <w:rPr>
          <w:lang w:val="en-GB"/>
        </w:rPr>
        <w:fldChar w:fldCharType="end"/>
      </w:r>
      <w:r w:rsidRPr="00163523">
        <w:rPr>
          <w:lang w:val="en-GB"/>
        </w:rPr>
        <w:t>). It can be noted that interstate conflict</w:t>
      </w:r>
      <w:r w:rsidR="00A03210" w:rsidRPr="00163523">
        <w:rPr>
          <w:lang w:val="en-GB"/>
        </w:rPr>
        <w:t>s</w:t>
      </w:r>
      <w:r w:rsidRPr="00163523">
        <w:rPr>
          <w:lang w:val="en-GB"/>
        </w:rPr>
        <w:t xml:space="preserve"> w</w:t>
      </w:r>
      <w:r w:rsidR="00A03210" w:rsidRPr="00163523">
        <w:rPr>
          <w:lang w:val="en-GB"/>
        </w:rPr>
        <w:t>ere</w:t>
      </w:r>
      <w:r w:rsidRPr="00163523">
        <w:rPr>
          <w:lang w:val="en-GB"/>
        </w:rPr>
        <w:t xml:space="preserve"> identified as the most important risk for </w:t>
      </w:r>
      <w:r w:rsidR="00A03210" w:rsidRPr="00163523">
        <w:rPr>
          <w:lang w:val="en-GB"/>
        </w:rPr>
        <w:t>the</w:t>
      </w:r>
      <w:r w:rsidRPr="00163523">
        <w:rPr>
          <w:lang w:val="en-GB"/>
        </w:rPr>
        <w:t xml:space="preserve"> Baltic countries</w:t>
      </w:r>
      <w:r w:rsidR="004B0C45" w:rsidRPr="00163523">
        <w:rPr>
          <w:lang w:val="en-GB"/>
        </w:rPr>
        <w:t>.</w:t>
      </w:r>
      <w:r w:rsidR="004B0C45" w:rsidRPr="00163523">
        <w:rPr>
          <w:rStyle w:val="Voetnootmarkering"/>
          <w:lang w:val="en-GB"/>
        </w:rPr>
        <w:footnoteReference w:id="5"/>
      </w:r>
      <w:r w:rsidR="008B7FE4" w:rsidRPr="00163523">
        <w:rPr>
          <w:lang w:val="en-GB"/>
        </w:rPr>
        <w:t xml:space="preserve"> </w:t>
      </w:r>
      <w:r w:rsidR="00A94B8C" w:rsidRPr="00163523">
        <w:rPr>
          <w:lang w:val="en-GB"/>
        </w:rPr>
        <w:t>Furthermore</w:t>
      </w:r>
      <w:r w:rsidR="008B7FE4" w:rsidRPr="00163523">
        <w:rPr>
          <w:lang w:val="en-GB"/>
        </w:rPr>
        <w:t>, economic risks due to asset bubbles, commodity shocks and debt crises are also highly ranked.</w:t>
      </w:r>
    </w:p>
    <w:p w14:paraId="74FF5083" w14:textId="77777777" w:rsidR="0057651B" w:rsidRPr="00163523" w:rsidRDefault="0057651B" w:rsidP="00A72563">
      <w:pPr>
        <w:rPr>
          <w:lang w:val="en-GB"/>
        </w:rPr>
      </w:pPr>
    </w:p>
    <w:p w14:paraId="2458F455" w14:textId="1ACF455D" w:rsidR="0057651B" w:rsidRPr="00163523" w:rsidRDefault="0057651B" w:rsidP="00F51A21">
      <w:pPr>
        <w:pStyle w:val="Bijschrift"/>
        <w:rPr>
          <w:lang w:val="en-GB"/>
        </w:rPr>
      </w:pPr>
      <w:bookmarkStart w:id="17" w:name="_Ref115178771"/>
      <w:r w:rsidRPr="00163523">
        <w:rPr>
          <w:lang w:val="en-GB"/>
        </w:rPr>
        <w:t xml:space="preserve">Figure </w:t>
      </w:r>
      <w:r w:rsidR="009969ED" w:rsidRPr="00163523">
        <w:rPr>
          <w:lang w:val="en-GB"/>
        </w:rPr>
        <w:fldChar w:fldCharType="begin"/>
      </w:r>
      <w:r w:rsidR="009969ED" w:rsidRPr="00163523">
        <w:rPr>
          <w:lang w:val="en-GB"/>
        </w:rPr>
        <w:instrText xml:space="preserve"> STYLEREF 1 \s </w:instrText>
      </w:r>
      <w:r w:rsidR="009969ED" w:rsidRPr="00163523">
        <w:rPr>
          <w:lang w:val="en-GB"/>
        </w:rPr>
        <w:fldChar w:fldCharType="separate"/>
      </w:r>
      <w:r w:rsidR="009969ED" w:rsidRPr="00163523">
        <w:rPr>
          <w:lang w:val="en-GB"/>
        </w:rPr>
        <w:t>2</w:t>
      </w:r>
      <w:r w:rsidR="009969ED" w:rsidRPr="00163523">
        <w:rPr>
          <w:lang w:val="en-GB"/>
        </w:rPr>
        <w:fldChar w:fldCharType="end"/>
      </w:r>
      <w:r w:rsidR="009969ED" w:rsidRPr="00163523">
        <w:rPr>
          <w:lang w:val="en-GB"/>
        </w:rPr>
        <w:noBreakHyphen/>
      </w:r>
      <w:r w:rsidR="009969ED" w:rsidRPr="00163523">
        <w:rPr>
          <w:lang w:val="en-GB"/>
        </w:rPr>
        <w:fldChar w:fldCharType="begin"/>
      </w:r>
      <w:r w:rsidR="009969ED" w:rsidRPr="00163523">
        <w:rPr>
          <w:lang w:val="en-GB"/>
        </w:rPr>
        <w:instrText xml:space="preserve"> SEQ Figure \* ARABIC \s 1 </w:instrText>
      </w:r>
      <w:r w:rsidR="009969ED" w:rsidRPr="00163523">
        <w:rPr>
          <w:lang w:val="en-GB"/>
        </w:rPr>
        <w:fldChar w:fldCharType="separate"/>
      </w:r>
      <w:r w:rsidR="009969ED" w:rsidRPr="00163523">
        <w:rPr>
          <w:lang w:val="en-GB"/>
        </w:rPr>
        <w:t>1</w:t>
      </w:r>
      <w:r w:rsidR="009969ED" w:rsidRPr="00163523">
        <w:rPr>
          <w:lang w:val="en-GB"/>
        </w:rPr>
        <w:fldChar w:fldCharType="end"/>
      </w:r>
      <w:bookmarkEnd w:id="17"/>
      <w:r>
        <w:rPr>
          <w:lang w:val="en-GB"/>
        </w:rPr>
        <w:t xml:space="preserve"> </w:t>
      </w:r>
      <w:r w:rsidR="00820493">
        <w:rPr>
          <w:lang w:val="en-GB"/>
        </w:rPr>
        <w:t>Most severe risks in the next 10 years according to experts</w:t>
      </w:r>
      <w:r w:rsidR="00D045E9" w:rsidRPr="00163523">
        <w:rPr>
          <w:rStyle w:val="Voetnootmarkering"/>
          <w:lang w:val="en-GB"/>
        </w:rPr>
        <w:footnoteReference w:id="6"/>
      </w:r>
    </w:p>
    <w:p w14:paraId="2B7545F2" w14:textId="1A8D4BCC" w:rsidR="0057651B" w:rsidRPr="00163523" w:rsidRDefault="0057651B" w:rsidP="0057651B">
      <w:pPr>
        <w:rPr>
          <w:lang w:val="en-GB"/>
        </w:rPr>
      </w:pPr>
      <w:r w:rsidRPr="00163523">
        <w:rPr>
          <w:lang w:val="en-GB"/>
        </w:rPr>
        <w:drawing>
          <wp:inline distT="0" distB="0" distL="0" distR="0" wp14:anchorId="39A1A0E9" wp14:editId="006EE721">
            <wp:extent cx="5438775" cy="1718523"/>
            <wp:effectExtent l="0" t="0" r="0" b="0"/>
            <wp:docPr id="1" name="Afbeelding 1" descr="Graphical user interface, char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chart, application&#10;&#10;Description automatically generated"/>
                    <pic:cNvPicPr/>
                  </pic:nvPicPr>
                  <pic:blipFill>
                    <a:blip r:embed="rId22"/>
                    <a:stretch>
                      <a:fillRect/>
                    </a:stretch>
                  </pic:blipFill>
                  <pic:spPr>
                    <a:xfrm>
                      <a:off x="0" y="0"/>
                      <a:ext cx="5443656" cy="1720065"/>
                    </a:xfrm>
                    <a:prstGeom prst="rect">
                      <a:avLst/>
                    </a:prstGeom>
                  </pic:spPr>
                </pic:pic>
              </a:graphicData>
            </a:graphic>
          </wp:inline>
        </w:drawing>
      </w:r>
    </w:p>
    <w:p w14:paraId="15949A9E" w14:textId="77777777" w:rsidR="000B0D7E" w:rsidRPr="00163523" w:rsidRDefault="000B0D7E" w:rsidP="005111DD">
      <w:pPr>
        <w:ind w:left="1287" w:hanging="360"/>
        <w:rPr>
          <w:lang w:val="en-GB"/>
        </w:rPr>
      </w:pPr>
    </w:p>
    <w:p w14:paraId="3A4CEC14" w14:textId="5BE7968F" w:rsidR="001C1F49" w:rsidRPr="00163523" w:rsidRDefault="001C1F49" w:rsidP="00F51A21">
      <w:pPr>
        <w:pStyle w:val="Bijschrift"/>
        <w:rPr>
          <w:lang w:val="en-GB"/>
        </w:rPr>
      </w:pPr>
      <w:bookmarkStart w:id="18" w:name="_Ref115179157"/>
      <w:r w:rsidRPr="00163523">
        <w:rPr>
          <w:lang w:val="en-GB"/>
        </w:rPr>
        <w:t xml:space="preserve">Table </w:t>
      </w:r>
      <w:r w:rsidR="008962EB" w:rsidRPr="00163523">
        <w:rPr>
          <w:lang w:val="en-GB"/>
        </w:rPr>
        <w:fldChar w:fldCharType="begin"/>
      </w:r>
      <w:r w:rsidR="008962EB" w:rsidRPr="00163523">
        <w:rPr>
          <w:lang w:val="en-GB"/>
        </w:rPr>
        <w:instrText xml:space="preserve"> STYLEREF 1 \s </w:instrText>
      </w:r>
      <w:r w:rsidR="008962EB" w:rsidRPr="00163523">
        <w:rPr>
          <w:lang w:val="en-GB"/>
        </w:rPr>
        <w:fldChar w:fldCharType="separate"/>
      </w:r>
      <w:r w:rsidR="008962EB" w:rsidRPr="00163523">
        <w:rPr>
          <w:lang w:val="en-GB"/>
        </w:rPr>
        <w:t>2</w:t>
      </w:r>
      <w:r w:rsidR="008962EB" w:rsidRPr="00163523">
        <w:rPr>
          <w:lang w:val="en-GB"/>
        </w:rPr>
        <w:fldChar w:fldCharType="end"/>
      </w:r>
      <w:r w:rsidR="008962EB" w:rsidRPr="00163523">
        <w:rPr>
          <w:lang w:val="en-GB"/>
        </w:rPr>
        <w:noBreakHyphen/>
      </w:r>
      <w:r w:rsidR="008962EB" w:rsidRPr="00163523">
        <w:rPr>
          <w:lang w:val="en-GB"/>
        </w:rPr>
        <w:fldChar w:fldCharType="begin"/>
      </w:r>
      <w:r w:rsidR="008962EB" w:rsidRPr="00163523">
        <w:rPr>
          <w:lang w:val="en-GB"/>
        </w:rPr>
        <w:instrText xml:space="preserve"> SEQ Table \* ARABIC \s 1 </w:instrText>
      </w:r>
      <w:r w:rsidR="008962EB" w:rsidRPr="00163523">
        <w:rPr>
          <w:lang w:val="en-GB"/>
        </w:rPr>
        <w:fldChar w:fldCharType="separate"/>
      </w:r>
      <w:r w:rsidR="008962EB" w:rsidRPr="00163523">
        <w:rPr>
          <w:lang w:val="en-GB"/>
        </w:rPr>
        <w:t>2</w:t>
      </w:r>
      <w:r w:rsidR="008962EB" w:rsidRPr="00163523">
        <w:rPr>
          <w:lang w:val="en-GB"/>
        </w:rPr>
        <w:fldChar w:fldCharType="end"/>
      </w:r>
      <w:bookmarkEnd w:id="18"/>
      <w:r w:rsidR="00D045E9" w:rsidRPr="00163523">
        <w:rPr>
          <w:lang w:val="en-GB"/>
        </w:rPr>
        <w:t xml:space="preserve"> Top </w:t>
      </w:r>
      <w:r w:rsidR="00D045E9">
        <w:rPr>
          <w:lang w:val="en-GB"/>
        </w:rPr>
        <w:t>f</w:t>
      </w:r>
      <w:r w:rsidR="00D045E9" w:rsidRPr="00163523">
        <w:rPr>
          <w:lang w:val="en-GB"/>
        </w:rPr>
        <w:t xml:space="preserve">ive </w:t>
      </w:r>
      <w:r w:rsidR="00D045E9">
        <w:rPr>
          <w:lang w:val="en-GB"/>
        </w:rPr>
        <w:t>r</w:t>
      </w:r>
      <w:r w:rsidR="00D045E9" w:rsidRPr="00163523">
        <w:rPr>
          <w:lang w:val="en-GB"/>
        </w:rPr>
        <w:t xml:space="preserve">isks </w:t>
      </w:r>
      <w:r w:rsidR="00F51A21">
        <w:rPr>
          <w:lang w:val="en-GB"/>
        </w:rPr>
        <w:t>i</w:t>
      </w:r>
      <w:r w:rsidR="00D045E9" w:rsidRPr="00163523">
        <w:rPr>
          <w:lang w:val="en-GB"/>
        </w:rPr>
        <w:t>dentified by the</w:t>
      </w:r>
      <w:r w:rsidR="00D045E9">
        <w:rPr>
          <w:lang w:val="en-GB"/>
        </w:rPr>
        <w:t xml:space="preserve"> World Economic Forum’s</w:t>
      </w:r>
      <w:r w:rsidR="00D045E9" w:rsidRPr="00163523">
        <w:rPr>
          <w:lang w:val="en-GB"/>
        </w:rPr>
        <w:t xml:space="preserve"> Executive Opinion Survey</w:t>
      </w:r>
      <w:r w:rsidR="00D045E9" w:rsidRPr="00163523">
        <w:rPr>
          <w:rStyle w:val="Voetnootmarkering"/>
          <w:lang w:val="en-GB"/>
        </w:rPr>
        <w:footnoteReference w:id="7"/>
      </w:r>
    </w:p>
    <w:tbl>
      <w:tblPr>
        <w:tblStyle w:val="Table1"/>
        <w:tblW w:w="0" w:type="auto"/>
        <w:tblCellMar>
          <w:top w:w="28" w:type="dxa"/>
          <w:bottom w:w="28" w:type="dxa"/>
        </w:tblCellMar>
        <w:tblLook w:val="04A0" w:firstRow="1" w:lastRow="0" w:firstColumn="1" w:lastColumn="0" w:noHBand="0" w:noVBand="1"/>
      </w:tblPr>
      <w:tblGrid>
        <w:gridCol w:w="1517"/>
        <w:gridCol w:w="1389"/>
        <w:gridCol w:w="1391"/>
        <w:gridCol w:w="1391"/>
        <w:gridCol w:w="1379"/>
        <w:gridCol w:w="1382"/>
      </w:tblGrid>
      <w:tr w:rsidR="009438B9" w14:paraId="0696AEC8" w14:textId="0D8C8EBC" w:rsidTr="009174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7" w:type="dxa"/>
          </w:tcPr>
          <w:p w14:paraId="16F9EDD9" w14:textId="77777777" w:rsidR="009438B9" w:rsidRPr="00163523" w:rsidRDefault="009438B9" w:rsidP="00917439">
            <w:pPr>
              <w:keepNext/>
              <w:spacing w:line="240" w:lineRule="auto"/>
              <w:ind w:left="0"/>
              <w:rPr>
                <w:lang w:val="en-GB"/>
              </w:rPr>
            </w:pPr>
          </w:p>
        </w:tc>
        <w:tc>
          <w:tcPr>
            <w:tcW w:w="1389" w:type="dxa"/>
          </w:tcPr>
          <w:p w14:paraId="0D265FD9" w14:textId="2C5B1F9B" w:rsidR="009438B9" w:rsidRPr="009438B9" w:rsidRDefault="009438B9" w:rsidP="00917439">
            <w:pPr>
              <w:keepNext/>
              <w:spacing w:line="240" w:lineRule="auto"/>
              <w:ind w:left="0"/>
              <w:cnfStyle w:val="100000000000" w:firstRow="1" w:lastRow="0" w:firstColumn="0" w:lastColumn="0" w:oddVBand="0" w:evenVBand="0" w:oddHBand="0" w:evenHBand="0" w:firstRowFirstColumn="0" w:firstRowLastColumn="0" w:lastRowFirstColumn="0" w:lastRowLastColumn="0"/>
              <w:rPr>
                <w:lang w:val="en-GB"/>
              </w:rPr>
            </w:pPr>
            <w:r>
              <w:rPr>
                <w:lang w:val="en-GB"/>
              </w:rPr>
              <w:t>Risk 1</w:t>
            </w:r>
          </w:p>
        </w:tc>
        <w:tc>
          <w:tcPr>
            <w:tcW w:w="1391" w:type="dxa"/>
          </w:tcPr>
          <w:p w14:paraId="1437BC49" w14:textId="41986EB4" w:rsidR="009438B9" w:rsidRPr="009438B9" w:rsidRDefault="009438B9" w:rsidP="00917439">
            <w:pPr>
              <w:keepNext/>
              <w:spacing w:line="240" w:lineRule="auto"/>
              <w:ind w:left="0"/>
              <w:cnfStyle w:val="100000000000" w:firstRow="1" w:lastRow="0" w:firstColumn="0" w:lastColumn="0" w:oddVBand="0" w:evenVBand="0" w:oddHBand="0" w:evenHBand="0" w:firstRowFirstColumn="0" w:firstRowLastColumn="0" w:lastRowFirstColumn="0" w:lastRowLastColumn="0"/>
              <w:rPr>
                <w:lang w:val="en-GB"/>
              </w:rPr>
            </w:pPr>
            <w:r>
              <w:rPr>
                <w:lang w:val="en-GB"/>
              </w:rPr>
              <w:t>Risk 2</w:t>
            </w:r>
          </w:p>
        </w:tc>
        <w:tc>
          <w:tcPr>
            <w:tcW w:w="1391" w:type="dxa"/>
          </w:tcPr>
          <w:p w14:paraId="393EF5B1" w14:textId="0E2572D9" w:rsidR="009438B9" w:rsidRPr="009438B9" w:rsidRDefault="009438B9" w:rsidP="00917439">
            <w:pPr>
              <w:keepNext/>
              <w:spacing w:line="240" w:lineRule="auto"/>
              <w:ind w:left="0"/>
              <w:cnfStyle w:val="100000000000" w:firstRow="1" w:lastRow="0" w:firstColumn="0" w:lastColumn="0" w:oddVBand="0" w:evenVBand="0" w:oddHBand="0" w:evenHBand="0" w:firstRowFirstColumn="0" w:firstRowLastColumn="0" w:lastRowFirstColumn="0" w:lastRowLastColumn="0"/>
              <w:rPr>
                <w:lang w:val="en-GB"/>
              </w:rPr>
            </w:pPr>
            <w:r>
              <w:rPr>
                <w:lang w:val="en-GB"/>
              </w:rPr>
              <w:t>Risk 3</w:t>
            </w:r>
          </w:p>
        </w:tc>
        <w:tc>
          <w:tcPr>
            <w:tcW w:w="1379" w:type="dxa"/>
          </w:tcPr>
          <w:p w14:paraId="3F64517B" w14:textId="5D725997" w:rsidR="009438B9" w:rsidRPr="009438B9" w:rsidRDefault="009438B9" w:rsidP="00917439">
            <w:pPr>
              <w:keepNext/>
              <w:spacing w:line="240" w:lineRule="auto"/>
              <w:ind w:left="0"/>
              <w:cnfStyle w:val="100000000000" w:firstRow="1" w:lastRow="0" w:firstColumn="0" w:lastColumn="0" w:oddVBand="0" w:evenVBand="0" w:oddHBand="0" w:evenHBand="0" w:firstRowFirstColumn="0" w:firstRowLastColumn="0" w:lastRowFirstColumn="0" w:lastRowLastColumn="0"/>
              <w:rPr>
                <w:lang w:val="en-GB"/>
              </w:rPr>
            </w:pPr>
            <w:r>
              <w:rPr>
                <w:lang w:val="en-GB"/>
              </w:rPr>
              <w:t>Risk 4</w:t>
            </w:r>
          </w:p>
        </w:tc>
        <w:tc>
          <w:tcPr>
            <w:tcW w:w="1382" w:type="dxa"/>
          </w:tcPr>
          <w:p w14:paraId="644C80DC" w14:textId="6DAF407C" w:rsidR="009438B9" w:rsidRDefault="009438B9" w:rsidP="00917439">
            <w:pPr>
              <w:keepNext/>
              <w:spacing w:line="240" w:lineRule="auto"/>
              <w:ind w:left="0"/>
              <w:cnfStyle w:val="100000000000" w:firstRow="1" w:lastRow="0" w:firstColumn="0" w:lastColumn="0" w:oddVBand="0" w:evenVBand="0" w:oddHBand="0" w:evenHBand="0" w:firstRowFirstColumn="0" w:firstRowLastColumn="0" w:lastRowFirstColumn="0" w:lastRowLastColumn="0"/>
              <w:rPr>
                <w:lang w:val="en-GB"/>
              </w:rPr>
            </w:pPr>
            <w:r>
              <w:rPr>
                <w:lang w:val="en-GB"/>
              </w:rPr>
              <w:t>Risk 5</w:t>
            </w:r>
          </w:p>
        </w:tc>
      </w:tr>
      <w:tr w:rsidR="00EB2047" w14:paraId="155CF44E" w14:textId="49FE967A" w:rsidTr="00917439">
        <w:tc>
          <w:tcPr>
            <w:cnfStyle w:val="001000000000" w:firstRow="0" w:lastRow="0" w:firstColumn="1" w:lastColumn="0" w:oddVBand="0" w:evenVBand="0" w:oddHBand="0" w:evenHBand="0" w:firstRowFirstColumn="0" w:firstRowLastColumn="0" w:lastRowFirstColumn="0" w:lastRowLastColumn="0"/>
            <w:tcW w:w="1517" w:type="dxa"/>
          </w:tcPr>
          <w:p w14:paraId="5DBBF2FD" w14:textId="6FE4F37A" w:rsidR="00EB2047" w:rsidRPr="000B0D7E" w:rsidRDefault="00EB2047" w:rsidP="00917439">
            <w:pPr>
              <w:keepNext/>
              <w:spacing w:line="240" w:lineRule="auto"/>
              <w:ind w:left="0"/>
              <w:rPr>
                <w:lang w:val="en-GB"/>
              </w:rPr>
            </w:pPr>
            <w:r>
              <w:rPr>
                <w:lang w:val="en-GB"/>
              </w:rPr>
              <w:t>Estonia</w:t>
            </w:r>
          </w:p>
        </w:tc>
        <w:tc>
          <w:tcPr>
            <w:tcW w:w="1389" w:type="dxa"/>
          </w:tcPr>
          <w:p w14:paraId="0E65C6EE" w14:textId="70EAB558" w:rsidR="00EB2047" w:rsidRPr="003A1B5F" w:rsidRDefault="00EB2047" w:rsidP="00917439">
            <w:pPr>
              <w:keepNext/>
              <w:spacing w:line="240" w:lineRule="auto"/>
              <w:ind w:left="0"/>
              <w:cnfStyle w:val="000000000000" w:firstRow="0" w:lastRow="0" w:firstColumn="0" w:lastColumn="0" w:oddVBand="0" w:evenVBand="0" w:oddHBand="0" w:evenHBand="0" w:firstRowFirstColumn="0" w:firstRowLastColumn="0" w:lastRowFirstColumn="0" w:lastRowLastColumn="0"/>
              <w:rPr>
                <w:lang w:val="en-GB"/>
              </w:rPr>
            </w:pPr>
            <w:r>
              <w:rPr>
                <w:lang w:val="en-GB"/>
              </w:rPr>
              <w:t>Interstate conflict</w:t>
            </w:r>
          </w:p>
        </w:tc>
        <w:tc>
          <w:tcPr>
            <w:tcW w:w="1391" w:type="dxa"/>
          </w:tcPr>
          <w:p w14:paraId="718D44F7" w14:textId="0562760D" w:rsidR="00EB2047" w:rsidRPr="003A1B5F" w:rsidRDefault="00EB2047" w:rsidP="00917439">
            <w:pPr>
              <w:keepNext/>
              <w:spacing w:line="240" w:lineRule="auto"/>
              <w:ind w:left="0"/>
              <w:cnfStyle w:val="000000000000" w:firstRow="0" w:lastRow="0" w:firstColumn="0" w:lastColumn="0" w:oddVBand="0" w:evenVBand="0" w:oddHBand="0" w:evenHBand="0" w:firstRowFirstColumn="0" w:firstRowLastColumn="0" w:lastRowFirstColumn="0" w:lastRowLastColumn="0"/>
              <w:rPr>
                <w:lang w:val="en-GB"/>
              </w:rPr>
            </w:pPr>
            <w:r>
              <w:rPr>
                <w:lang w:val="en-GB"/>
              </w:rPr>
              <w:t>Debt crises in large economies</w:t>
            </w:r>
          </w:p>
        </w:tc>
        <w:tc>
          <w:tcPr>
            <w:tcW w:w="2770" w:type="dxa"/>
            <w:gridSpan w:val="2"/>
          </w:tcPr>
          <w:p w14:paraId="1750E48F" w14:textId="723D2061" w:rsidR="00EB2047" w:rsidRPr="00163523" w:rsidRDefault="00EB2047" w:rsidP="00917439">
            <w:pPr>
              <w:keepNext/>
              <w:spacing w:line="240" w:lineRule="auto"/>
              <w:ind w:left="0"/>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Asset bubble </w:t>
            </w:r>
            <w:r w:rsidR="00FB2BB1">
              <w:rPr>
                <w:lang w:val="en-GB"/>
              </w:rPr>
              <w:t xml:space="preserve">bursts </w:t>
            </w:r>
            <w:r>
              <w:rPr>
                <w:lang w:val="en-GB"/>
              </w:rPr>
              <w:t>in large economies / Fracture of interstate relations</w:t>
            </w:r>
          </w:p>
        </w:tc>
        <w:tc>
          <w:tcPr>
            <w:tcW w:w="1382" w:type="dxa"/>
          </w:tcPr>
          <w:p w14:paraId="46DFA1F5" w14:textId="2DE63756" w:rsidR="00EB2047" w:rsidRPr="00EB2047" w:rsidRDefault="00EB2047" w:rsidP="00917439">
            <w:pPr>
              <w:keepNext/>
              <w:spacing w:line="240" w:lineRule="auto"/>
              <w:ind w:left="0"/>
              <w:cnfStyle w:val="000000000000" w:firstRow="0" w:lastRow="0" w:firstColumn="0" w:lastColumn="0" w:oddVBand="0" w:evenVBand="0" w:oddHBand="0" w:evenHBand="0" w:firstRowFirstColumn="0" w:firstRowLastColumn="0" w:lastRowFirstColumn="0" w:lastRowLastColumn="0"/>
              <w:rPr>
                <w:lang w:val="en-GB"/>
              </w:rPr>
            </w:pPr>
            <w:r>
              <w:rPr>
                <w:lang w:val="en-GB"/>
              </w:rPr>
              <w:t>Human-made environmental damage</w:t>
            </w:r>
          </w:p>
        </w:tc>
      </w:tr>
      <w:tr w:rsidR="001C1F49" w:rsidRPr="009E69A2" w14:paraId="70B94D92" w14:textId="2A9DE945" w:rsidTr="00917439">
        <w:tc>
          <w:tcPr>
            <w:cnfStyle w:val="001000000000" w:firstRow="0" w:lastRow="0" w:firstColumn="1" w:lastColumn="0" w:oddVBand="0" w:evenVBand="0" w:oddHBand="0" w:evenHBand="0" w:firstRowFirstColumn="0" w:firstRowLastColumn="0" w:lastRowFirstColumn="0" w:lastRowLastColumn="0"/>
            <w:tcW w:w="1517" w:type="dxa"/>
          </w:tcPr>
          <w:p w14:paraId="2A150A36" w14:textId="61C876D4" w:rsidR="001C1F49" w:rsidRPr="000B0D7E" w:rsidRDefault="001C1F49" w:rsidP="00917439">
            <w:pPr>
              <w:keepNext/>
              <w:spacing w:line="240" w:lineRule="auto"/>
              <w:ind w:left="0"/>
              <w:rPr>
                <w:lang w:val="en-GB"/>
              </w:rPr>
            </w:pPr>
            <w:r>
              <w:rPr>
                <w:lang w:val="en-GB"/>
              </w:rPr>
              <w:t>Latvia</w:t>
            </w:r>
          </w:p>
        </w:tc>
        <w:tc>
          <w:tcPr>
            <w:tcW w:w="1389" w:type="dxa"/>
          </w:tcPr>
          <w:p w14:paraId="0435841A" w14:textId="1C874DA7" w:rsidR="001C1F49" w:rsidRPr="001C1F49" w:rsidRDefault="001C1F49" w:rsidP="00917439">
            <w:pPr>
              <w:keepNext/>
              <w:spacing w:line="240" w:lineRule="auto"/>
              <w:ind w:left="0"/>
              <w:cnfStyle w:val="000000000000" w:firstRow="0" w:lastRow="0" w:firstColumn="0" w:lastColumn="0" w:oddVBand="0" w:evenVBand="0" w:oddHBand="0" w:evenHBand="0" w:firstRowFirstColumn="0" w:firstRowLastColumn="0" w:lastRowFirstColumn="0" w:lastRowLastColumn="0"/>
              <w:rPr>
                <w:lang w:val="en-GB"/>
              </w:rPr>
            </w:pPr>
            <w:r>
              <w:rPr>
                <w:lang w:val="en-GB"/>
              </w:rPr>
              <w:t>Interstate conflict</w:t>
            </w:r>
          </w:p>
        </w:tc>
        <w:tc>
          <w:tcPr>
            <w:tcW w:w="1391" w:type="dxa"/>
          </w:tcPr>
          <w:p w14:paraId="14197BB1" w14:textId="2A75EB44" w:rsidR="001C1F49" w:rsidRPr="00163523" w:rsidRDefault="001C1F49" w:rsidP="00917439">
            <w:pPr>
              <w:keepNext/>
              <w:spacing w:line="240" w:lineRule="auto"/>
              <w:ind w:left="0"/>
              <w:cnfStyle w:val="000000000000" w:firstRow="0" w:lastRow="0" w:firstColumn="0" w:lastColumn="0" w:oddVBand="0" w:evenVBand="0" w:oddHBand="0" w:evenHBand="0" w:firstRowFirstColumn="0" w:firstRowLastColumn="0" w:lastRowFirstColumn="0" w:lastRowLastColumn="0"/>
              <w:rPr>
                <w:lang w:val="en-GB"/>
              </w:rPr>
            </w:pPr>
            <w:r>
              <w:rPr>
                <w:lang w:val="en-GB"/>
              </w:rPr>
              <w:t>Asset bubble bursts in large economies</w:t>
            </w:r>
          </w:p>
        </w:tc>
        <w:tc>
          <w:tcPr>
            <w:tcW w:w="1391" w:type="dxa"/>
          </w:tcPr>
          <w:p w14:paraId="30AAE927" w14:textId="046A725C" w:rsidR="001C1F49" w:rsidRPr="001C1F49" w:rsidRDefault="001C1F49" w:rsidP="00917439">
            <w:pPr>
              <w:keepNext/>
              <w:spacing w:line="240" w:lineRule="auto"/>
              <w:ind w:left="0"/>
              <w:cnfStyle w:val="000000000000" w:firstRow="0" w:lastRow="0" w:firstColumn="0" w:lastColumn="0" w:oddVBand="0" w:evenVBand="0" w:oddHBand="0" w:evenHBand="0" w:firstRowFirstColumn="0" w:firstRowLastColumn="0" w:lastRowFirstColumn="0" w:lastRowLastColumn="0"/>
              <w:rPr>
                <w:lang w:val="en-GB"/>
              </w:rPr>
            </w:pPr>
            <w:r>
              <w:rPr>
                <w:lang w:val="en-GB"/>
              </w:rPr>
              <w:t>Digital inequality</w:t>
            </w:r>
          </w:p>
        </w:tc>
        <w:tc>
          <w:tcPr>
            <w:tcW w:w="2761" w:type="dxa"/>
            <w:gridSpan w:val="2"/>
          </w:tcPr>
          <w:p w14:paraId="070AC008" w14:textId="6DF5ADD6" w:rsidR="001C1F49" w:rsidRPr="00163523" w:rsidRDefault="001C1F49" w:rsidP="00917439">
            <w:pPr>
              <w:keepNext/>
              <w:spacing w:line="240" w:lineRule="auto"/>
              <w:ind w:left="0"/>
              <w:cnfStyle w:val="000000000000" w:firstRow="0" w:lastRow="0" w:firstColumn="0" w:lastColumn="0" w:oddVBand="0" w:evenVBand="0" w:oddHBand="0" w:evenHBand="0" w:firstRowFirstColumn="0" w:firstRowLastColumn="0" w:lastRowFirstColumn="0" w:lastRowLastColumn="0"/>
              <w:rPr>
                <w:lang w:val="en-GB"/>
              </w:rPr>
            </w:pPr>
            <w:r>
              <w:rPr>
                <w:lang w:val="en-GB"/>
              </w:rPr>
              <w:t>Debt crises in large economies / Prolonged economic stagnation</w:t>
            </w:r>
          </w:p>
        </w:tc>
      </w:tr>
      <w:tr w:rsidR="001C1F49" w14:paraId="448F65EF" w14:textId="5BAD2DEC" w:rsidTr="00917439">
        <w:tc>
          <w:tcPr>
            <w:cnfStyle w:val="001000000000" w:firstRow="0" w:lastRow="0" w:firstColumn="1" w:lastColumn="0" w:oddVBand="0" w:evenVBand="0" w:oddHBand="0" w:evenHBand="0" w:firstRowFirstColumn="0" w:firstRowLastColumn="0" w:lastRowFirstColumn="0" w:lastRowLastColumn="0"/>
            <w:tcW w:w="1517" w:type="dxa"/>
          </w:tcPr>
          <w:p w14:paraId="0FE1D081" w14:textId="4400CF4C" w:rsidR="001C1F49" w:rsidRPr="009438B9" w:rsidRDefault="001C1F49" w:rsidP="00917439">
            <w:pPr>
              <w:keepNext/>
              <w:spacing w:line="240" w:lineRule="auto"/>
              <w:ind w:left="0"/>
              <w:rPr>
                <w:lang w:val="en-GB"/>
              </w:rPr>
            </w:pPr>
            <w:r>
              <w:rPr>
                <w:lang w:val="en-GB"/>
              </w:rPr>
              <w:t>Lithuania</w:t>
            </w:r>
          </w:p>
        </w:tc>
        <w:tc>
          <w:tcPr>
            <w:tcW w:w="1389" w:type="dxa"/>
          </w:tcPr>
          <w:p w14:paraId="65089F15" w14:textId="20CF5A50" w:rsidR="001C1F49" w:rsidRPr="00163523" w:rsidRDefault="001C1F49" w:rsidP="00917439">
            <w:pPr>
              <w:keepNext/>
              <w:spacing w:line="240" w:lineRule="auto"/>
              <w:ind w:left="0"/>
              <w:cnfStyle w:val="000000000000" w:firstRow="0" w:lastRow="0" w:firstColumn="0" w:lastColumn="0" w:oddVBand="0" w:evenVBand="0" w:oddHBand="0" w:evenHBand="0" w:firstRowFirstColumn="0" w:firstRowLastColumn="0" w:lastRowFirstColumn="0" w:lastRowLastColumn="0"/>
              <w:rPr>
                <w:lang w:val="en-GB"/>
              </w:rPr>
            </w:pPr>
            <w:r>
              <w:rPr>
                <w:lang w:val="en-GB"/>
              </w:rPr>
              <w:t>Interstate conflict</w:t>
            </w:r>
          </w:p>
        </w:tc>
        <w:tc>
          <w:tcPr>
            <w:tcW w:w="1391" w:type="dxa"/>
          </w:tcPr>
          <w:p w14:paraId="16CBC7A4" w14:textId="2E856ED1" w:rsidR="001C1F49" w:rsidRPr="001C1F49" w:rsidRDefault="001C1F49" w:rsidP="00917439">
            <w:pPr>
              <w:keepNext/>
              <w:spacing w:line="240" w:lineRule="auto"/>
              <w:ind w:left="0"/>
              <w:cnfStyle w:val="000000000000" w:firstRow="0" w:lastRow="0" w:firstColumn="0" w:lastColumn="0" w:oddVBand="0" w:evenVBand="0" w:oddHBand="0" w:evenHBand="0" w:firstRowFirstColumn="0" w:firstRowLastColumn="0" w:lastRowFirstColumn="0" w:lastRowLastColumn="0"/>
              <w:rPr>
                <w:lang w:val="en-GB"/>
              </w:rPr>
            </w:pPr>
            <w:r>
              <w:rPr>
                <w:lang w:val="en-GB"/>
              </w:rPr>
              <w:t>Severe commodity shocks</w:t>
            </w:r>
          </w:p>
        </w:tc>
        <w:tc>
          <w:tcPr>
            <w:tcW w:w="2770" w:type="dxa"/>
            <w:gridSpan w:val="2"/>
          </w:tcPr>
          <w:p w14:paraId="52E55F8C" w14:textId="67EFB845" w:rsidR="001C1F49" w:rsidRPr="00163523" w:rsidRDefault="001C1F49" w:rsidP="00917439">
            <w:pPr>
              <w:keepNext/>
              <w:spacing w:line="240" w:lineRule="auto"/>
              <w:ind w:left="0"/>
              <w:cnfStyle w:val="000000000000" w:firstRow="0" w:lastRow="0" w:firstColumn="0" w:lastColumn="0" w:oddVBand="0" w:evenVBand="0" w:oddHBand="0" w:evenHBand="0" w:firstRowFirstColumn="0" w:firstRowLastColumn="0" w:lastRowFirstColumn="0" w:lastRowLastColumn="0"/>
              <w:rPr>
                <w:lang w:val="en-GB"/>
              </w:rPr>
            </w:pPr>
            <w:r>
              <w:rPr>
                <w:lang w:val="en-GB"/>
              </w:rPr>
              <w:t>Debt crises in large economies / Failure of cybersecurity measures</w:t>
            </w:r>
          </w:p>
        </w:tc>
        <w:tc>
          <w:tcPr>
            <w:tcW w:w="1382" w:type="dxa"/>
          </w:tcPr>
          <w:p w14:paraId="1DC7A15C" w14:textId="1A524740" w:rsidR="001C1F49" w:rsidRPr="001C1F49" w:rsidRDefault="001C1F49" w:rsidP="00917439">
            <w:pPr>
              <w:keepNext/>
              <w:spacing w:line="240" w:lineRule="auto"/>
              <w:ind w:left="0"/>
              <w:cnfStyle w:val="000000000000" w:firstRow="0" w:lastRow="0" w:firstColumn="0" w:lastColumn="0" w:oddVBand="0" w:evenVBand="0" w:oddHBand="0" w:evenHBand="0" w:firstRowFirstColumn="0" w:firstRowLastColumn="0" w:lastRowFirstColumn="0" w:lastRowLastColumn="0"/>
              <w:rPr>
                <w:lang w:val="en-GB"/>
              </w:rPr>
            </w:pPr>
            <w:r>
              <w:rPr>
                <w:lang w:val="en-GB"/>
              </w:rPr>
              <w:t>Human-made environmental damage</w:t>
            </w:r>
          </w:p>
        </w:tc>
      </w:tr>
      <w:tr w:rsidR="009438B9" w14:paraId="25FBF7C5" w14:textId="43F513E4" w:rsidTr="00917439">
        <w:tc>
          <w:tcPr>
            <w:cnfStyle w:val="001000000000" w:firstRow="0" w:lastRow="0" w:firstColumn="1" w:lastColumn="0" w:oddVBand="0" w:evenVBand="0" w:oddHBand="0" w:evenHBand="0" w:firstRowFirstColumn="0" w:firstRowLastColumn="0" w:lastRowFirstColumn="0" w:lastRowLastColumn="0"/>
            <w:tcW w:w="1517" w:type="dxa"/>
          </w:tcPr>
          <w:p w14:paraId="3B1EED0E" w14:textId="4CD1E5FC" w:rsidR="009438B9" w:rsidRDefault="009438B9" w:rsidP="00917439">
            <w:pPr>
              <w:spacing w:line="240" w:lineRule="auto"/>
              <w:ind w:left="0"/>
              <w:rPr>
                <w:lang w:val="en-GB"/>
              </w:rPr>
            </w:pPr>
            <w:r>
              <w:rPr>
                <w:lang w:val="en-GB"/>
              </w:rPr>
              <w:t>Finland</w:t>
            </w:r>
          </w:p>
        </w:tc>
        <w:tc>
          <w:tcPr>
            <w:tcW w:w="1389" w:type="dxa"/>
          </w:tcPr>
          <w:p w14:paraId="2C78FE70" w14:textId="70B00844" w:rsidR="009438B9" w:rsidRPr="00EB2047" w:rsidRDefault="00EB2047" w:rsidP="00917439">
            <w:pPr>
              <w:spacing w:line="240" w:lineRule="auto"/>
              <w:ind w:left="0"/>
              <w:cnfStyle w:val="000000000000" w:firstRow="0" w:lastRow="0" w:firstColumn="0" w:lastColumn="0" w:oddVBand="0" w:evenVBand="0" w:oddHBand="0" w:evenHBand="0" w:firstRowFirstColumn="0" w:firstRowLastColumn="0" w:lastRowFirstColumn="0" w:lastRowLastColumn="0"/>
              <w:rPr>
                <w:lang w:val="en-GB"/>
              </w:rPr>
            </w:pPr>
            <w:r>
              <w:rPr>
                <w:lang w:val="en-GB"/>
              </w:rPr>
              <w:t>Prolonged economic stagnation</w:t>
            </w:r>
          </w:p>
        </w:tc>
        <w:tc>
          <w:tcPr>
            <w:tcW w:w="1391" w:type="dxa"/>
          </w:tcPr>
          <w:p w14:paraId="38C5EC0D" w14:textId="44D1B2B3" w:rsidR="009438B9" w:rsidRPr="00163523" w:rsidRDefault="00EB2047" w:rsidP="00917439">
            <w:pPr>
              <w:spacing w:line="240" w:lineRule="auto"/>
              <w:ind w:left="0"/>
              <w:cnfStyle w:val="000000000000" w:firstRow="0" w:lastRow="0" w:firstColumn="0" w:lastColumn="0" w:oddVBand="0" w:evenVBand="0" w:oddHBand="0" w:evenHBand="0" w:firstRowFirstColumn="0" w:firstRowLastColumn="0" w:lastRowFirstColumn="0" w:lastRowLastColumn="0"/>
              <w:rPr>
                <w:lang w:val="en-GB"/>
              </w:rPr>
            </w:pPr>
            <w:r>
              <w:rPr>
                <w:lang w:val="en-GB"/>
              </w:rPr>
              <w:t>Debt crises in large economies</w:t>
            </w:r>
          </w:p>
        </w:tc>
        <w:tc>
          <w:tcPr>
            <w:tcW w:w="1391" w:type="dxa"/>
          </w:tcPr>
          <w:p w14:paraId="1BFD6EA4" w14:textId="393E5754" w:rsidR="009438B9" w:rsidRPr="00EB2047" w:rsidRDefault="00EB2047" w:rsidP="00917439">
            <w:pPr>
              <w:spacing w:line="240" w:lineRule="auto"/>
              <w:ind w:left="0"/>
              <w:cnfStyle w:val="000000000000" w:firstRow="0" w:lastRow="0" w:firstColumn="0" w:lastColumn="0" w:oddVBand="0" w:evenVBand="0" w:oddHBand="0" w:evenHBand="0" w:firstRowFirstColumn="0" w:firstRowLastColumn="0" w:lastRowFirstColumn="0" w:lastRowLastColumn="0"/>
              <w:rPr>
                <w:lang w:val="en-GB"/>
              </w:rPr>
            </w:pPr>
            <w:r>
              <w:rPr>
                <w:lang w:val="en-GB"/>
              </w:rPr>
              <w:t>Climate action failure</w:t>
            </w:r>
          </w:p>
        </w:tc>
        <w:tc>
          <w:tcPr>
            <w:tcW w:w="1379" w:type="dxa"/>
          </w:tcPr>
          <w:p w14:paraId="648A3ABB" w14:textId="11784483" w:rsidR="009438B9" w:rsidRPr="00163523" w:rsidRDefault="00FB2BB1" w:rsidP="00917439">
            <w:pPr>
              <w:spacing w:line="240" w:lineRule="auto"/>
              <w:ind w:left="0"/>
              <w:cnfStyle w:val="000000000000" w:firstRow="0" w:lastRow="0" w:firstColumn="0" w:lastColumn="0" w:oddVBand="0" w:evenVBand="0" w:oddHBand="0" w:evenHBand="0" w:firstRowFirstColumn="0" w:firstRowLastColumn="0" w:lastRowFirstColumn="0" w:lastRowLastColumn="0"/>
              <w:rPr>
                <w:lang w:val="en-GB"/>
              </w:rPr>
            </w:pPr>
            <w:r>
              <w:rPr>
                <w:lang w:val="en-GB"/>
              </w:rPr>
              <w:t>Asset bubble bursts in large economies</w:t>
            </w:r>
          </w:p>
        </w:tc>
        <w:tc>
          <w:tcPr>
            <w:tcW w:w="1382" w:type="dxa"/>
          </w:tcPr>
          <w:p w14:paraId="2C08EE5E" w14:textId="07879C52" w:rsidR="009438B9" w:rsidRPr="001C1F49" w:rsidRDefault="001C1F49" w:rsidP="00917439">
            <w:pPr>
              <w:spacing w:line="240" w:lineRule="auto"/>
              <w:ind w:left="0"/>
              <w:cnfStyle w:val="000000000000" w:firstRow="0" w:lastRow="0" w:firstColumn="0" w:lastColumn="0" w:oddVBand="0" w:evenVBand="0" w:oddHBand="0" w:evenHBand="0" w:firstRowFirstColumn="0" w:firstRowLastColumn="0" w:lastRowFirstColumn="0" w:lastRowLastColumn="0"/>
              <w:rPr>
                <w:lang w:val="en-GB"/>
              </w:rPr>
            </w:pPr>
            <w:r>
              <w:rPr>
                <w:lang w:val="en-GB"/>
              </w:rPr>
              <w:t>Infectious diseases</w:t>
            </w:r>
          </w:p>
        </w:tc>
      </w:tr>
    </w:tbl>
    <w:p w14:paraId="73A13BCD" w14:textId="77777777" w:rsidR="0057651B" w:rsidRPr="00163523" w:rsidRDefault="0057651B" w:rsidP="0057651B">
      <w:pPr>
        <w:rPr>
          <w:lang w:val="en-GB"/>
        </w:rPr>
      </w:pPr>
    </w:p>
    <w:p w14:paraId="5FA37190" w14:textId="20E0C662" w:rsidR="005111DD" w:rsidRPr="00163523" w:rsidRDefault="006642ED" w:rsidP="00A72563">
      <w:pPr>
        <w:rPr>
          <w:lang w:val="en-GB"/>
        </w:rPr>
      </w:pPr>
      <w:r w:rsidRPr="00163523">
        <w:rPr>
          <w:lang w:val="en-GB"/>
        </w:rPr>
        <w:t xml:space="preserve">The severity of a risk is generally measured by </w:t>
      </w:r>
      <w:r w:rsidR="00582752" w:rsidRPr="00163523">
        <w:rPr>
          <w:lang w:val="en-GB"/>
        </w:rPr>
        <w:t>its</w:t>
      </w:r>
      <w:r w:rsidRPr="00163523">
        <w:rPr>
          <w:lang w:val="en-GB"/>
        </w:rPr>
        <w:t xml:space="preserve"> impact and </w:t>
      </w:r>
      <w:r w:rsidR="008A620B" w:rsidRPr="00163523">
        <w:rPr>
          <w:lang w:val="en-GB"/>
        </w:rPr>
        <w:t>its</w:t>
      </w:r>
      <w:r w:rsidRPr="00163523">
        <w:rPr>
          <w:lang w:val="en-GB"/>
        </w:rPr>
        <w:t xml:space="preserve"> likelihood</w:t>
      </w:r>
      <w:r w:rsidR="006A2605">
        <w:rPr>
          <w:lang w:val="en-GB"/>
        </w:rPr>
        <w:t xml:space="preserve"> </w:t>
      </w:r>
      <w:r w:rsidR="008A620B">
        <w:rPr>
          <w:lang w:val="en-GB"/>
        </w:rPr>
        <w:t xml:space="preserve">as explained </w:t>
      </w:r>
      <w:r w:rsidR="006A2605">
        <w:rPr>
          <w:lang w:val="en-GB"/>
        </w:rPr>
        <w:t>in IEA (2022)</w:t>
      </w:r>
      <w:r w:rsidR="006A2605">
        <w:rPr>
          <w:rStyle w:val="Voetnootmarkering"/>
          <w:lang w:val="en-GB"/>
        </w:rPr>
        <w:footnoteReference w:id="8"/>
      </w:r>
      <w:r w:rsidRPr="00163523">
        <w:rPr>
          <w:lang w:val="en-GB"/>
        </w:rPr>
        <w:t xml:space="preserve">. A </w:t>
      </w:r>
      <w:r w:rsidR="00B14298" w:rsidRPr="00163523">
        <w:rPr>
          <w:lang w:val="en-GB"/>
        </w:rPr>
        <w:t xml:space="preserve">likely risk may not be severe, as long as its impacts are mild. In contrast, a rare risk might have far-reaching consequences in the energy system, </w:t>
      </w:r>
      <w:r w:rsidR="00307D65" w:rsidRPr="00163523">
        <w:rPr>
          <w:lang w:val="en-GB"/>
        </w:rPr>
        <w:t>i</w:t>
      </w:r>
      <w:r w:rsidR="00EF6685" w:rsidRPr="00163523">
        <w:rPr>
          <w:lang w:val="en-GB"/>
        </w:rPr>
        <w:t>f</w:t>
      </w:r>
      <w:r w:rsidR="00B14298" w:rsidRPr="00163523">
        <w:rPr>
          <w:lang w:val="en-GB"/>
        </w:rPr>
        <w:t xml:space="preserve"> it has significant impacts.</w:t>
      </w:r>
      <w:r w:rsidR="000235DC" w:rsidRPr="00163523">
        <w:rPr>
          <w:lang w:val="en-GB"/>
        </w:rPr>
        <w:t xml:space="preserve"> Therefore, it is important to consider both the likelihood as well as </w:t>
      </w:r>
      <w:r w:rsidR="00792842" w:rsidRPr="00163523">
        <w:rPr>
          <w:lang w:val="en-GB"/>
        </w:rPr>
        <w:t xml:space="preserve">the </w:t>
      </w:r>
      <w:r w:rsidR="000235DC" w:rsidRPr="00163523">
        <w:rPr>
          <w:lang w:val="en-GB"/>
        </w:rPr>
        <w:t xml:space="preserve">impacts when assessing risks. </w:t>
      </w:r>
    </w:p>
    <w:p w14:paraId="05B3D5BA" w14:textId="77777777" w:rsidR="005111DD" w:rsidRPr="00163523" w:rsidRDefault="005111DD" w:rsidP="0057651B">
      <w:pPr>
        <w:rPr>
          <w:lang w:val="en-GB"/>
        </w:rPr>
      </w:pPr>
    </w:p>
    <w:p w14:paraId="48A177A9" w14:textId="28184967" w:rsidR="00513D18" w:rsidRDefault="00513D18" w:rsidP="00513D18">
      <w:pPr>
        <w:pStyle w:val="Kop2"/>
      </w:pPr>
      <w:bookmarkStart w:id="19" w:name="_Ref138058953"/>
      <w:bookmarkStart w:id="20" w:name="_Toc138492598"/>
      <w:bookmarkStart w:id="21" w:name="_Toc144803004"/>
      <w:r w:rsidRPr="00CC5DB0">
        <w:t>Selection of key risks</w:t>
      </w:r>
      <w:r>
        <w:t xml:space="preserve"> related to gas decarbonisation scenarios</w:t>
      </w:r>
      <w:bookmarkEnd w:id="19"/>
      <w:bookmarkEnd w:id="20"/>
      <w:bookmarkEnd w:id="21"/>
    </w:p>
    <w:p w14:paraId="4A8B82EB" w14:textId="7452A299" w:rsidR="00572A67" w:rsidRDefault="00057D8A" w:rsidP="00572A67">
      <w:pPr>
        <w:rPr>
          <w:lang w:val="en-GB"/>
        </w:rPr>
      </w:pPr>
      <w:r>
        <w:rPr>
          <w:lang w:val="en-GB"/>
        </w:rPr>
        <w:t xml:space="preserve">Based on a number of studies on risks </w:t>
      </w:r>
      <w:r w:rsidR="00CE6823">
        <w:rPr>
          <w:lang w:val="en-GB"/>
        </w:rPr>
        <w:t xml:space="preserve">and barriers </w:t>
      </w:r>
      <w:r>
        <w:rPr>
          <w:lang w:val="en-GB"/>
        </w:rPr>
        <w:t xml:space="preserve">to the energy system and the overall economy </w:t>
      </w:r>
      <w:r w:rsidR="00134113">
        <w:rPr>
          <w:lang w:val="en-GB"/>
        </w:rPr>
        <w:t>of the Baltic region, the EU and the world more broadly, we identify a long</w:t>
      </w:r>
      <w:r w:rsidR="00337C9F">
        <w:rPr>
          <w:lang w:val="en-GB"/>
        </w:rPr>
        <w:t>-</w:t>
      </w:r>
      <w:r w:rsidR="00134113">
        <w:rPr>
          <w:lang w:val="en-GB"/>
        </w:rPr>
        <w:t xml:space="preserve">list of risks that are potentially relevant for the decarbonisation of the gas system in the </w:t>
      </w:r>
      <w:r w:rsidR="00175559">
        <w:rPr>
          <w:lang w:val="en-GB"/>
        </w:rPr>
        <w:t xml:space="preserve">Baltic </w:t>
      </w:r>
      <w:r w:rsidR="00134113">
        <w:rPr>
          <w:lang w:val="en-GB"/>
        </w:rPr>
        <w:t>region. The sources employed comprise:</w:t>
      </w:r>
    </w:p>
    <w:p w14:paraId="6BD1AE6E" w14:textId="3A780778" w:rsidR="00134113" w:rsidRPr="00163523" w:rsidRDefault="00134113" w:rsidP="00307CBD">
      <w:pPr>
        <w:pStyle w:val="ChecklistBulletpoint"/>
        <w:numPr>
          <w:ilvl w:val="0"/>
          <w:numId w:val="13"/>
        </w:numPr>
        <w:rPr>
          <w:lang w:val="en-GB"/>
        </w:rPr>
      </w:pPr>
      <w:r w:rsidRPr="00163523">
        <w:rPr>
          <w:lang w:val="en-GB"/>
        </w:rPr>
        <w:t>World Economic Forum</w:t>
      </w:r>
      <w:r w:rsidRPr="004B0C45">
        <w:rPr>
          <w:lang w:val="en-GB"/>
        </w:rPr>
        <w:t xml:space="preserve"> (2022)</w:t>
      </w:r>
      <w:r w:rsidRPr="00163523">
        <w:rPr>
          <w:lang w:val="en-GB"/>
        </w:rPr>
        <w:t xml:space="preserve"> </w:t>
      </w:r>
      <w:r w:rsidRPr="004B0C45">
        <w:rPr>
          <w:lang w:val="en-GB"/>
        </w:rPr>
        <w:t xml:space="preserve">The </w:t>
      </w:r>
      <w:r w:rsidRPr="00163523">
        <w:rPr>
          <w:lang w:val="en-GB"/>
        </w:rPr>
        <w:t>Global Risks Report</w:t>
      </w:r>
      <w:r w:rsidRPr="004B0C45">
        <w:rPr>
          <w:lang w:val="en-GB"/>
        </w:rPr>
        <w:t xml:space="preserve"> 2022 – Insight report</w:t>
      </w:r>
    </w:p>
    <w:p w14:paraId="10268BA0" w14:textId="43892C62" w:rsidR="005E36D8" w:rsidRPr="00163523" w:rsidRDefault="005E36D8" w:rsidP="00307CBD">
      <w:pPr>
        <w:pStyle w:val="ChecklistBulletpoint"/>
        <w:numPr>
          <w:ilvl w:val="0"/>
          <w:numId w:val="13"/>
        </w:numPr>
        <w:rPr>
          <w:lang w:val="en-GB"/>
        </w:rPr>
      </w:pPr>
      <w:r w:rsidRPr="00163523">
        <w:rPr>
          <w:lang w:val="en-GB"/>
        </w:rPr>
        <w:t xml:space="preserve">Trinomics (2022) </w:t>
      </w:r>
      <w:r w:rsidR="00923439" w:rsidRPr="00163523">
        <w:rPr>
          <w:lang w:val="en-GB"/>
        </w:rPr>
        <w:t>Transitioning to a climate neutral electricity generation</w:t>
      </w:r>
      <w:r w:rsidR="00923439">
        <w:rPr>
          <w:lang w:val="en-GB"/>
        </w:rPr>
        <w:t xml:space="preserve">. </w:t>
      </w:r>
      <w:r w:rsidRPr="00163523">
        <w:rPr>
          <w:lang w:val="en-GB"/>
        </w:rPr>
        <w:t>Deliverable 5 Report: Risk analysis of climate</w:t>
      </w:r>
      <w:r w:rsidR="00E37A72" w:rsidRPr="00163523">
        <w:rPr>
          <w:lang w:val="en-GB"/>
        </w:rPr>
        <w:t>-</w:t>
      </w:r>
      <w:r w:rsidRPr="00163523">
        <w:rPr>
          <w:lang w:val="en-GB"/>
        </w:rPr>
        <w:t>neutral pathways</w:t>
      </w:r>
    </w:p>
    <w:p w14:paraId="465631E9" w14:textId="77777777" w:rsidR="005E36D8" w:rsidRPr="00163523" w:rsidRDefault="005E36D8" w:rsidP="00307CBD">
      <w:pPr>
        <w:pStyle w:val="ChecklistBulletpoint"/>
        <w:numPr>
          <w:ilvl w:val="0"/>
          <w:numId w:val="13"/>
        </w:numPr>
        <w:rPr>
          <w:lang w:val="en-GB"/>
        </w:rPr>
      </w:pPr>
      <w:r w:rsidRPr="00163523">
        <w:rPr>
          <w:lang w:val="en-GB"/>
        </w:rPr>
        <w:lastRenderedPageBreak/>
        <w:t xml:space="preserve">Trinomics, </w:t>
      </w:r>
      <w:proofErr w:type="spellStart"/>
      <w:r w:rsidRPr="00163523">
        <w:rPr>
          <w:lang w:val="en-GB"/>
        </w:rPr>
        <w:t>Pilvero</w:t>
      </w:r>
      <w:proofErr w:type="spellEnd"/>
      <w:r w:rsidRPr="00163523">
        <w:rPr>
          <w:lang w:val="en-GB"/>
        </w:rPr>
        <w:t xml:space="preserve">, </w:t>
      </w:r>
      <w:proofErr w:type="spellStart"/>
      <w:r w:rsidRPr="00163523">
        <w:rPr>
          <w:lang w:val="en-GB"/>
        </w:rPr>
        <w:t>Finantsakadeemia</w:t>
      </w:r>
      <w:proofErr w:type="spellEnd"/>
      <w:r w:rsidRPr="00163523">
        <w:rPr>
          <w:lang w:val="en-GB"/>
        </w:rPr>
        <w:t>, SEI (2022) Transitioning to carbon neutral heating and cooling in Estonia by 2050 - Socioeconomic impact assessment, risk and sensitivity analysis report</w:t>
      </w:r>
    </w:p>
    <w:p w14:paraId="6AE142D8" w14:textId="114580A8" w:rsidR="00C00F70" w:rsidRPr="00163523" w:rsidRDefault="00C00F70" w:rsidP="00307CBD">
      <w:pPr>
        <w:pStyle w:val="ChecklistBulletpoint"/>
        <w:numPr>
          <w:ilvl w:val="0"/>
          <w:numId w:val="13"/>
        </w:numPr>
        <w:rPr>
          <w:lang w:val="en-GB"/>
        </w:rPr>
      </w:pPr>
      <w:r w:rsidRPr="00163523">
        <w:rPr>
          <w:lang w:val="en-GB"/>
        </w:rPr>
        <w:t>Trinomics and Artelys (2021) Study on the resilience of critical supply chains for energy security and clean energy transition during and after the COVID-19 crisis</w:t>
      </w:r>
    </w:p>
    <w:p w14:paraId="1B27F333" w14:textId="1085324B" w:rsidR="008136C4" w:rsidRPr="00163523" w:rsidRDefault="008136C4" w:rsidP="008136C4">
      <w:pPr>
        <w:pStyle w:val="Lijstalinea"/>
        <w:numPr>
          <w:ilvl w:val="0"/>
          <w:numId w:val="13"/>
        </w:numPr>
        <w:rPr>
          <w:rFonts w:ascii="Calibri" w:hAnsi="Calibri"/>
          <w:sz w:val="22"/>
        </w:rPr>
      </w:pPr>
      <w:r w:rsidRPr="00163523">
        <w:t xml:space="preserve">Oxford Institute </w:t>
      </w:r>
      <w:r w:rsidR="008637D3" w:rsidRPr="00163523">
        <w:t>(</w:t>
      </w:r>
      <w:r w:rsidRPr="00163523">
        <w:t>2019</w:t>
      </w:r>
      <w:r w:rsidR="008637D3" w:rsidRPr="00163523">
        <w:t>)</w:t>
      </w:r>
      <w:r w:rsidRPr="00163523">
        <w:t xml:space="preserve"> Narratives for Natural Gas in Decarbonising European Energy Markets</w:t>
      </w:r>
      <w:r w:rsidR="00CF68C4" w:rsidRPr="00163523">
        <w:rPr>
          <w:rStyle w:val="Voetnootmarkering"/>
        </w:rPr>
        <w:footnoteReference w:id="9"/>
      </w:r>
    </w:p>
    <w:p w14:paraId="4D4872CE" w14:textId="1C217D95" w:rsidR="008136C4" w:rsidRPr="00163523" w:rsidRDefault="008136C4" w:rsidP="00E572C1">
      <w:pPr>
        <w:pStyle w:val="ChecklistBulletpoint"/>
        <w:numPr>
          <w:ilvl w:val="0"/>
          <w:numId w:val="13"/>
        </w:numPr>
        <w:rPr>
          <w:lang w:val="en-GB"/>
        </w:rPr>
      </w:pPr>
      <w:r w:rsidRPr="00163523">
        <w:rPr>
          <w:lang w:val="en-GB"/>
        </w:rPr>
        <w:t xml:space="preserve">E3G </w:t>
      </w:r>
      <w:r w:rsidR="008637D3" w:rsidRPr="00163523">
        <w:rPr>
          <w:lang w:val="en-GB"/>
        </w:rPr>
        <w:t>(</w:t>
      </w:r>
      <w:r w:rsidRPr="00163523">
        <w:rPr>
          <w:lang w:val="en-GB"/>
        </w:rPr>
        <w:t>2020</w:t>
      </w:r>
      <w:r w:rsidR="008637D3" w:rsidRPr="00163523">
        <w:rPr>
          <w:lang w:val="en-GB"/>
        </w:rPr>
        <w:t>)</w:t>
      </w:r>
      <w:r w:rsidRPr="00163523">
        <w:rPr>
          <w:lang w:val="en-GB"/>
        </w:rPr>
        <w:t xml:space="preserve"> P</w:t>
      </w:r>
      <w:r w:rsidR="000C2532" w:rsidRPr="00163523">
        <w:rPr>
          <w:lang w:val="en-GB"/>
        </w:rPr>
        <w:t xml:space="preserve">athway to a climate neutral </w:t>
      </w:r>
      <w:r w:rsidRPr="00163523">
        <w:rPr>
          <w:lang w:val="en-GB"/>
        </w:rPr>
        <w:t>2050: F</w:t>
      </w:r>
      <w:r w:rsidR="000C2532" w:rsidRPr="00163523">
        <w:rPr>
          <w:lang w:val="en-GB"/>
        </w:rPr>
        <w:t>inancial risks for gas investments in Europe</w:t>
      </w:r>
      <w:r w:rsidR="005B3FE5" w:rsidRPr="00163523">
        <w:rPr>
          <w:rStyle w:val="Voetnootmarkering"/>
          <w:lang w:val="en-GB"/>
        </w:rPr>
        <w:footnoteReference w:id="10"/>
      </w:r>
      <w:r w:rsidRPr="00163523">
        <w:rPr>
          <w:lang w:val="en-GB"/>
        </w:rPr>
        <w:t xml:space="preserve"> </w:t>
      </w:r>
    </w:p>
    <w:p w14:paraId="24999103" w14:textId="77777777" w:rsidR="00572A67" w:rsidRDefault="00572A67" w:rsidP="00572A67">
      <w:pPr>
        <w:rPr>
          <w:lang w:val="en-GB"/>
        </w:rPr>
      </w:pPr>
    </w:p>
    <w:p w14:paraId="6723DA2C" w14:textId="56AB6A06" w:rsidR="00CE6823" w:rsidRDefault="00DB0B05" w:rsidP="00572A67">
      <w:pPr>
        <w:rPr>
          <w:lang w:val="en-GB"/>
        </w:rPr>
      </w:pPr>
      <w:r>
        <w:rPr>
          <w:lang w:val="en-GB"/>
        </w:rPr>
        <w:t>Based on th</w:t>
      </w:r>
      <w:r w:rsidR="0024510B">
        <w:rPr>
          <w:lang w:val="en-GB"/>
        </w:rPr>
        <w:t>ese documents</w:t>
      </w:r>
      <w:r w:rsidR="0061523E">
        <w:rPr>
          <w:lang w:val="en-GB"/>
        </w:rPr>
        <w:t xml:space="preserve"> (numbered 1-6 in the list below)</w:t>
      </w:r>
      <w:r w:rsidR="0024510B">
        <w:rPr>
          <w:lang w:val="en-GB"/>
        </w:rPr>
        <w:t xml:space="preserve">, </w:t>
      </w:r>
      <w:r w:rsidR="00513D18">
        <w:rPr>
          <w:lang w:val="en-GB"/>
        </w:rPr>
        <w:t>a</w:t>
      </w:r>
      <w:r w:rsidR="0024510B">
        <w:rPr>
          <w:lang w:val="en-GB"/>
        </w:rPr>
        <w:t xml:space="preserve"> long</w:t>
      </w:r>
      <w:r w:rsidR="00337C9F">
        <w:rPr>
          <w:lang w:val="en-GB"/>
        </w:rPr>
        <w:t>-</w:t>
      </w:r>
      <w:r w:rsidR="0024510B">
        <w:rPr>
          <w:lang w:val="en-GB"/>
        </w:rPr>
        <w:t>list of risks has been identified</w:t>
      </w:r>
      <w:r w:rsidR="00513D18">
        <w:rPr>
          <w:lang w:val="en-GB"/>
        </w:rPr>
        <w:t xml:space="preserve"> as presented in </w:t>
      </w:r>
      <w:r w:rsidR="00513D18">
        <w:rPr>
          <w:lang w:val="en-GB"/>
        </w:rPr>
        <w:fldChar w:fldCharType="begin"/>
      </w:r>
      <w:r w:rsidR="00513D18">
        <w:rPr>
          <w:lang w:val="en-GB"/>
        </w:rPr>
        <w:instrText xml:space="preserve"> REF _Ref137798898 \h </w:instrText>
      </w:r>
      <w:r w:rsidR="00513D18">
        <w:rPr>
          <w:lang w:val="en-GB"/>
        </w:rPr>
      </w:r>
      <w:r w:rsidR="00513D18">
        <w:rPr>
          <w:lang w:val="en-GB"/>
        </w:rPr>
        <w:fldChar w:fldCharType="separate"/>
      </w:r>
      <w:r w:rsidR="00513D18" w:rsidRPr="00163523">
        <w:rPr>
          <w:lang w:val="en-GB"/>
        </w:rPr>
        <w:t>Table 2</w:t>
      </w:r>
      <w:r w:rsidR="00513D18" w:rsidRPr="00163523">
        <w:rPr>
          <w:lang w:val="en-GB"/>
        </w:rPr>
        <w:noBreakHyphen/>
        <w:t>3</w:t>
      </w:r>
      <w:r w:rsidR="00513D18">
        <w:rPr>
          <w:lang w:val="en-GB"/>
        </w:rPr>
        <w:fldChar w:fldCharType="end"/>
      </w:r>
      <w:r w:rsidR="00513D18">
        <w:rPr>
          <w:lang w:val="en-GB"/>
        </w:rPr>
        <w:t>.</w:t>
      </w:r>
    </w:p>
    <w:p w14:paraId="0ECF7233" w14:textId="77777777" w:rsidR="00CA33CE" w:rsidRDefault="00CA33CE" w:rsidP="00572A67">
      <w:pPr>
        <w:rPr>
          <w:lang w:val="en-GB"/>
        </w:rPr>
      </w:pPr>
    </w:p>
    <w:p w14:paraId="4C7FF28D" w14:textId="20CAD995" w:rsidR="00CA33CE" w:rsidRPr="00163523" w:rsidRDefault="00CA33CE" w:rsidP="00E66B9F">
      <w:pPr>
        <w:pStyle w:val="Bijschrift"/>
        <w:ind w:left="0"/>
        <w:rPr>
          <w:lang w:val="en-GB"/>
        </w:rPr>
      </w:pPr>
      <w:bookmarkStart w:id="22" w:name="_Ref137798898"/>
      <w:r w:rsidRPr="00163523">
        <w:rPr>
          <w:lang w:val="en-GB"/>
        </w:rPr>
        <w:lastRenderedPageBreak/>
        <w:t xml:space="preserve">Table </w:t>
      </w:r>
      <w:r w:rsidR="008962EB" w:rsidRPr="00163523">
        <w:rPr>
          <w:lang w:val="en-GB"/>
        </w:rPr>
        <w:fldChar w:fldCharType="begin"/>
      </w:r>
      <w:r w:rsidR="008962EB" w:rsidRPr="00163523">
        <w:rPr>
          <w:lang w:val="en-GB"/>
        </w:rPr>
        <w:instrText xml:space="preserve"> STYLEREF 1 \s </w:instrText>
      </w:r>
      <w:r w:rsidR="008962EB" w:rsidRPr="00163523">
        <w:rPr>
          <w:lang w:val="en-GB"/>
        </w:rPr>
        <w:fldChar w:fldCharType="separate"/>
      </w:r>
      <w:r w:rsidR="008962EB" w:rsidRPr="00163523">
        <w:rPr>
          <w:lang w:val="en-GB"/>
        </w:rPr>
        <w:t>2</w:t>
      </w:r>
      <w:r w:rsidR="008962EB" w:rsidRPr="00163523">
        <w:rPr>
          <w:lang w:val="en-GB"/>
        </w:rPr>
        <w:fldChar w:fldCharType="end"/>
      </w:r>
      <w:r w:rsidR="008962EB" w:rsidRPr="00163523">
        <w:rPr>
          <w:lang w:val="en-GB"/>
        </w:rPr>
        <w:noBreakHyphen/>
      </w:r>
      <w:r w:rsidR="008962EB" w:rsidRPr="00163523">
        <w:rPr>
          <w:lang w:val="en-GB"/>
        </w:rPr>
        <w:fldChar w:fldCharType="begin"/>
      </w:r>
      <w:r w:rsidR="008962EB" w:rsidRPr="00163523">
        <w:rPr>
          <w:lang w:val="en-GB"/>
        </w:rPr>
        <w:instrText xml:space="preserve"> SEQ Table \* ARABIC \s 1 </w:instrText>
      </w:r>
      <w:r w:rsidR="008962EB" w:rsidRPr="00163523">
        <w:rPr>
          <w:lang w:val="en-GB"/>
        </w:rPr>
        <w:fldChar w:fldCharType="separate"/>
      </w:r>
      <w:r w:rsidR="008962EB" w:rsidRPr="00163523">
        <w:rPr>
          <w:lang w:val="en-GB"/>
        </w:rPr>
        <w:t>3</w:t>
      </w:r>
      <w:r w:rsidR="008962EB" w:rsidRPr="00163523">
        <w:rPr>
          <w:lang w:val="en-GB"/>
        </w:rPr>
        <w:fldChar w:fldCharType="end"/>
      </w:r>
      <w:bookmarkEnd w:id="22"/>
      <w:r>
        <w:rPr>
          <w:lang w:val="en-GB"/>
        </w:rPr>
        <w:t xml:space="preserve"> Long-list of risks identified in the literature</w:t>
      </w:r>
    </w:p>
    <w:tbl>
      <w:tblPr>
        <w:tblStyle w:val="Table1"/>
        <w:tblW w:w="10156" w:type="dxa"/>
        <w:tblInd w:w="-567" w:type="dxa"/>
        <w:tblLook w:val="04A0" w:firstRow="1" w:lastRow="0" w:firstColumn="1" w:lastColumn="0" w:noHBand="0" w:noVBand="1"/>
      </w:tblPr>
      <w:tblGrid>
        <w:gridCol w:w="1445"/>
        <w:gridCol w:w="4649"/>
        <w:gridCol w:w="677"/>
        <w:gridCol w:w="677"/>
        <w:gridCol w:w="677"/>
        <w:gridCol w:w="677"/>
        <w:gridCol w:w="677"/>
        <w:gridCol w:w="677"/>
      </w:tblGrid>
      <w:tr w:rsidR="001003D0" w:rsidRPr="008937D9" w14:paraId="7CE8A198" w14:textId="2ACE90DA" w:rsidTr="00E66B9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5" w:type="dxa"/>
          </w:tcPr>
          <w:p w14:paraId="5B451E72" w14:textId="77777777" w:rsidR="005E36D8" w:rsidRPr="008937D9" w:rsidRDefault="005E36D8" w:rsidP="0005079F">
            <w:pPr>
              <w:keepNext/>
              <w:spacing w:line="240" w:lineRule="auto"/>
              <w:ind w:left="0"/>
              <w:rPr>
                <w:lang w:val="en-GB"/>
              </w:rPr>
            </w:pPr>
            <w:r>
              <w:rPr>
                <w:lang w:val="en-GB"/>
              </w:rPr>
              <w:t>Category</w:t>
            </w:r>
          </w:p>
        </w:tc>
        <w:tc>
          <w:tcPr>
            <w:tcW w:w="4649" w:type="dxa"/>
            <w:noWrap/>
          </w:tcPr>
          <w:p w14:paraId="05ADF04E" w14:textId="77777777" w:rsidR="005E36D8" w:rsidRPr="008937D9" w:rsidRDefault="005E36D8" w:rsidP="0005079F">
            <w:pPr>
              <w:keepNext/>
              <w:spacing w:line="240" w:lineRule="auto"/>
              <w:ind w:left="0"/>
              <w:cnfStyle w:val="100000000000" w:firstRow="1" w:lastRow="0" w:firstColumn="0" w:lastColumn="0" w:oddVBand="0" w:evenVBand="0" w:oddHBand="0" w:evenHBand="0" w:firstRowFirstColumn="0" w:firstRowLastColumn="0" w:lastRowFirstColumn="0" w:lastRowLastColumn="0"/>
              <w:rPr>
                <w:lang w:val="en-GB"/>
              </w:rPr>
            </w:pPr>
            <w:r>
              <w:rPr>
                <w:lang w:val="en-GB"/>
              </w:rPr>
              <w:t>Risk</w:t>
            </w:r>
          </w:p>
        </w:tc>
        <w:tc>
          <w:tcPr>
            <w:tcW w:w="677" w:type="dxa"/>
          </w:tcPr>
          <w:p w14:paraId="053207A0" w14:textId="5B7F8676" w:rsidR="005E36D8" w:rsidRDefault="005E36D8" w:rsidP="0005079F">
            <w:pPr>
              <w:keepNext/>
              <w:spacing w:line="240" w:lineRule="auto"/>
              <w:ind w:left="0"/>
              <w:cnfStyle w:val="100000000000" w:firstRow="1" w:lastRow="0" w:firstColumn="0" w:lastColumn="0" w:oddVBand="0" w:evenVBand="0" w:oddHBand="0" w:evenHBand="0" w:firstRowFirstColumn="0" w:firstRowLastColumn="0" w:lastRowFirstColumn="0" w:lastRowLastColumn="0"/>
              <w:rPr>
                <w:lang w:val="en-GB"/>
              </w:rPr>
            </w:pPr>
            <w:r>
              <w:rPr>
                <w:lang w:val="en-GB"/>
              </w:rPr>
              <w:t>[1]</w:t>
            </w:r>
          </w:p>
        </w:tc>
        <w:tc>
          <w:tcPr>
            <w:tcW w:w="677" w:type="dxa"/>
          </w:tcPr>
          <w:p w14:paraId="7B12ECF5" w14:textId="57613D61" w:rsidR="005E36D8" w:rsidRDefault="00923439" w:rsidP="0005079F">
            <w:pPr>
              <w:keepNext/>
              <w:spacing w:line="240" w:lineRule="auto"/>
              <w:ind w:left="0"/>
              <w:cnfStyle w:val="100000000000" w:firstRow="1" w:lastRow="0" w:firstColumn="0" w:lastColumn="0" w:oddVBand="0" w:evenVBand="0" w:oddHBand="0" w:evenHBand="0" w:firstRowFirstColumn="0" w:firstRowLastColumn="0" w:lastRowFirstColumn="0" w:lastRowLastColumn="0"/>
              <w:rPr>
                <w:lang w:val="en-GB"/>
              </w:rPr>
            </w:pPr>
            <w:r>
              <w:rPr>
                <w:lang w:val="en-GB"/>
              </w:rPr>
              <w:t>[2]</w:t>
            </w:r>
          </w:p>
        </w:tc>
        <w:tc>
          <w:tcPr>
            <w:tcW w:w="677" w:type="dxa"/>
          </w:tcPr>
          <w:p w14:paraId="3F303899" w14:textId="3BA37782" w:rsidR="005E36D8" w:rsidRDefault="00923439" w:rsidP="0005079F">
            <w:pPr>
              <w:keepNext/>
              <w:spacing w:line="240" w:lineRule="auto"/>
              <w:ind w:left="0"/>
              <w:cnfStyle w:val="100000000000" w:firstRow="1" w:lastRow="0" w:firstColumn="0" w:lastColumn="0" w:oddVBand="0" w:evenVBand="0" w:oddHBand="0" w:evenHBand="0" w:firstRowFirstColumn="0" w:firstRowLastColumn="0" w:lastRowFirstColumn="0" w:lastRowLastColumn="0"/>
              <w:rPr>
                <w:lang w:val="en-GB"/>
              </w:rPr>
            </w:pPr>
            <w:r>
              <w:rPr>
                <w:lang w:val="en-GB"/>
              </w:rPr>
              <w:t>[3]</w:t>
            </w:r>
          </w:p>
        </w:tc>
        <w:tc>
          <w:tcPr>
            <w:tcW w:w="677" w:type="dxa"/>
          </w:tcPr>
          <w:p w14:paraId="1AB28262" w14:textId="71363040" w:rsidR="005E36D8" w:rsidRDefault="00923439" w:rsidP="0005079F">
            <w:pPr>
              <w:keepNext/>
              <w:spacing w:line="240" w:lineRule="auto"/>
              <w:ind w:left="0"/>
              <w:cnfStyle w:val="100000000000" w:firstRow="1" w:lastRow="0" w:firstColumn="0" w:lastColumn="0" w:oddVBand="0" w:evenVBand="0" w:oddHBand="0" w:evenHBand="0" w:firstRowFirstColumn="0" w:firstRowLastColumn="0" w:lastRowFirstColumn="0" w:lastRowLastColumn="0"/>
              <w:rPr>
                <w:lang w:val="en-GB"/>
              </w:rPr>
            </w:pPr>
            <w:r>
              <w:rPr>
                <w:lang w:val="en-GB"/>
              </w:rPr>
              <w:t>[4]</w:t>
            </w:r>
          </w:p>
        </w:tc>
        <w:tc>
          <w:tcPr>
            <w:tcW w:w="677" w:type="dxa"/>
          </w:tcPr>
          <w:p w14:paraId="4052427C" w14:textId="2509AAE6" w:rsidR="00F37E33" w:rsidRDefault="00F37E33" w:rsidP="0005079F">
            <w:pPr>
              <w:keepNext/>
              <w:spacing w:line="240" w:lineRule="auto"/>
              <w:ind w:left="0"/>
              <w:cnfStyle w:val="100000000000" w:firstRow="1" w:lastRow="0" w:firstColumn="0" w:lastColumn="0" w:oddVBand="0" w:evenVBand="0" w:oddHBand="0" w:evenHBand="0" w:firstRowFirstColumn="0" w:firstRowLastColumn="0" w:lastRowFirstColumn="0" w:lastRowLastColumn="0"/>
              <w:rPr>
                <w:lang w:val="en-GB"/>
              </w:rPr>
            </w:pPr>
            <w:r>
              <w:rPr>
                <w:lang w:val="en-GB"/>
              </w:rPr>
              <w:t>[5]</w:t>
            </w:r>
          </w:p>
        </w:tc>
        <w:tc>
          <w:tcPr>
            <w:tcW w:w="677" w:type="dxa"/>
          </w:tcPr>
          <w:p w14:paraId="5A3BB041" w14:textId="0E630E21" w:rsidR="00F37E33" w:rsidRDefault="00F37E33" w:rsidP="0005079F">
            <w:pPr>
              <w:keepNext/>
              <w:spacing w:line="240" w:lineRule="auto"/>
              <w:ind w:left="0"/>
              <w:cnfStyle w:val="100000000000" w:firstRow="1" w:lastRow="0" w:firstColumn="0" w:lastColumn="0" w:oddVBand="0" w:evenVBand="0" w:oddHBand="0" w:evenHBand="0" w:firstRowFirstColumn="0" w:firstRowLastColumn="0" w:lastRowFirstColumn="0" w:lastRowLastColumn="0"/>
              <w:rPr>
                <w:lang w:val="en-GB"/>
              </w:rPr>
            </w:pPr>
            <w:r>
              <w:rPr>
                <w:lang w:val="en-GB"/>
              </w:rPr>
              <w:t>[6]</w:t>
            </w:r>
          </w:p>
        </w:tc>
      </w:tr>
      <w:tr w:rsidR="00C002FA" w:rsidRPr="00F8149B" w14:paraId="6D8203B6" w14:textId="6F141C95" w:rsidTr="00E66B9F">
        <w:trPr>
          <w:trHeight w:val="300"/>
        </w:trPr>
        <w:tc>
          <w:tcPr>
            <w:cnfStyle w:val="001000000000" w:firstRow="0" w:lastRow="0" w:firstColumn="1" w:lastColumn="0" w:oddVBand="0" w:evenVBand="0" w:oddHBand="0" w:evenHBand="0" w:firstRowFirstColumn="0" w:firstRowLastColumn="0" w:lastRowFirstColumn="0" w:lastRowLastColumn="0"/>
            <w:tcW w:w="1445" w:type="dxa"/>
            <w:vMerge w:val="restart"/>
          </w:tcPr>
          <w:p w14:paraId="038C4C71" w14:textId="77777777" w:rsidR="00C002FA" w:rsidRPr="00163523" w:rsidRDefault="00C002FA" w:rsidP="0005079F">
            <w:pPr>
              <w:keepNext/>
              <w:spacing w:line="240" w:lineRule="auto"/>
              <w:ind w:left="0"/>
              <w:rPr>
                <w:b/>
                <w:lang w:val="en-GB"/>
              </w:rPr>
            </w:pPr>
            <w:r w:rsidRPr="00163523">
              <w:rPr>
                <w:b/>
                <w:lang w:val="en-GB"/>
              </w:rPr>
              <w:t>Economic</w:t>
            </w:r>
          </w:p>
        </w:tc>
        <w:tc>
          <w:tcPr>
            <w:tcW w:w="4649" w:type="dxa"/>
            <w:noWrap/>
          </w:tcPr>
          <w:p w14:paraId="385D4738" w14:textId="293295A0" w:rsidR="00C002FA" w:rsidRPr="00CE2B86" w:rsidRDefault="00C002FA" w:rsidP="0005079F">
            <w:pPr>
              <w:keepNext/>
              <w:spacing w:line="240" w:lineRule="auto"/>
              <w:ind w:left="0"/>
              <w:jc w:val="left"/>
              <w:cnfStyle w:val="000000000000" w:firstRow="0" w:lastRow="0" w:firstColumn="0" w:lastColumn="0" w:oddVBand="0" w:evenVBand="0" w:oddHBand="0" w:evenHBand="0" w:firstRowFirstColumn="0" w:firstRowLastColumn="0" w:lastRowFirstColumn="0" w:lastRowLastColumn="0"/>
              <w:rPr>
                <w:lang w:val="en-GB"/>
              </w:rPr>
            </w:pPr>
            <w:r w:rsidRPr="00790481">
              <w:rPr>
                <w:lang w:val="en-GB"/>
              </w:rPr>
              <w:t>EU or global economic crisis results in market volatility and limited spending potential</w:t>
            </w:r>
          </w:p>
        </w:tc>
        <w:tc>
          <w:tcPr>
            <w:tcW w:w="677" w:type="dxa"/>
          </w:tcPr>
          <w:p w14:paraId="3665F8B6" w14:textId="7C825DCE" w:rsidR="00C002FA" w:rsidRPr="00C002FA" w:rsidRDefault="00C002FA" w:rsidP="0005079F">
            <w:pPr>
              <w:keepNext/>
              <w:spacing w:line="240" w:lineRule="auto"/>
              <w:ind w:left="0"/>
              <w:cnfStyle w:val="000000000000" w:firstRow="0" w:lastRow="0" w:firstColumn="0" w:lastColumn="0" w:oddVBand="0" w:evenVBand="0" w:oddHBand="0" w:evenHBand="0" w:firstRowFirstColumn="0" w:firstRowLastColumn="0" w:lastRowFirstColumn="0" w:lastRowLastColumn="0"/>
              <w:rPr>
                <w:b/>
                <w:bCs/>
                <w:lang w:val="en-GB"/>
              </w:rPr>
            </w:pPr>
            <w:r w:rsidRPr="00C002FA">
              <w:rPr>
                <w:rFonts w:ascii="Wingdings" w:eastAsia="Wingdings" w:hAnsi="Wingdings" w:cs="Wingdings"/>
                <w:b/>
                <w:lang w:val="en-GB"/>
              </w:rPr>
              <w:sym w:font="Wingdings" w:char="F0FC"/>
            </w:r>
          </w:p>
        </w:tc>
        <w:tc>
          <w:tcPr>
            <w:tcW w:w="677" w:type="dxa"/>
          </w:tcPr>
          <w:p w14:paraId="5486AEC7" w14:textId="3CE299C2" w:rsidR="00C002FA" w:rsidRPr="00C002FA" w:rsidRDefault="00C002FA" w:rsidP="0005079F">
            <w:pPr>
              <w:keepNext/>
              <w:spacing w:line="240" w:lineRule="auto"/>
              <w:ind w:left="0"/>
              <w:cnfStyle w:val="000000000000" w:firstRow="0" w:lastRow="0" w:firstColumn="0" w:lastColumn="0" w:oddVBand="0" w:evenVBand="0" w:oddHBand="0" w:evenHBand="0" w:firstRowFirstColumn="0" w:firstRowLastColumn="0" w:lastRowFirstColumn="0" w:lastRowLastColumn="0"/>
              <w:rPr>
                <w:b/>
                <w:bCs/>
                <w:lang w:val="en-GB"/>
              </w:rPr>
            </w:pPr>
            <w:r w:rsidRPr="00C002FA">
              <w:rPr>
                <w:rFonts w:ascii="Wingdings" w:eastAsia="Wingdings" w:hAnsi="Wingdings" w:cs="Wingdings"/>
                <w:b/>
                <w:lang w:val="en-GB"/>
              </w:rPr>
              <w:sym w:font="Wingdings" w:char="F0FC"/>
            </w:r>
          </w:p>
        </w:tc>
        <w:tc>
          <w:tcPr>
            <w:tcW w:w="677" w:type="dxa"/>
          </w:tcPr>
          <w:p w14:paraId="6595A39F" w14:textId="24F11C3A" w:rsidR="00C002FA" w:rsidRPr="00C002FA" w:rsidRDefault="00C002FA" w:rsidP="0005079F">
            <w:pPr>
              <w:keepNext/>
              <w:spacing w:line="240" w:lineRule="auto"/>
              <w:ind w:left="0"/>
              <w:cnfStyle w:val="000000000000" w:firstRow="0" w:lastRow="0" w:firstColumn="0" w:lastColumn="0" w:oddVBand="0" w:evenVBand="0" w:oddHBand="0" w:evenHBand="0" w:firstRowFirstColumn="0" w:firstRowLastColumn="0" w:lastRowFirstColumn="0" w:lastRowLastColumn="0"/>
              <w:rPr>
                <w:b/>
                <w:bCs/>
                <w:lang w:val="en-GB"/>
              </w:rPr>
            </w:pPr>
            <w:r w:rsidRPr="00C002FA">
              <w:rPr>
                <w:rFonts w:ascii="Wingdings" w:eastAsia="Wingdings" w:hAnsi="Wingdings" w:cs="Wingdings"/>
                <w:b/>
                <w:lang w:val="en-GB"/>
              </w:rPr>
              <w:sym w:font="Wingdings" w:char="F0FC"/>
            </w:r>
          </w:p>
        </w:tc>
        <w:tc>
          <w:tcPr>
            <w:tcW w:w="677" w:type="dxa"/>
          </w:tcPr>
          <w:p w14:paraId="620C76C2" w14:textId="77777777" w:rsidR="00C002FA" w:rsidRPr="00C002FA" w:rsidRDefault="00C002FA" w:rsidP="0005079F">
            <w:pPr>
              <w:keepNext/>
              <w:spacing w:line="240" w:lineRule="auto"/>
              <w:ind w:left="0"/>
              <w:cnfStyle w:val="000000000000" w:firstRow="0" w:lastRow="0" w:firstColumn="0" w:lastColumn="0" w:oddVBand="0" w:evenVBand="0" w:oddHBand="0" w:evenHBand="0" w:firstRowFirstColumn="0" w:firstRowLastColumn="0" w:lastRowFirstColumn="0" w:lastRowLastColumn="0"/>
              <w:rPr>
                <w:b/>
                <w:bCs/>
                <w:lang w:val="en-GB"/>
              </w:rPr>
            </w:pPr>
          </w:p>
        </w:tc>
        <w:tc>
          <w:tcPr>
            <w:tcW w:w="677" w:type="dxa"/>
          </w:tcPr>
          <w:p w14:paraId="4DC3172B" w14:textId="77777777" w:rsidR="00F37E33" w:rsidRPr="00C002FA" w:rsidRDefault="00F37E33" w:rsidP="0005079F">
            <w:pPr>
              <w:keepNext/>
              <w:spacing w:line="240" w:lineRule="auto"/>
              <w:ind w:left="0"/>
              <w:cnfStyle w:val="000000000000" w:firstRow="0" w:lastRow="0" w:firstColumn="0" w:lastColumn="0" w:oddVBand="0" w:evenVBand="0" w:oddHBand="0" w:evenHBand="0" w:firstRowFirstColumn="0" w:firstRowLastColumn="0" w:lastRowFirstColumn="0" w:lastRowLastColumn="0"/>
              <w:rPr>
                <w:b/>
                <w:bCs/>
                <w:lang w:val="en-GB"/>
              </w:rPr>
            </w:pPr>
          </w:p>
        </w:tc>
        <w:tc>
          <w:tcPr>
            <w:tcW w:w="677" w:type="dxa"/>
          </w:tcPr>
          <w:p w14:paraId="4E00211B" w14:textId="77777777" w:rsidR="00F37E33" w:rsidRPr="00C002FA" w:rsidRDefault="00F37E33" w:rsidP="0005079F">
            <w:pPr>
              <w:keepNext/>
              <w:spacing w:line="240" w:lineRule="auto"/>
              <w:ind w:left="0"/>
              <w:cnfStyle w:val="000000000000" w:firstRow="0" w:lastRow="0" w:firstColumn="0" w:lastColumn="0" w:oddVBand="0" w:evenVBand="0" w:oddHBand="0" w:evenHBand="0" w:firstRowFirstColumn="0" w:firstRowLastColumn="0" w:lastRowFirstColumn="0" w:lastRowLastColumn="0"/>
              <w:rPr>
                <w:b/>
                <w:bCs/>
                <w:lang w:val="en-GB"/>
              </w:rPr>
            </w:pPr>
          </w:p>
        </w:tc>
      </w:tr>
      <w:tr w:rsidR="00C002FA" w:rsidRPr="00F8149B" w14:paraId="65E12296" w14:textId="7E1C6F95" w:rsidTr="00E66B9F">
        <w:trPr>
          <w:trHeight w:val="300"/>
        </w:trPr>
        <w:tc>
          <w:tcPr>
            <w:cnfStyle w:val="001000000000" w:firstRow="0" w:lastRow="0" w:firstColumn="1" w:lastColumn="0" w:oddVBand="0" w:evenVBand="0" w:oddHBand="0" w:evenHBand="0" w:firstRowFirstColumn="0" w:firstRowLastColumn="0" w:lastRowFirstColumn="0" w:lastRowLastColumn="0"/>
            <w:tcW w:w="1445" w:type="dxa"/>
            <w:vMerge/>
          </w:tcPr>
          <w:p w14:paraId="2FD54B30" w14:textId="0455989F" w:rsidR="00C002FA" w:rsidRPr="00163523" w:rsidRDefault="00C002FA" w:rsidP="0005079F">
            <w:pPr>
              <w:keepNext/>
              <w:spacing w:line="240" w:lineRule="auto"/>
              <w:ind w:left="0"/>
              <w:rPr>
                <w:b/>
                <w:lang w:val="en-GB"/>
              </w:rPr>
            </w:pPr>
          </w:p>
        </w:tc>
        <w:tc>
          <w:tcPr>
            <w:tcW w:w="4649" w:type="dxa"/>
            <w:noWrap/>
          </w:tcPr>
          <w:p w14:paraId="24B243D6" w14:textId="6F7312BF" w:rsidR="00C002FA" w:rsidRPr="00CE2B86" w:rsidRDefault="00C002FA" w:rsidP="0005079F">
            <w:pPr>
              <w:keepNext/>
              <w:spacing w:line="240" w:lineRule="auto"/>
              <w:ind w:left="0"/>
              <w:jc w:val="left"/>
              <w:cnfStyle w:val="000000000000" w:firstRow="0" w:lastRow="0" w:firstColumn="0" w:lastColumn="0" w:oddVBand="0" w:evenVBand="0" w:oddHBand="0" w:evenHBand="0" w:firstRowFirstColumn="0" w:firstRowLastColumn="0" w:lastRowFirstColumn="0" w:lastRowLastColumn="0"/>
              <w:rPr>
                <w:lang w:val="en-GB"/>
              </w:rPr>
            </w:pPr>
            <w:r w:rsidRPr="00163523">
              <w:rPr>
                <w:rFonts w:cs="Times New Roman"/>
                <w:lang w:val="en-GB"/>
              </w:rPr>
              <w:t>Changes in resource prices, i.e., biomass price increase</w:t>
            </w:r>
          </w:p>
        </w:tc>
        <w:tc>
          <w:tcPr>
            <w:tcW w:w="677" w:type="dxa"/>
          </w:tcPr>
          <w:p w14:paraId="47F614B7" w14:textId="1D68979D" w:rsidR="00C002FA" w:rsidRPr="00C002FA" w:rsidRDefault="00C002FA" w:rsidP="0005079F">
            <w:pPr>
              <w:keepNext/>
              <w:spacing w:line="240" w:lineRule="auto"/>
              <w:ind w:left="0"/>
              <w:cnfStyle w:val="000000000000" w:firstRow="0" w:lastRow="0" w:firstColumn="0" w:lastColumn="0" w:oddVBand="0" w:evenVBand="0" w:oddHBand="0" w:evenHBand="0" w:firstRowFirstColumn="0" w:firstRowLastColumn="0" w:lastRowFirstColumn="0" w:lastRowLastColumn="0"/>
              <w:rPr>
                <w:b/>
                <w:bCs/>
                <w:lang w:val="en-GB"/>
              </w:rPr>
            </w:pPr>
            <w:r w:rsidRPr="00C002FA">
              <w:rPr>
                <w:rFonts w:ascii="Wingdings" w:eastAsia="Wingdings" w:hAnsi="Wingdings" w:cs="Wingdings"/>
                <w:b/>
                <w:lang w:val="en-GB"/>
              </w:rPr>
              <w:sym w:font="Wingdings" w:char="F0FC"/>
            </w:r>
          </w:p>
        </w:tc>
        <w:tc>
          <w:tcPr>
            <w:tcW w:w="677" w:type="dxa"/>
          </w:tcPr>
          <w:p w14:paraId="027FD394" w14:textId="77777777" w:rsidR="00C002FA" w:rsidRPr="00C002FA" w:rsidRDefault="00C002FA" w:rsidP="0005079F">
            <w:pPr>
              <w:keepNext/>
              <w:spacing w:line="240" w:lineRule="auto"/>
              <w:ind w:left="0"/>
              <w:cnfStyle w:val="000000000000" w:firstRow="0" w:lastRow="0" w:firstColumn="0" w:lastColumn="0" w:oddVBand="0" w:evenVBand="0" w:oddHBand="0" w:evenHBand="0" w:firstRowFirstColumn="0" w:firstRowLastColumn="0" w:lastRowFirstColumn="0" w:lastRowLastColumn="0"/>
              <w:rPr>
                <w:b/>
                <w:bCs/>
                <w:lang w:val="en-GB"/>
              </w:rPr>
            </w:pPr>
          </w:p>
        </w:tc>
        <w:tc>
          <w:tcPr>
            <w:tcW w:w="677" w:type="dxa"/>
          </w:tcPr>
          <w:p w14:paraId="069ED544" w14:textId="50D4ADB1" w:rsidR="00C002FA" w:rsidRPr="00C002FA" w:rsidRDefault="00C002FA" w:rsidP="0005079F">
            <w:pPr>
              <w:keepNext/>
              <w:spacing w:line="240" w:lineRule="auto"/>
              <w:ind w:left="0"/>
              <w:cnfStyle w:val="000000000000" w:firstRow="0" w:lastRow="0" w:firstColumn="0" w:lastColumn="0" w:oddVBand="0" w:evenVBand="0" w:oddHBand="0" w:evenHBand="0" w:firstRowFirstColumn="0" w:firstRowLastColumn="0" w:lastRowFirstColumn="0" w:lastRowLastColumn="0"/>
              <w:rPr>
                <w:b/>
                <w:bCs/>
                <w:lang w:val="en-GB"/>
              </w:rPr>
            </w:pPr>
            <w:r w:rsidRPr="00C002FA">
              <w:rPr>
                <w:rFonts w:ascii="Wingdings" w:eastAsia="Wingdings" w:hAnsi="Wingdings" w:cs="Wingdings"/>
                <w:b/>
                <w:lang w:val="en-GB"/>
              </w:rPr>
              <w:sym w:font="Wingdings" w:char="F0FC"/>
            </w:r>
          </w:p>
        </w:tc>
        <w:tc>
          <w:tcPr>
            <w:tcW w:w="677" w:type="dxa"/>
          </w:tcPr>
          <w:p w14:paraId="45536248" w14:textId="77777777" w:rsidR="00C002FA" w:rsidRPr="00C002FA" w:rsidRDefault="00C002FA" w:rsidP="0005079F">
            <w:pPr>
              <w:keepNext/>
              <w:spacing w:line="240" w:lineRule="auto"/>
              <w:ind w:left="0"/>
              <w:cnfStyle w:val="000000000000" w:firstRow="0" w:lastRow="0" w:firstColumn="0" w:lastColumn="0" w:oddVBand="0" w:evenVBand="0" w:oddHBand="0" w:evenHBand="0" w:firstRowFirstColumn="0" w:firstRowLastColumn="0" w:lastRowFirstColumn="0" w:lastRowLastColumn="0"/>
              <w:rPr>
                <w:b/>
                <w:bCs/>
                <w:lang w:val="en-GB"/>
              </w:rPr>
            </w:pPr>
          </w:p>
        </w:tc>
        <w:tc>
          <w:tcPr>
            <w:tcW w:w="677" w:type="dxa"/>
          </w:tcPr>
          <w:p w14:paraId="7779332F" w14:textId="77777777" w:rsidR="00F37E33" w:rsidRPr="00C002FA" w:rsidRDefault="00F37E33" w:rsidP="0005079F">
            <w:pPr>
              <w:keepNext/>
              <w:spacing w:line="240" w:lineRule="auto"/>
              <w:ind w:left="0"/>
              <w:cnfStyle w:val="000000000000" w:firstRow="0" w:lastRow="0" w:firstColumn="0" w:lastColumn="0" w:oddVBand="0" w:evenVBand="0" w:oddHBand="0" w:evenHBand="0" w:firstRowFirstColumn="0" w:firstRowLastColumn="0" w:lastRowFirstColumn="0" w:lastRowLastColumn="0"/>
              <w:rPr>
                <w:b/>
                <w:bCs/>
                <w:lang w:val="en-GB"/>
              </w:rPr>
            </w:pPr>
          </w:p>
        </w:tc>
        <w:tc>
          <w:tcPr>
            <w:tcW w:w="677" w:type="dxa"/>
          </w:tcPr>
          <w:p w14:paraId="52107685" w14:textId="77777777" w:rsidR="00F37E33" w:rsidRPr="00C002FA" w:rsidRDefault="00F37E33" w:rsidP="0005079F">
            <w:pPr>
              <w:keepNext/>
              <w:spacing w:line="240" w:lineRule="auto"/>
              <w:ind w:left="0"/>
              <w:cnfStyle w:val="000000000000" w:firstRow="0" w:lastRow="0" w:firstColumn="0" w:lastColumn="0" w:oddVBand="0" w:evenVBand="0" w:oddHBand="0" w:evenHBand="0" w:firstRowFirstColumn="0" w:firstRowLastColumn="0" w:lastRowFirstColumn="0" w:lastRowLastColumn="0"/>
              <w:rPr>
                <w:b/>
                <w:bCs/>
                <w:lang w:val="en-GB"/>
              </w:rPr>
            </w:pPr>
          </w:p>
        </w:tc>
      </w:tr>
      <w:tr w:rsidR="00C002FA" w:rsidRPr="00945E3B" w14:paraId="2C1D29EE" w14:textId="6799DD15" w:rsidTr="00E66B9F">
        <w:trPr>
          <w:trHeight w:val="300"/>
        </w:trPr>
        <w:tc>
          <w:tcPr>
            <w:cnfStyle w:val="001000000000" w:firstRow="0" w:lastRow="0" w:firstColumn="1" w:lastColumn="0" w:oddVBand="0" w:evenVBand="0" w:oddHBand="0" w:evenHBand="0" w:firstRowFirstColumn="0" w:firstRowLastColumn="0" w:lastRowFirstColumn="0" w:lastRowLastColumn="0"/>
            <w:tcW w:w="1445" w:type="dxa"/>
            <w:vMerge w:val="restart"/>
          </w:tcPr>
          <w:p w14:paraId="08F8B707" w14:textId="6E175565" w:rsidR="00C002FA" w:rsidRPr="00E47EEA" w:rsidRDefault="00C002FA" w:rsidP="0005079F">
            <w:pPr>
              <w:keepNext/>
              <w:spacing w:line="240" w:lineRule="auto"/>
              <w:ind w:left="0"/>
              <w:rPr>
                <w:b/>
                <w:bCs/>
                <w:lang w:val="en-GB"/>
              </w:rPr>
            </w:pPr>
            <w:r w:rsidRPr="00163523">
              <w:rPr>
                <w:b/>
                <w:lang w:val="en-GB"/>
              </w:rPr>
              <w:t>Energy markets</w:t>
            </w:r>
            <w:r w:rsidRPr="00E47EEA">
              <w:rPr>
                <w:b/>
                <w:bCs/>
                <w:lang w:val="en-GB"/>
              </w:rPr>
              <w:t xml:space="preserve"> and infrastructure</w:t>
            </w:r>
          </w:p>
        </w:tc>
        <w:tc>
          <w:tcPr>
            <w:tcW w:w="4649" w:type="dxa"/>
            <w:noWrap/>
            <w:vAlign w:val="top"/>
          </w:tcPr>
          <w:p w14:paraId="4892358C" w14:textId="710EE744" w:rsidR="00C002FA" w:rsidRPr="00CE2B86" w:rsidRDefault="00F17739" w:rsidP="0005079F">
            <w:pPr>
              <w:keepNext/>
              <w:spacing w:line="240" w:lineRule="auto"/>
              <w:ind w:left="0"/>
              <w:jc w:val="left"/>
              <w:cnfStyle w:val="000000000000" w:firstRow="0" w:lastRow="0" w:firstColumn="0" w:lastColumn="0" w:oddVBand="0" w:evenVBand="0" w:oddHBand="0" w:evenHBand="0" w:firstRowFirstColumn="0" w:firstRowLastColumn="0" w:lastRowFirstColumn="0" w:lastRowLastColumn="0"/>
              <w:rPr>
                <w:lang w:val="en-GB"/>
              </w:rPr>
            </w:pPr>
            <w:r w:rsidRPr="00163523">
              <w:rPr>
                <w:lang w:val="en-GB"/>
              </w:rPr>
              <w:t>Fragmentation of energy networks and/or markets</w:t>
            </w:r>
          </w:p>
        </w:tc>
        <w:tc>
          <w:tcPr>
            <w:tcW w:w="677" w:type="dxa"/>
          </w:tcPr>
          <w:p w14:paraId="712B40C4" w14:textId="77777777" w:rsidR="00C002FA" w:rsidRPr="00C002FA" w:rsidRDefault="00C002FA" w:rsidP="0005079F">
            <w:pPr>
              <w:keepNext/>
              <w:spacing w:line="240" w:lineRule="auto"/>
              <w:ind w:left="0"/>
              <w:cnfStyle w:val="000000000000" w:firstRow="0" w:lastRow="0" w:firstColumn="0" w:lastColumn="0" w:oddVBand="0" w:evenVBand="0" w:oddHBand="0" w:evenHBand="0" w:firstRowFirstColumn="0" w:firstRowLastColumn="0" w:lastRowFirstColumn="0" w:lastRowLastColumn="0"/>
              <w:rPr>
                <w:b/>
                <w:bCs/>
                <w:lang w:val="en-GB"/>
              </w:rPr>
            </w:pPr>
          </w:p>
        </w:tc>
        <w:tc>
          <w:tcPr>
            <w:tcW w:w="677" w:type="dxa"/>
          </w:tcPr>
          <w:p w14:paraId="22A386A4" w14:textId="63CB1828" w:rsidR="00C002FA" w:rsidRPr="00C002FA" w:rsidRDefault="00C002FA" w:rsidP="0005079F">
            <w:pPr>
              <w:keepNext/>
              <w:spacing w:line="240" w:lineRule="auto"/>
              <w:ind w:left="0"/>
              <w:cnfStyle w:val="000000000000" w:firstRow="0" w:lastRow="0" w:firstColumn="0" w:lastColumn="0" w:oddVBand="0" w:evenVBand="0" w:oddHBand="0" w:evenHBand="0" w:firstRowFirstColumn="0" w:firstRowLastColumn="0" w:lastRowFirstColumn="0" w:lastRowLastColumn="0"/>
              <w:rPr>
                <w:b/>
                <w:bCs/>
                <w:lang w:val="en-GB"/>
              </w:rPr>
            </w:pPr>
          </w:p>
        </w:tc>
        <w:tc>
          <w:tcPr>
            <w:tcW w:w="677" w:type="dxa"/>
          </w:tcPr>
          <w:p w14:paraId="25CA98F7" w14:textId="016AAB80" w:rsidR="00C002FA" w:rsidRPr="00C002FA" w:rsidRDefault="00C002FA" w:rsidP="0005079F">
            <w:pPr>
              <w:keepNext/>
              <w:spacing w:line="240" w:lineRule="auto"/>
              <w:ind w:left="0"/>
              <w:cnfStyle w:val="000000000000" w:firstRow="0" w:lastRow="0" w:firstColumn="0" w:lastColumn="0" w:oddVBand="0" w:evenVBand="0" w:oddHBand="0" w:evenHBand="0" w:firstRowFirstColumn="0" w:firstRowLastColumn="0" w:lastRowFirstColumn="0" w:lastRowLastColumn="0"/>
              <w:rPr>
                <w:b/>
                <w:bCs/>
                <w:lang w:val="en-GB"/>
              </w:rPr>
            </w:pPr>
          </w:p>
        </w:tc>
        <w:tc>
          <w:tcPr>
            <w:tcW w:w="677" w:type="dxa"/>
          </w:tcPr>
          <w:p w14:paraId="5C7C89F7" w14:textId="77777777" w:rsidR="00C002FA" w:rsidRPr="00C002FA" w:rsidRDefault="00C002FA" w:rsidP="0005079F">
            <w:pPr>
              <w:keepNext/>
              <w:spacing w:line="240" w:lineRule="auto"/>
              <w:ind w:left="0"/>
              <w:cnfStyle w:val="000000000000" w:firstRow="0" w:lastRow="0" w:firstColumn="0" w:lastColumn="0" w:oddVBand="0" w:evenVBand="0" w:oddHBand="0" w:evenHBand="0" w:firstRowFirstColumn="0" w:firstRowLastColumn="0" w:lastRowFirstColumn="0" w:lastRowLastColumn="0"/>
              <w:rPr>
                <w:b/>
                <w:bCs/>
                <w:lang w:val="en-GB"/>
              </w:rPr>
            </w:pPr>
          </w:p>
        </w:tc>
        <w:tc>
          <w:tcPr>
            <w:tcW w:w="677" w:type="dxa"/>
          </w:tcPr>
          <w:p w14:paraId="0E491344" w14:textId="2088C6E3" w:rsidR="00F17739" w:rsidRPr="00C002FA" w:rsidRDefault="00F17739" w:rsidP="00F17739">
            <w:pPr>
              <w:keepNext/>
              <w:spacing w:line="240" w:lineRule="auto"/>
              <w:ind w:left="0"/>
              <w:cnfStyle w:val="000000000000" w:firstRow="0" w:lastRow="0" w:firstColumn="0" w:lastColumn="0" w:oddVBand="0" w:evenVBand="0" w:oddHBand="0" w:evenHBand="0" w:firstRowFirstColumn="0" w:firstRowLastColumn="0" w:lastRowFirstColumn="0" w:lastRowLastColumn="0"/>
              <w:rPr>
                <w:b/>
                <w:bCs/>
                <w:lang w:val="en-GB"/>
              </w:rPr>
            </w:pPr>
            <w:r w:rsidRPr="00C002FA">
              <w:rPr>
                <w:rFonts w:ascii="Wingdings" w:eastAsia="Wingdings" w:hAnsi="Wingdings" w:cs="Wingdings"/>
                <w:b/>
                <w:lang w:val="en-GB"/>
              </w:rPr>
              <w:sym w:font="Wingdings" w:char="F0FC"/>
            </w:r>
          </w:p>
        </w:tc>
        <w:tc>
          <w:tcPr>
            <w:tcW w:w="677" w:type="dxa"/>
          </w:tcPr>
          <w:p w14:paraId="23A109D5" w14:textId="3A42BA79" w:rsidR="00F17739" w:rsidRPr="00C002FA" w:rsidRDefault="00F17739" w:rsidP="00F17739">
            <w:pPr>
              <w:keepNext/>
              <w:spacing w:line="240" w:lineRule="auto"/>
              <w:ind w:left="0"/>
              <w:cnfStyle w:val="000000000000" w:firstRow="0" w:lastRow="0" w:firstColumn="0" w:lastColumn="0" w:oddVBand="0" w:evenVBand="0" w:oddHBand="0" w:evenHBand="0" w:firstRowFirstColumn="0" w:firstRowLastColumn="0" w:lastRowFirstColumn="0" w:lastRowLastColumn="0"/>
              <w:rPr>
                <w:b/>
                <w:bCs/>
                <w:lang w:val="en-GB"/>
              </w:rPr>
            </w:pPr>
          </w:p>
        </w:tc>
      </w:tr>
      <w:tr w:rsidR="00F17739" w:rsidRPr="00841944" w14:paraId="54563432" w14:textId="77777777" w:rsidTr="00E66B9F">
        <w:trPr>
          <w:trHeight w:val="300"/>
        </w:trPr>
        <w:tc>
          <w:tcPr>
            <w:cnfStyle w:val="001000000000" w:firstRow="0" w:lastRow="0" w:firstColumn="1" w:lastColumn="0" w:oddVBand="0" w:evenVBand="0" w:oddHBand="0" w:evenHBand="0" w:firstRowFirstColumn="0" w:firstRowLastColumn="0" w:lastRowFirstColumn="0" w:lastRowLastColumn="0"/>
            <w:tcW w:w="1445" w:type="dxa"/>
            <w:vMerge/>
          </w:tcPr>
          <w:p w14:paraId="663DC8E2" w14:textId="77777777" w:rsidR="00F17739" w:rsidRPr="00163523" w:rsidRDefault="00F17739" w:rsidP="00F17739">
            <w:pPr>
              <w:keepNext/>
              <w:spacing w:line="240" w:lineRule="auto"/>
              <w:ind w:left="0"/>
              <w:rPr>
                <w:b/>
                <w:lang w:val="en-GB"/>
              </w:rPr>
            </w:pPr>
          </w:p>
        </w:tc>
        <w:tc>
          <w:tcPr>
            <w:tcW w:w="4649" w:type="dxa"/>
            <w:noWrap/>
            <w:vAlign w:val="top"/>
          </w:tcPr>
          <w:p w14:paraId="6B506149" w14:textId="53D81A23" w:rsidR="00F17739" w:rsidRPr="00163523" w:rsidRDefault="00F17739" w:rsidP="00F17739">
            <w:pPr>
              <w:keepNext/>
              <w:spacing w:line="240" w:lineRule="auto"/>
              <w:ind w:left="0"/>
              <w:jc w:val="left"/>
              <w:cnfStyle w:val="000000000000" w:firstRow="0" w:lastRow="0" w:firstColumn="0" w:lastColumn="0" w:oddVBand="0" w:evenVBand="0" w:oddHBand="0" w:evenHBand="0" w:firstRowFirstColumn="0" w:firstRowLastColumn="0" w:lastRowFirstColumn="0" w:lastRowLastColumn="0"/>
              <w:rPr>
                <w:lang w:val="en-GB"/>
              </w:rPr>
            </w:pPr>
            <w:r w:rsidRPr="00163523">
              <w:rPr>
                <w:lang w:val="en-GB"/>
              </w:rPr>
              <w:t>Security of energy supply threatened due to system instabilities</w:t>
            </w:r>
          </w:p>
        </w:tc>
        <w:tc>
          <w:tcPr>
            <w:tcW w:w="677" w:type="dxa"/>
          </w:tcPr>
          <w:p w14:paraId="05B12FE6" w14:textId="77777777" w:rsidR="00F17739" w:rsidRPr="00C002FA" w:rsidRDefault="00F17739" w:rsidP="00F17739">
            <w:pPr>
              <w:keepNext/>
              <w:spacing w:line="240" w:lineRule="auto"/>
              <w:ind w:left="0"/>
              <w:cnfStyle w:val="000000000000" w:firstRow="0" w:lastRow="0" w:firstColumn="0" w:lastColumn="0" w:oddVBand="0" w:evenVBand="0" w:oddHBand="0" w:evenHBand="0" w:firstRowFirstColumn="0" w:firstRowLastColumn="0" w:lastRowFirstColumn="0" w:lastRowLastColumn="0"/>
              <w:rPr>
                <w:b/>
                <w:bCs/>
                <w:lang w:val="en-GB"/>
              </w:rPr>
            </w:pPr>
          </w:p>
        </w:tc>
        <w:tc>
          <w:tcPr>
            <w:tcW w:w="677" w:type="dxa"/>
          </w:tcPr>
          <w:p w14:paraId="79874020" w14:textId="246F98DE" w:rsidR="00F17739" w:rsidRPr="00C002FA" w:rsidRDefault="00F17739" w:rsidP="00F17739">
            <w:pPr>
              <w:keepNext/>
              <w:spacing w:line="240" w:lineRule="auto"/>
              <w:ind w:left="0"/>
              <w:cnfStyle w:val="000000000000" w:firstRow="0" w:lastRow="0" w:firstColumn="0" w:lastColumn="0" w:oddVBand="0" w:evenVBand="0" w:oddHBand="0" w:evenHBand="0" w:firstRowFirstColumn="0" w:firstRowLastColumn="0" w:lastRowFirstColumn="0" w:lastRowLastColumn="0"/>
              <w:rPr>
                <w:b/>
                <w:bCs/>
                <w:lang w:val="en-GB"/>
              </w:rPr>
            </w:pPr>
            <w:r w:rsidRPr="00C002FA">
              <w:rPr>
                <w:rFonts w:ascii="Wingdings" w:eastAsia="Wingdings" w:hAnsi="Wingdings" w:cs="Wingdings"/>
                <w:b/>
                <w:lang w:val="en-GB"/>
              </w:rPr>
              <w:sym w:font="Wingdings" w:char="F0FC"/>
            </w:r>
          </w:p>
        </w:tc>
        <w:tc>
          <w:tcPr>
            <w:tcW w:w="677" w:type="dxa"/>
          </w:tcPr>
          <w:p w14:paraId="54B406F5" w14:textId="77777777" w:rsidR="00F17739" w:rsidRPr="00C002FA" w:rsidRDefault="00F17739" w:rsidP="00F17739">
            <w:pPr>
              <w:keepNext/>
              <w:spacing w:line="240" w:lineRule="auto"/>
              <w:ind w:left="0"/>
              <w:cnfStyle w:val="000000000000" w:firstRow="0" w:lastRow="0" w:firstColumn="0" w:lastColumn="0" w:oddVBand="0" w:evenVBand="0" w:oddHBand="0" w:evenHBand="0" w:firstRowFirstColumn="0" w:firstRowLastColumn="0" w:lastRowFirstColumn="0" w:lastRowLastColumn="0"/>
              <w:rPr>
                <w:b/>
                <w:bCs/>
                <w:lang w:val="en-GB"/>
              </w:rPr>
            </w:pPr>
          </w:p>
        </w:tc>
        <w:tc>
          <w:tcPr>
            <w:tcW w:w="677" w:type="dxa"/>
          </w:tcPr>
          <w:p w14:paraId="197BBE3F" w14:textId="77777777" w:rsidR="00F17739" w:rsidRPr="00C002FA" w:rsidRDefault="00F17739" w:rsidP="00F17739">
            <w:pPr>
              <w:keepNext/>
              <w:spacing w:line="240" w:lineRule="auto"/>
              <w:ind w:left="0"/>
              <w:cnfStyle w:val="000000000000" w:firstRow="0" w:lastRow="0" w:firstColumn="0" w:lastColumn="0" w:oddVBand="0" w:evenVBand="0" w:oddHBand="0" w:evenHBand="0" w:firstRowFirstColumn="0" w:firstRowLastColumn="0" w:lastRowFirstColumn="0" w:lastRowLastColumn="0"/>
              <w:rPr>
                <w:b/>
                <w:bCs/>
                <w:lang w:val="en-GB"/>
              </w:rPr>
            </w:pPr>
          </w:p>
        </w:tc>
        <w:tc>
          <w:tcPr>
            <w:tcW w:w="677" w:type="dxa"/>
          </w:tcPr>
          <w:p w14:paraId="3B3E372D" w14:textId="6848428E" w:rsidR="00F17739" w:rsidRPr="00C002FA" w:rsidRDefault="00F17739" w:rsidP="00F17739">
            <w:pPr>
              <w:keepNext/>
              <w:spacing w:line="240" w:lineRule="auto"/>
              <w:ind w:left="0"/>
              <w:cnfStyle w:val="000000000000" w:firstRow="0" w:lastRow="0" w:firstColumn="0" w:lastColumn="0" w:oddVBand="0" w:evenVBand="0" w:oddHBand="0" w:evenHBand="0" w:firstRowFirstColumn="0" w:firstRowLastColumn="0" w:lastRowFirstColumn="0" w:lastRowLastColumn="0"/>
              <w:rPr>
                <w:b/>
                <w:bCs/>
                <w:lang w:val="en-GB"/>
              </w:rPr>
            </w:pPr>
          </w:p>
        </w:tc>
        <w:tc>
          <w:tcPr>
            <w:tcW w:w="677" w:type="dxa"/>
          </w:tcPr>
          <w:p w14:paraId="5CD78D57" w14:textId="77777777" w:rsidR="00F17739" w:rsidRPr="00C002FA" w:rsidRDefault="00F17739" w:rsidP="00F17739">
            <w:pPr>
              <w:keepNext/>
              <w:spacing w:line="240" w:lineRule="auto"/>
              <w:ind w:left="0"/>
              <w:cnfStyle w:val="000000000000" w:firstRow="0" w:lastRow="0" w:firstColumn="0" w:lastColumn="0" w:oddVBand="0" w:evenVBand="0" w:oddHBand="0" w:evenHBand="0" w:firstRowFirstColumn="0" w:firstRowLastColumn="0" w:lastRowFirstColumn="0" w:lastRowLastColumn="0"/>
              <w:rPr>
                <w:b/>
                <w:bCs/>
                <w:lang w:val="en-GB"/>
              </w:rPr>
            </w:pPr>
          </w:p>
        </w:tc>
      </w:tr>
      <w:tr w:rsidR="00C002FA" w:rsidRPr="00945E3B" w14:paraId="2CB816EB" w14:textId="52109AC0" w:rsidTr="00E66B9F">
        <w:trPr>
          <w:trHeight w:val="300"/>
        </w:trPr>
        <w:tc>
          <w:tcPr>
            <w:cnfStyle w:val="001000000000" w:firstRow="0" w:lastRow="0" w:firstColumn="1" w:lastColumn="0" w:oddVBand="0" w:evenVBand="0" w:oddHBand="0" w:evenHBand="0" w:firstRowFirstColumn="0" w:firstRowLastColumn="0" w:lastRowFirstColumn="0" w:lastRowLastColumn="0"/>
            <w:tcW w:w="1445" w:type="dxa"/>
            <w:vMerge/>
          </w:tcPr>
          <w:p w14:paraId="75DE62C7" w14:textId="1FCFF161" w:rsidR="00C002FA" w:rsidRPr="00841944" w:rsidRDefault="00C002FA" w:rsidP="0005079F">
            <w:pPr>
              <w:keepNext/>
              <w:spacing w:line="240" w:lineRule="auto"/>
              <w:ind w:left="0"/>
              <w:rPr>
                <w:b/>
                <w:lang w:val="en-GB"/>
              </w:rPr>
            </w:pPr>
          </w:p>
        </w:tc>
        <w:tc>
          <w:tcPr>
            <w:tcW w:w="4649" w:type="dxa"/>
            <w:noWrap/>
            <w:vAlign w:val="top"/>
          </w:tcPr>
          <w:p w14:paraId="6F806BE5" w14:textId="0193B71B" w:rsidR="00C002FA" w:rsidRPr="00CE2B86" w:rsidRDefault="00F17739" w:rsidP="0005079F">
            <w:pPr>
              <w:keepNext/>
              <w:spacing w:line="240" w:lineRule="auto"/>
              <w:ind w:left="0"/>
              <w:jc w:val="left"/>
              <w:cnfStyle w:val="000000000000" w:firstRow="0" w:lastRow="0" w:firstColumn="0" w:lastColumn="0" w:oddVBand="0" w:evenVBand="0" w:oddHBand="0" w:evenHBand="0" w:firstRowFirstColumn="0" w:firstRowLastColumn="0" w:lastRowFirstColumn="0" w:lastRowLastColumn="0"/>
              <w:rPr>
                <w:lang w:val="en-GB"/>
              </w:rPr>
            </w:pPr>
            <w:r w:rsidRPr="00163523">
              <w:rPr>
                <w:lang w:val="en-GB"/>
              </w:rPr>
              <w:t>Unexpected developments in global fossil energy markets</w:t>
            </w:r>
          </w:p>
        </w:tc>
        <w:tc>
          <w:tcPr>
            <w:tcW w:w="677" w:type="dxa"/>
          </w:tcPr>
          <w:p w14:paraId="7020DED5" w14:textId="77777777" w:rsidR="00C002FA" w:rsidRPr="00C002FA" w:rsidRDefault="00C002FA" w:rsidP="0005079F">
            <w:pPr>
              <w:keepNext/>
              <w:spacing w:line="240" w:lineRule="auto"/>
              <w:ind w:left="0"/>
              <w:cnfStyle w:val="000000000000" w:firstRow="0" w:lastRow="0" w:firstColumn="0" w:lastColumn="0" w:oddVBand="0" w:evenVBand="0" w:oddHBand="0" w:evenHBand="0" w:firstRowFirstColumn="0" w:firstRowLastColumn="0" w:lastRowFirstColumn="0" w:lastRowLastColumn="0"/>
              <w:rPr>
                <w:b/>
                <w:bCs/>
                <w:lang w:val="en-GB"/>
              </w:rPr>
            </w:pPr>
          </w:p>
        </w:tc>
        <w:tc>
          <w:tcPr>
            <w:tcW w:w="677" w:type="dxa"/>
          </w:tcPr>
          <w:p w14:paraId="463D7828" w14:textId="412F6D99" w:rsidR="00C002FA" w:rsidRPr="00C002FA" w:rsidRDefault="00C002FA" w:rsidP="0005079F">
            <w:pPr>
              <w:keepNext/>
              <w:spacing w:line="240" w:lineRule="auto"/>
              <w:ind w:left="0"/>
              <w:cnfStyle w:val="000000000000" w:firstRow="0" w:lastRow="0" w:firstColumn="0" w:lastColumn="0" w:oddVBand="0" w:evenVBand="0" w:oddHBand="0" w:evenHBand="0" w:firstRowFirstColumn="0" w:firstRowLastColumn="0" w:lastRowFirstColumn="0" w:lastRowLastColumn="0"/>
              <w:rPr>
                <w:b/>
                <w:bCs/>
                <w:lang w:val="en-GB"/>
              </w:rPr>
            </w:pPr>
            <w:r w:rsidRPr="00C002FA">
              <w:rPr>
                <w:rFonts w:ascii="Wingdings" w:eastAsia="Wingdings" w:hAnsi="Wingdings" w:cs="Wingdings"/>
                <w:b/>
                <w:lang w:val="en-GB"/>
              </w:rPr>
              <w:sym w:font="Wingdings" w:char="F0FC"/>
            </w:r>
          </w:p>
        </w:tc>
        <w:tc>
          <w:tcPr>
            <w:tcW w:w="677" w:type="dxa"/>
          </w:tcPr>
          <w:p w14:paraId="78B7E4CB" w14:textId="77777777" w:rsidR="00C002FA" w:rsidRPr="00C002FA" w:rsidRDefault="00C002FA" w:rsidP="0005079F">
            <w:pPr>
              <w:keepNext/>
              <w:spacing w:line="240" w:lineRule="auto"/>
              <w:ind w:left="0"/>
              <w:cnfStyle w:val="000000000000" w:firstRow="0" w:lastRow="0" w:firstColumn="0" w:lastColumn="0" w:oddVBand="0" w:evenVBand="0" w:oddHBand="0" w:evenHBand="0" w:firstRowFirstColumn="0" w:firstRowLastColumn="0" w:lastRowFirstColumn="0" w:lastRowLastColumn="0"/>
              <w:rPr>
                <w:b/>
                <w:bCs/>
                <w:lang w:val="en-GB"/>
              </w:rPr>
            </w:pPr>
          </w:p>
        </w:tc>
        <w:tc>
          <w:tcPr>
            <w:tcW w:w="677" w:type="dxa"/>
          </w:tcPr>
          <w:p w14:paraId="2AB24173" w14:textId="77777777" w:rsidR="00C002FA" w:rsidRPr="00C002FA" w:rsidRDefault="00C002FA" w:rsidP="0005079F">
            <w:pPr>
              <w:keepNext/>
              <w:spacing w:line="240" w:lineRule="auto"/>
              <w:ind w:left="0"/>
              <w:cnfStyle w:val="000000000000" w:firstRow="0" w:lastRow="0" w:firstColumn="0" w:lastColumn="0" w:oddVBand="0" w:evenVBand="0" w:oddHBand="0" w:evenHBand="0" w:firstRowFirstColumn="0" w:firstRowLastColumn="0" w:lastRowFirstColumn="0" w:lastRowLastColumn="0"/>
              <w:rPr>
                <w:b/>
                <w:bCs/>
                <w:lang w:val="en-GB"/>
              </w:rPr>
            </w:pPr>
          </w:p>
        </w:tc>
        <w:tc>
          <w:tcPr>
            <w:tcW w:w="677" w:type="dxa"/>
          </w:tcPr>
          <w:p w14:paraId="240D1EAC" w14:textId="77777777" w:rsidR="00F17739" w:rsidRPr="00C002FA" w:rsidRDefault="00F17739" w:rsidP="00F17739">
            <w:pPr>
              <w:keepNext/>
              <w:spacing w:line="240" w:lineRule="auto"/>
              <w:ind w:left="0"/>
              <w:cnfStyle w:val="000000000000" w:firstRow="0" w:lastRow="0" w:firstColumn="0" w:lastColumn="0" w:oddVBand="0" w:evenVBand="0" w:oddHBand="0" w:evenHBand="0" w:firstRowFirstColumn="0" w:firstRowLastColumn="0" w:lastRowFirstColumn="0" w:lastRowLastColumn="0"/>
              <w:rPr>
                <w:b/>
                <w:bCs/>
                <w:lang w:val="en-GB"/>
              </w:rPr>
            </w:pPr>
          </w:p>
        </w:tc>
        <w:tc>
          <w:tcPr>
            <w:tcW w:w="677" w:type="dxa"/>
          </w:tcPr>
          <w:p w14:paraId="2EED7A3C" w14:textId="77777777" w:rsidR="00F17739" w:rsidRPr="00C002FA" w:rsidRDefault="00F17739" w:rsidP="00F17739">
            <w:pPr>
              <w:keepNext/>
              <w:spacing w:line="240" w:lineRule="auto"/>
              <w:ind w:left="0"/>
              <w:cnfStyle w:val="000000000000" w:firstRow="0" w:lastRow="0" w:firstColumn="0" w:lastColumn="0" w:oddVBand="0" w:evenVBand="0" w:oddHBand="0" w:evenHBand="0" w:firstRowFirstColumn="0" w:firstRowLastColumn="0" w:lastRowFirstColumn="0" w:lastRowLastColumn="0"/>
              <w:rPr>
                <w:b/>
                <w:bCs/>
                <w:lang w:val="en-GB"/>
              </w:rPr>
            </w:pPr>
          </w:p>
        </w:tc>
      </w:tr>
      <w:tr w:rsidR="00C002FA" w:rsidRPr="00DF32FE" w14:paraId="47BFFA86" w14:textId="74B1C70F" w:rsidTr="00E66B9F">
        <w:trPr>
          <w:trHeight w:val="300"/>
        </w:trPr>
        <w:tc>
          <w:tcPr>
            <w:cnfStyle w:val="001000000000" w:firstRow="0" w:lastRow="0" w:firstColumn="1" w:lastColumn="0" w:oddVBand="0" w:evenVBand="0" w:oddHBand="0" w:evenHBand="0" w:firstRowFirstColumn="0" w:firstRowLastColumn="0" w:lastRowFirstColumn="0" w:lastRowLastColumn="0"/>
            <w:tcW w:w="1445" w:type="dxa"/>
            <w:vMerge/>
          </w:tcPr>
          <w:p w14:paraId="2D541069" w14:textId="076BCF43" w:rsidR="00C002FA" w:rsidRPr="00163523" w:rsidRDefault="00C002FA" w:rsidP="0005079F">
            <w:pPr>
              <w:keepNext/>
              <w:spacing w:line="240" w:lineRule="auto"/>
              <w:ind w:left="0"/>
              <w:rPr>
                <w:b/>
                <w:lang w:val="en-GB"/>
              </w:rPr>
            </w:pPr>
          </w:p>
        </w:tc>
        <w:tc>
          <w:tcPr>
            <w:tcW w:w="4649" w:type="dxa"/>
            <w:noWrap/>
            <w:vAlign w:val="top"/>
          </w:tcPr>
          <w:p w14:paraId="0D065A39" w14:textId="29EB19A4" w:rsidR="00C002FA" w:rsidRPr="00CE2B86" w:rsidRDefault="00F17739" w:rsidP="0005079F">
            <w:pPr>
              <w:keepNext/>
              <w:spacing w:line="240" w:lineRule="auto"/>
              <w:ind w:left="0"/>
              <w:jc w:val="left"/>
              <w:cnfStyle w:val="000000000000" w:firstRow="0" w:lastRow="0" w:firstColumn="0" w:lastColumn="0" w:oddVBand="0" w:evenVBand="0" w:oddHBand="0" w:evenHBand="0" w:firstRowFirstColumn="0" w:firstRowLastColumn="0" w:lastRowFirstColumn="0" w:lastRowLastColumn="0"/>
              <w:rPr>
                <w:lang w:val="en-GB"/>
              </w:rPr>
            </w:pPr>
            <w:r>
              <w:rPr>
                <w:lang w:val="en-GB"/>
              </w:rPr>
              <w:t>Energy</w:t>
            </w:r>
            <w:r w:rsidRPr="00163523">
              <w:rPr>
                <w:lang w:val="en-GB"/>
              </w:rPr>
              <w:t xml:space="preserve"> system development plans stall in </w:t>
            </w:r>
            <w:r w:rsidR="00163523" w:rsidRPr="00163523">
              <w:rPr>
                <w:lang w:val="en-GB"/>
              </w:rPr>
              <w:t>neighbouring</w:t>
            </w:r>
            <w:r w:rsidRPr="00163523">
              <w:rPr>
                <w:lang w:val="en-GB"/>
              </w:rPr>
              <w:t xml:space="preserve"> countries</w:t>
            </w:r>
          </w:p>
        </w:tc>
        <w:tc>
          <w:tcPr>
            <w:tcW w:w="677" w:type="dxa"/>
          </w:tcPr>
          <w:p w14:paraId="4E5C36A0" w14:textId="77777777" w:rsidR="00C002FA" w:rsidRPr="00C002FA" w:rsidRDefault="00C002FA" w:rsidP="0005079F">
            <w:pPr>
              <w:keepNext/>
              <w:spacing w:line="240" w:lineRule="auto"/>
              <w:ind w:left="0"/>
              <w:cnfStyle w:val="000000000000" w:firstRow="0" w:lastRow="0" w:firstColumn="0" w:lastColumn="0" w:oddVBand="0" w:evenVBand="0" w:oddHBand="0" w:evenHBand="0" w:firstRowFirstColumn="0" w:firstRowLastColumn="0" w:lastRowFirstColumn="0" w:lastRowLastColumn="0"/>
              <w:rPr>
                <w:b/>
                <w:bCs/>
                <w:lang w:val="en-GB"/>
              </w:rPr>
            </w:pPr>
          </w:p>
        </w:tc>
        <w:tc>
          <w:tcPr>
            <w:tcW w:w="677" w:type="dxa"/>
          </w:tcPr>
          <w:p w14:paraId="367B222D" w14:textId="738FBCFE" w:rsidR="00C002FA" w:rsidRPr="00C002FA" w:rsidRDefault="00C002FA" w:rsidP="0005079F">
            <w:pPr>
              <w:keepNext/>
              <w:spacing w:line="240" w:lineRule="auto"/>
              <w:ind w:left="0"/>
              <w:cnfStyle w:val="000000000000" w:firstRow="0" w:lastRow="0" w:firstColumn="0" w:lastColumn="0" w:oddVBand="0" w:evenVBand="0" w:oddHBand="0" w:evenHBand="0" w:firstRowFirstColumn="0" w:firstRowLastColumn="0" w:lastRowFirstColumn="0" w:lastRowLastColumn="0"/>
              <w:rPr>
                <w:b/>
                <w:bCs/>
                <w:lang w:val="en-GB"/>
              </w:rPr>
            </w:pPr>
            <w:r w:rsidRPr="00C002FA">
              <w:rPr>
                <w:rFonts w:ascii="Wingdings" w:eastAsia="Wingdings" w:hAnsi="Wingdings" w:cs="Wingdings"/>
                <w:b/>
                <w:lang w:val="en-GB"/>
              </w:rPr>
              <w:sym w:font="Wingdings" w:char="F0FC"/>
            </w:r>
          </w:p>
        </w:tc>
        <w:tc>
          <w:tcPr>
            <w:tcW w:w="677" w:type="dxa"/>
          </w:tcPr>
          <w:p w14:paraId="24B54559" w14:textId="77777777" w:rsidR="00C002FA" w:rsidRPr="00C002FA" w:rsidRDefault="00C002FA" w:rsidP="0005079F">
            <w:pPr>
              <w:keepNext/>
              <w:spacing w:line="240" w:lineRule="auto"/>
              <w:ind w:left="0"/>
              <w:cnfStyle w:val="000000000000" w:firstRow="0" w:lastRow="0" w:firstColumn="0" w:lastColumn="0" w:oddVBand="0" w:evenVBand="0" w:oddHBand="0" w:evenHBand="0" w:firstRowFirstColumn="0" w:firstRowLastColumn="0" w:lastRowFirstColumn="0" w:lastRowLastColumn="0"/>
              <w:rPr>
                <w:b/>
                <w:bCs/>
                <w:lang w:val="en-GB"/>
              </w:rPr>
            </w:pPr>
          </w:p>
        </w:tc>
        <w:tc>
          <w:tcPr>
            <w:tcW w:w="677" w:type="dxa"/>
          </w:tcPr>
          <w:p w14:paraId="105CBDB4" w14:textId="77777777" w:rsidR="00C002FA" w:rsidRPr="00C002FA" w:rsidRDefault="00C002FA" w:rsidP="0005079F">
            <w:pPr>
              <w:keepNext/>
              <w:spacing w:line="240" w:lineRule="auto"/>
              <w:ind w:left="0"/>
              <w:cnfStyle w:val="000000000000" w:firstRow="0" w:lastRow="0" w:firstColumn="0" w:lastColumn="0" w:oddVBand="0" w:evenVBand="0" w:oddHBand="0" w:evenHBand="0" w:firstRowFirstColumn="0" w:firstRowLastColumn="0" w:lastRowFirstColumn="0" w:lastRowLastColumn="0"/>
              <w:rPr>
                <w:b/>
                <w:bCs/>
                <w:lang w:val="en-GB"/>
              </w:rPr>
            </w:pPr>
          </w:p>
        </w:tc>
        <w:tc>
          <w:tcPr>
            <w:tcW w:w="677" w:type="dxa"/>
          </w:tcPr>
          <w:p w14:paraId="216C8DE1" w14:textId="77777777" w:rsidR="00F17739" w:rsidRPr="00C002FA" w:rsidRDefault="00F17739" w:rsidP="00F17739">
            <w:pPr>
              <w:keepNext/>
              <w:spacing w:line="240" w:lineRule="auto"/>
              <w:ind w:left="0"/>
              <w:cnfStyle w:val="000000000000" w:firstRow="0" w:lastRow="0" w:firstColumn="0" w:lastColumn="0" w:oddVBand="0" w:evenVBand="0" w:oddHBand="0" w:evenHBand="0" w:firstRowFirstColumn="0" w:firstRowLastColumn="0" w:lastRowFirstColumn="0" w:lastRowLastColumn="0"/>
              <w:rPr>
                <w:b/>
                <w:bCs/>
                <w:lang w:val="en-GB"/>
              </w:rPr>
            </w:pPr>
          </w:p>
        </w:tc>
        <w:tc>
          <w:tcPr>
            <w:tcW w:w="677" w:type="dxa"/>
          </w:tcPr>
          <w:p w14:paraId="5B1AEBD2" w14:textId="77777777" w:rsidR="00F17739" w:rsidRPr="00C002FA" w:rsidRDefault="00F17739" w:rsidP="00F17739">
            <w:pPr>
              <w:keepNext/>
              <w:spacing w:line="240" w:lineRule="auto"/>
              <w:ind w:left="0"/>
              <w:cnfStyle w:val="000000000000" w:firstRow="0" w:lastRow="0" w:firstColumn="0" w:lastColumn="0" w:oddVBand="0" w:evenVBand="0" w:oddHBand="0" w:evenHBand="0" w:firstRowFirstColumn="0" w:firstRowLastColumn="0" w:lastRowFirstColumn="0" w:lastRowLastColumn="0"/>
              <w:rPr>
                <w:b/>
                <w:bCs/>
                <w:lang w:val="en-GB"/>
              </w:rPr>
            </w:pPr>
          </w:p>
        </w:tc>
      </w:tr>
      <w:tr w:rsidR="00C002FA" w14:paraId="2271E081" w14:textId="232CCF9E" w:rsidTr="00E66B9F">
        <w:trPr>
          <w:trHeight w:val="300"/>
        </w:trPr>
        <w:tc>
          <w:tcPr>
            <w:cnfStyle w:val="001000000000" w:firstRow="0" w:lastRow="0" w:firstColumn="1" w:lastColumn="0" w:oddVBand="0" w:evenVBand="0" w:oddHBand="0" w:evenHBand="0" w:firstRowFirstColumn="0" w:firstRowLastColumn="0" w:lastRowFirstColumn="0" w:lastRowLastColumn="0"/>
            <w:tcW w:w="1445" w:type="dxa"/>
            <w:vMerge/>
          </w:tcPr>
          <w:p w14:paraId="2AFABAE7" w14:textId="4DFAF995" w:rsidR="00C002FA" w:rsidRPr="00163523" w:rsidRDefault="00C002FA" w:rsidP="0005079F">
            <w:pPr>
              <w:keepNext/>
              <w:spacing w:line="240" w:lineRule="auto"/>
              <w:ind w:left="0"/>
              <w:rPr>
                <w:b/>
                <w:lang w:val="en-GB"/>
              </w:rPr>
            </w:pPr>
          </w:p>
        </w:tc>
        <w:tc>
          <w:tcPr>
            <w:tcW w:w="4649" w:type="dxa"/>
            <w:noWrap/>
            <w:vAlign w:val="top"/>
          </w:tcPr>
          <w:p w14:paraId="6FE0E9AF" w14:textId="2C45A201" w:rsidR="00C002FA" w:rsidRPr="00CE2B86" w:rsidRDefault="00F17739" w:rsidP="0005079F">
            <w:pPr>
              <w:keepNext/>
              <w:spacing w:line="240" w:lineRule="auto"/>
              <w:ind w:left="0"/>
              <w:jc w:val="left"/>
              <w:cnfStyle w:val="000000000000" w:firstRow="0" w:lastRow="0" w:firstColumn="0" w:lastColumn="0" w:oddVBand="0" w:evenVBand="0" w:oddHBand="0" w:evenHBand="0" w:firstRowFirstColumn="0" w:firstRowLastColumn="0" w:lastRowFirstColumn="0" w:lastRowLastColumn="0"/>
              <w:rPr>
                <w:lang w:val="en-GB"/>
              </w:rPr>
            </w:pPr>
            <w:r w:rsidRPr="00163523">
              <w:rPr>
                <w:rFonts w:cs="Times New Roman"/>
                <w:lang w:val="en-GB"/>
              </w:rPr>
              <w:t>Lack of renewable technology and energy (fuels) competitiveness</w:t>
            </w:r>
          </w:p>
        </w:tc>
        <w:tc>
          <w:tcPr>
            <w:tcW w:w="677" w:type="dxa"/>
          </w:tcPr>
          <w:p w14:paraId="56CBD6C0" w14:textId="77777777" w:rsidR="00C002FA" w:rsidRPr="00C002FA" w:rsidRDefault="00C002FA" w:rsidP="0005079F">
            <w:pPr>
              <w:keepNext/>
              <w:spacing w:line="240" w:lineRule="auto"/>
              <w:ind w:left="0"/>
              <w:cnfStyle w:val="000000000000" w:firstRow="0" w:lastRow="0" w:firstColumn="0" w:lastColumn="0" w:oddVBand="0" w:evenVBand="0" w:oddHBand="0" w:evenHBand="0" w:firstRowFirstColumn="0" w:firstRowLastColumn="0" w:lastRowFirstColumn="0" w:lastRowLastColumn="0"/>
              <w:rPr>
                <w:b/>
                <w:bCs/>
                <w:lang w:val="en-GB"/>
              </w:rPr>
            </w:pPr>
          </w:p>
        </w:tc>
        <w:tc>
          <w:tcPr>
            <w:tcW w:w="677" w:type="dxa"/>
          </w:tcPr>
          <w:p w14:paraId="07022D95" w14:textId="0664C23B" w:rsidR="00C002FA" w:rsidRPr="00C002FA" w:rsidRDefault="00C002FA" w:rsidP="0005079F">
            <w:pPr>
              <w:keepNext/>
              <w:spacing w:line="240" w:lineRule="auto"/>
              <w:ind w:left="0"/>
              <w:cnfStyle w:val="000000000000" w:firstRow="0" w:lastRow="0" w:firstColumn="0" w:lastColumn="0" w:oddVBand="0" w:evenVBand="0" w:oddHBand="0" w:evenHBand="0" w:firstRowFirstColumn="0" w:firstRowLastColumn="0" w:lastRowFirstColumn="0" w:lastRowLastColumn="0"/>
              <w:rPr>
                <w:b/>
                <w:bCs/>
                <w:lang w:val="en-GB"/>
              </w:rPr>
            </w:pPr>
          </w:p>
        </w:tc>
        <w:tc>
          <w:tcPr>
            <w:tcW w:w="677" w:type="dxa"/>
          </w:tcPr>
          <w:p w14:paraId="6CDE2E91" w14:textId="627BF7F2" w:rsidR="00C002FA" w:rsidRPr="00C002FA" w:rsidRDefault="00F17739" w:rsidP="0005079F">
            <w:pPr>
              <w:keepNext/>
              <w:spacing w:line="240" w:lineRule="auto"/>
              <w:ind w:left="0"/>
              <w:cnfStyle w:val="000000000000" w:firstRow="0" w:lastRow="0" w:firstColumn="0" w:lastColumn="0" w:oddVBand="0" w:evenVBand="0" w:oddHBand="0" w:evenHBand="0" w:firstRowFirstColumn="0" w:firstRowLastColumn="0" w:lastRowFirstColumn="0" w:lastRowLastColumn="0"/>
              <w:rPr>
                <w:b/>
                <w:bCs/>
                <w:lang w:val="en-GB"/>
              </w:rPr>
            </w:pPr>
            <w:r w:rsidRPr="00C002FA">
              <w:rPr>
                <w:rFonts w:ascii="Wingdings" w:eastAsia="Wingdings" w:hAnsi="Wingdings" w:cs="Wingdings"/>
                <w:b/>
                <w:lang w:val="en-GB"/>
              </w:rPr>
              <w:sym w:font="Wingdings" w:char="F0FC"/>
            </w:r>
          </w:p>
        </w:tc>
        <w:tc>
          <w:tcPr>
            <w:tcW w:w="677" w:type="dxa"/>
          </w:tcPr>
          <w:p w14:paraId="2A0B62AC" w14:textId="77777777" w:rsidR="00C002FA" w:rsidRPr="00C002FA" w:rsidRDefault="00C002FA" w:rsidP="0005079F">
            <w:pPr>
              <w:keepNext/>
              <w:spacing w:line="240" w:lineRule="auto"/>
              <w:ind w:left="0"/>
              <w:cnfStyle w:val="000000000000" w:firstRow="0" w:lastRow="0" w:firstColumn="0" w:lastColumn="0" w:oddVBand="0" w:evenVBand="0" w:oddHBand="0" w:evenHBand="0" w:firstRowFirstColumn="0" w:firstRowLastColumn="0" w:lastRowFirstColumn="0" w:lastRowLastColumn="0"/>
              <w:rPr>
                <w:b/>
                <w:bCs/>
                <w:lang w:val="en-GB"/>
              </w:rPr>
            </w:pPr>
          </w:p>
        </w:tc>
        <w:tc>
          <w:tcPr>
            <w:tcW w:w="677" w:type="dxa"/>
          </w:tcPr>
          <w:p w14:paraId="58B3CB96" w14:textId="77777777" w:rsidR="00F17739" w:rsidRPr="00C002FA" w:rsidRDefault="00F17739" w:rsidP="00F17739">
            <w:pPr>
              <w:keepNext/>
              <w:spacing w:line="240" w:lineRule="auto"/>
              <w:ind w:left="0"/>
              <w:cnfStyle w:val="000000000000" w:firstRow="0" w:lastRow="0" w:firstColumn="0" w:lastColumn="0" w:oddVBand="0" w:evenVBand="0" w:oddHBand="0" w:evenHBand="0" w:firstRowFirstColumn="0" w:firstRowLastColumn="0" w:lastRowFirstColumn="0" w:lastRowLastColumn="0"/>
              <w:rPr>
                <w:b/>
                <w:bCs/>
                <w:lang w:val="en-GB"/>
              </w:rPr>
            </w:pPr>
          </w:p>
        </w:tc>
        <w:tc>
          <w:tcPr>
            <w:tcW w:w="677" w:type="dxa"/>
          </w:tcPr>
          <w:p w14:paraId="1C297601" w14:textId="48E3E6B1" w:rsidR="00F17739" w:rsidRPr="00C002FA" w:rsidRDefault="00F17739" w:rsidP="00F17739">
            <w:pPr>
              <w:keepNext/>
              <w:spacing w:line="240" w:lineRule="auto"/>
              <w:ind w:left="0"/>
              <w:cnfStyle w:val="000000000000" w:firstRow="0" w:lastRow="0" w:firstColumn="0" w:lastColumn="0" w:oddVBand="0" w:evenVBand="0" w:oddHBand="0" w:evenHBand="0" w:firstRowFirstColumn="0" w:firstRowLastColumn="0" w:lastRowFirstColumn="0" w:lastRowLastColumn="0"/>
              <w:rPr>
                <w:b/>
                <w:bCs/>
                <w:lang w:val="en-GB"/>
              </w:rPr>
            </w:pPr>
            <w:r w:rsidRPr="00C002FA">
              <w:rPr>
                <w:rFonts w:ascii="Wingdings" w:eastAsia="Wingdings" w:hAnsi="Wingdings" w:cs="Wingdings"/>
                <w:b/>
                <w:lang w:val="en-GB"/>
              </w:rPr>
              <w:sym w:font="Wingdings" w:char="F0FC"/>
            </w:r>
          </w:p>
        </w:tc>
      </w:tr>
      <w:tr w:rsidR="00C002FA" w14:paraId="6D46ACEF" w14:textId="272F4063" w:rsidTr="00E66B9F">
        <w:trPr>
          <w:trHeight w:val="300"/>
        </w:trPr>
        <w:tc>
          <w:tcPr>
            <w:cnfStyle w:val="001000000000" w:firstRow="0" w:lastRow="0" w:firstColumn="1" w:lastColumn="0" w:oddVBand="0" w:evenVBand="0" w:oddHBand="0" w:evenHBand="0" w:firstRowFirstColumn="0" w:firstRowLastColumn="0" w:lastRowFirstColumn="0" w:lastRowLastColumn="0"/>
            <w:tcW w:w="1445" w:type="dxa"/>
            <w:vMerge/>
          </w:tcPr>
          <w:p w14:paraId="13593A22" w14:textId="2D53D66B" w:rsidR="00C002FA" w:rsidRPr="00163523" w:rsidRDefault="00C002FA" w:rsidP="0005079F">
            <w:pPr>
              <w:keepNext/>
              <w:spacing w:line="240" w:lineRule="auto"/>
              <w:ind w:left="0"/>
              <w:rPr>
                <w:b/>
                <w:lang w:val="en-GB"/>
              </w:rPr>
            </w:pPr>
          </w:p>
        </w:tc>
        <w:tc>
          <w:tcPr>
            <w:tcW w:w="4649" w:type="dxa"/>
            <w:noWrap/>
            <w:vAlign w:val="top"/>
          </w:tcPr>
          <w:p w14:paraId="6117E8B1" w14:textId="63E82912" w:rsidR="00C002FA" w:rsidRPr="00CE2B86" w:rsidRDefault="00F17739" w:rsidP="0005079F">
            <w:pPr>
              <w:keepNext/>
              <w:spacing w:line="240" w:lineRule="auto"/>
              <w:ind w:left="0"/>
              <w:jc w:val="left"/>
              <w:cnfStyle w:val="000000000000" w:firstRow="0" w:lastRow="0" w:firstColumn="0" w:lastColumn="0" w:oddVBand="0" w:evenVBand="0" w:oddHBand="0" w:evenHBand="0" w:firstRowFirstColumn="0" w:firstRowLastColumn="0" w:lastRowFirstColumn="0" w:lastRowLastColumn="0"/>
              <w:rPr>
                <w:lang w:val="en-GB"/>
              </w:rPr>
            </w:pPr>
            <w:r w:rsidRPr="0061523E">
              <w:rPr>
                <w:rFonts w:cs="Times New Roman"/>
                <w:lang w:val="en-GB"/>
              </w:rPr>
              <w:t xml:space="preserve">Lack of resources (human </w:t>
            </w:r>
            <w:r>
              <w:rPr>
                <w:rFonts w:cs="Times New Roman"/>
                <w:lang w:val="en-GB"/>
              </w:rPr>
              <w:t>and/or financial)</w:t>
            </w:r>
          </w:p>
        </w:tc>
        <w:tc>
          <w:tcPr>
            <w:tcW w:w="677" w:type="dxa"/>
          </w:tcPr>
          <w:p w14:paraId="79582503" w14:textId="5C7C8515" w:rsidR="00C002FA" w:rsidRPr="00C002FA" w:rsidRDefault="00F17739" w:rsidP="0005079F">
            <w:pPr>
              <w:keepNext/>
              <w:spacing w:line="240" w:lineRule="auto"/>
              <w:ind w:left="0"/>
              <w:cnfStyle w:val="000000000000" w:firstRow="0" w:lastRow="0" w:firstColumn="0" w:lastColumn="0" w:oddVBand="0" w:evenVBand="0" w:oddHBand="0" w:evenHBand="0" w:firstRowFirstColumn="0" w:firstRowLastColumn="0" w:lastRowFirstColumn="0" w:lastRowLastColumn="0"/>
              <w:rPr>
                <w:b/>
                <w:bCs/>
                <w:lang w:val="en-GB"/>
              </w:rPr>
            </w:pPr>
            <w:r w:rsidRPr="00C002FA">
              <w:rPr>
                <w:rFonts w:ascii="Wingdings" w:eastAsia="Wingdings" w:hAnsi="Wingdings" w:cs="Wingdings"/>
                <w:b/>
                <w:lang w:val="en-GB"/>
              </w:rPr>
              <w:sym w:font="Wingdings" w:char="F0FC"/>
            </w:r>
          </w:p>
        </w:tc>
        <w:tc>
          <w:tcPr>
            <w:tcW w:w="677" w:type="dxa"/>
          </w:tcPr>
          <w:p w14:paraId="4A81BA33" w14:textId="300A65E6" w:rsidR="00C002FA" w:rsidRPr="00C002FA" w:rsidRDefault="00F17739" w:rsidP="0005079F">
            <w:pPr>
              <w:keepNext/>
              <w:spacing w:line="240" w:lineRule="auto"/>
              <w:ind w:left="0"/>
              <w:cnfStyle w:val="000000000000" w:firstRow="0" w:lastRow="0" w:firstColumn="0" w:lastColumn="0" w:oddVBand="0" w:evenVBand="0" w:oddHBand="0" w:evenHBand="0" w:firstRowFirstColumn="0" w:firstRowLastColumn="0" w:lastRowFirstColumn="0" w:lastRowLastColumn="0"/>
              <w:rPr>
                <w:b/>
                <w:bCs/>
                <w:lang w:val="en-GB"/>
              </w:rPr>
            </w:pPr>
            <w:r w:rsidRPr="00C002FA">
              <w:rPr>
                <w:rFonts w:ascii="Wingdings" w:eastAsia="Wingdings" w:hAnsi="Wingdings" w:cs="Wingdings"/>
                <w:b/>
                <w:lang w:val="en-GB"/>
              </w:rPr>
              <w:sym w:font="Wingdings" w:char="F0FC"/>
            </w:r>
          </w:p>
        </w:tc>
        <w:tc>
          <w:tcPr>
            <w:tcW w:w="677" w:type="dxa"/>
          </w:tcPr>
          <w:p w14:paraId="663E265C" w14:textId="3F889FD3" w:rsidR="00C002FA" w:rsidRPr="00C002FA" w:rsidRDefault="00C002FA" w:rsidP="0005079F">
            <w:pPr>
              <w:keepNext/>
              <w:spacing w:line="240" w:lineRule="auto"/>
              <w:ind w:left="0"/>
              <w:cnfStyle w:val="000000000000" w:firstRow="0" w:lastRow="0" w:firstColumn="0" w:lastColumn="0" w:oddVBand="0" w:evenVBand="0" w:oddHBand="0" w:evenHBand="0" w:firstRowFirstColumn="0" w:firstRowLastColumn="0" w:lastRowFirstColumn="0" w:lastRowLastColumn="0"/>
              <w:rPr>
                <w:b/>
                <w:bCs/>
                <w:lang w:val="en-GB"/>
              </w:rPr>
            </w:pPr>
            <w:r w:rsidRPr="00C002FA">
              <w:rPr>
                <w:rFonts w:ascii="Wingdings" w:eastAsia="Wingdings" w:hAnsi="Wingdings" w:cs="Wingdings"/>
                <w:b/>
                <w:lang w:val="en-GB"/>
              </w:rPr>
              <w:sym w:font="Wingdings" w:char="F0FC"/>
            </w:r>
          </w:p>
        </w:tc>
        <w:tc>
          <w:tcPr>
            <w:tcW w:w="677" w:type="dxa"/>
          </w:tcPr>
          <w:p w14:paraId="75B3D567" w14:textId="77777777" w:rsidR="00C002FA" w:rsidRPr="00C002FA" w:rsidRDefault="00C002FA" w:rsidP="0005079F">
            <w:pPr>
              <w:keepNext/>
              <w:spacing w:line="240" w:lineRule="auto"/>
              <w:ind w:left="0"/>
              <w:cnfStyle w:val="000000000000" w:firstRow="0" w:lastRow="0" w:firstColumn="0" w:lastColumn="0" w:oddVBand="0" w:evenVBand="0" w:oddHBand="0" w:evenHBand="0" w:firstRowFirstColumn="0" w:firstRowLastColumn="0" w:lastRowFirstColumn="0" w:lastRowLastColumn="0"/>
              <w:rPr>
                <w:b/>
                <w:bCs/>
                <w:lang w:val="en-GB"/>
              </w:rPr>
            </w:pPr>
          </w:p>
        </w:tc>
        <w:tc>
          <w:tcPr>
            <w:tcW w:w="677" w:type="dxa"/>
          </w:tcPr>
          <w:p w14:paraId="150DEB37" w14:textId="776827EF" w:rsidR="00F17739" w:rsidRPr="00C002FA" w:rsidRDefault="00F17739" w:rsidP="00F17739">
            <w:pPr>
              <w:keepNext/>
              <w:spacing w:line="240" w:lineRule="auto"/>
              <w:ind w:left="0"/>
              <w:cnfStyle w:val="000000000000" w:firstRow="0" w:lastRow="0" w:firstColumn="0" w:lastColumn="0" w:oddVBand="0" w:evenVBand="0" w:oddHBand="0" w:evenHBand="0" w:firstRowFirstColumn="0" w:firstRowLastColumn="0" w:lastRowFirstColumn="0" w:lastRowLastColumn="0"/>
              <w:rPr>
                <w:b/>
                <w:bCs/>
                <w:lang w:val="en-GB"/>
              </w:rPr>
            </w:pPr>
            <w:r w:rsidRPr="00C002FA">
              <w:rPr>
                <w:rFonts w:ascii="Wingdings" w:eastAsia="Wingdings" w:hAnsi="Wingdings" w:cs="Wingdings"/>
                <w:b/>
                <w:lang w:val="en-GB"/>
              </w:rPr>
              <w:sym w:font="Wingdings" w:char="F0FC"/>
            </w:r>
          </w:p>
        </w:tc>
        <w:tc>
          <w:tcPr>
            <w:tcW w:w="677" w:type="dxa"/>
          </w:tcPr>
          <w:p w14:paraId="1FABD516" w14:textId="75CF536A" w:rsidR="00F17739" w:rsidRPr="00C002FA" w:rsidRDefault="00F17739" w:rsidP="00F17739">
            <w:pPr>
              <w:keepNext/>
              <w:spacing w:line="240" w:lineRule="auto"/>
              <w:ind w:left="0"/>
              <w:cnfStyle w:val="000000000000" w:firstRow="0" w:lastRow="0" w:firstColumn="0" w:lastColumn="0" w:oddVBand="0" w:evenVBand="0" w:oddHBand="0" w:evenHBand="0" w:firstRowFirstColumn="0" w:firstRowLastColumn="0" w:lastRowFirstColumn="0" w:lastRowLastColumn="0"/>
              <w:rPr>
                <w:b/>
                <w:bCs/>
                <w:lang w:val="en-GB"/>
              </w:rPr>
            </w:pPr>
            <w:r w:rsidRPr="00C002FA">
              <w:rPr>
                <w:rFonts w:ascii="Wingdings" w:eastAsia="Wingdings" w:hAnsi="Wingdings" w:cs="Wingdings"/>
                <w:b/>
                <w:lang w:val="en-GB"/>
              </w:rPr>
              <w:sym w:font="Wingdings" w:char="F0FC"/>
            </w:r>
          </w:p>
        </w:tc>
      </w:tr>
      <w:tr w:rsidR="00C002FA" w:rsidRPr="008937D9" w14:paraId="44B07106" w14:textId="4CCE42D3" w:rsidTr="00E66B9F">
        <w:trPr>
          <w:trHeight w:val="300"/>
        </w:trPr>
        <w:tc>
          <w:tcPr>
            <w:cnfStyle w:val="001000000000" w:firstRow="0" w:lastRow="0" w:firstColumn="1" w:lastColumn="0" w:oddVBand="0" w:evenVBand="0" w:oddHBand="0" w:evenHBand="0" w:firstRowFirstColumn="0" w:firstRowLastColumn="0" w:lastRowFirstColumn="0" w:lastRowLastColumn="0"/>
            <w:tcW w:w="1445" w:type="dxa"/>
            <w:vMerge w:val="restart"/>
          </w:tcPr>
          <w:p w14:paraId="4B653679" w14:textId="77777777" w:rsidR="00C002FA" w:rsidRPr="00163523" w:rsidRDefault="00C002FA" w:rsidP="0005079F">
            <w:pPr>
              <w:keepNext/>
              <w:spacing w:line="240" w:lineRule="auto"/>
              <w:ind w:left="0"/>
              <w:rPr>
                <w:b/>
                <w:lang w:val="en-GB"/>
              </w:rPr>
            </w:pPr>
            <w:r w:rsidRPr="00163523">
              <w:rPr>
                <w:b/>
                <w:lang w:val="en-GB"/>
              </w:rPr>
              <w:t>Regulatory</w:t>
            </w:r>
          </w:p>
        </w:tc>
        <w:tc>
          <w:tcPr>
            <w:tcW w:w="4649" w:type="dxa"/>
            <w:noWrap/>
            <w:vAlign w:val="top"/>
          </w:tcPr>
          <w:p w14:paraId="04E79E4C" w14:textId="3AC32CC9" w:rsidR="00C002FA" w:rsidRPr="00163523" w:rsidRDefault="00C002FA" w:rsidP="0005079F">
            <w:pPr>
              <w:keepNext/>
              <w:spacing w:line="240" w:lineRule="auto"/>
              <w:ind w:left="0"/>
              <w:jc w:val="left"/>
              <w:cnfStyle w:val="000000000000" w:firstRow="0" w:lastRow="0" w:firstColumn="0" w:lastColumn="0" w:oddVBand="0" w:evenVBand="0" w:oddHBand="0" w:evenHBand="0" w:firstRowFirstColumn="0" w:firstRowLastColumn="0" w:lastRowFirstColumn="0" w:lastRowLastColumn="0"/>
              <w:rPr>
                <w:lang w:val="en-GB"/>
              </w:rPr>
            </w:pPr>
            <w:r w:rsidRPr="00163523">
              <w:rPr>
                <w:lang w:val="en-GB"/>
              </w:rPr>
              <w:t>Local policies present barriers to implementation</w:t>
            </w:r>
          </w:p>
        </w:tc>
        <w:tc>
          <w:tcPr>
            <w:tcW w:w="677" w:type="dxa"/>
          </w:tcPr>
          <w:p w14:paraId="666C0D61" w14:textId="77777777" w:rsidR="00C002FA" w:rsidRPr="00163523" w:rsidRDefault="00C002FA" w:rsidP="0005079F">
            <w:pPr>
              <w:keepNext/>
              <w:spacing w:line="240" w:lineRule="auto"/>
              <w:ind w:left="0"/>
              <w:cnfStyle w:val="000000000000" w:firstRow="0" w:lastRow="0" w:firstColumn="0" w:lastColumn="0" w:oddVBand="0" w:evenVBand="0" w:oddHBand="0" w:evenHBand="0" w:firstRowFirstColumn="0" w:firstRowLastColumn="0" w:lastRowFirstColumn="0" w:lastRowLastColumn="0"/>
              <w:rPr>
                <w:b/>
                <w:lang w:val="en-GB"/>
              </w:rPr>
            </w:pPr>
          </w:p>
        </w:tc>
        <w:tc>
          <w:tcPr>
            <w:tcW w:w="677" w:type="dxa"/>
          </w:tcPr>
          <w:p w14:paraId="78BCB14E" w14:textId="76190D48" w:rsidR="00C002FA" w:rsidRPr="00163523" w:rsidRDefault="00C002FA" w:rsidP="0005079F">
            <w:pPr>
              <w:keepNext/>
              <w:spacing w:line="240" w:lineRule="auto"/>
              <w:ind w:left="0"/>
              <w:cnfStyle w:val="000000000000" w:firstRow="0" w:lastRow="0" w:firstColumn="0" w:lastColumn="0" w:oddVBand="0" w:evenVBand="0" w:oddHBand="0" w:evenHBand="0" w:firstRowFirstColumn="0" w:firstRowLastColumn="0" w:lastRowFirstColumn="0" w:lastRowLastColumn="0"/>
              <w:rPr>
                <w:b/>
                <w:lang w:val="en-GB"/>
              </w:rPr>
            </w:pPr>
            <w:r w:rsidRPr="00C002FA">
              <w:rPr>
                <w:rFonts w:ascii="Wingdings" w:eastAsia="Wingdings" w:hAnsi="Wingdings" w:cs="Wingdings"/>
                <w:b/>
                <w:lang w:val="en-GB"/>
              </w:rPr>
              <w:sym w:font="Wingdings" w:char="F0FC"/>
            </w:r>
          </w:p>
        </w:tc>
        <w:tc>
          <w:tcPr>
            <w:tcW w:w="677" w:type="dxa"/>
          </w:tcPr>
          <w:p w14:paraId="704B25E4" w14:textId="30C1676E" w:rsidR="00C002FA" w:rsidRPr="00163523" w:rsidRDefault="00C002FA" w:rsidP="0005079F">
            <w:pPr>
              <w:keepNext/>
              <w:spacing w:line="240" w:lineRule="auto"/>
              <w:ind w:left="0"/>
              <w:cnfStyle w:val="000000000000" w:firstRow="0" w:lastRow="0" w:firstColumn="0" w:lastColumn="0" w:oddVBand="0" w:evenVBand="0" w:oddHBand="0" w:evenHBand="0" w:firstRowFirstColumn="0" w:firstRowLastColumn="0" w:lastRowFirstColumn="0" w:lastRowLastColumn="0"/>
              <w:rPr>
                <w:b/>
                <w:lang w:val="en-GB"/>
              </w:rPr>
            </w:pPr>
            <w:r w:rsidRPr="00C002FA">
              <w:rPr>
                <w:rFonts w:ascii="Wingdings" w:eastAsia="Wingdings" w:hAnsi="Wingdings" w:cs="Wingdings"/>
                <w:b/>
                <w:lang w:val="en-GB"/>
              </w:rPr>
              <w:sym w:font="Wingdings" w:char="F0FC"/>
            </w:r>
          </w:p>
        </w:tc>
        <w:tc>
          <w:tcPr>
            <w:tcW w:w="677" w:type="dxa"/>
          </w:tcPr>
          <w:p w14:paraId="0B07606A" w14:textId="77777777" w:rsidR="00C002FA" w:rsidRPr="00163523" w:rsidRDefault="00C002FA" w:rsidP="0005079F">
            <w:pPr>
              <w:keepNext/>
              <w:spacing w:line="240" w:lineRule="auto"/>
              <w:ind w:left="0"/>
              <w:cnfStyle w:val="000000000000" w:firstRow="0" w:lastRow="0" w:firstColumn="0" w:lastColumn="0" w:oddVBand="0" w:evenVBand="0" w:oddHBand="0" w:evenHBand="0" w:firstRowFirstColumn="0" w:firstRowLastColumn="0" w:lastRowFirstColumn="0" w:lastRowLastColumn="0"/>
              <w:rPr>
                <w:b/>
                <w:lang w:val="en-GB"/>
              </w:rPr>
            </w:pPr>
          </w:p>
        </w:tc>
        <w:tc>
          <w:tcPr>
            <w:tcW w:w="677" w:type="dxa"/>
          </w:tcPr>
          <w:p w14:paraId="090C729F" w14:textId="77777777" w:rsidR="00F37E33" w:rsidRPr="00163523" w:rsidRDefault="00F37E33" w:rsidP="0005079F">
            <w:pPr>
              <w:keepNext/>
              <w:spacing w:line="240" w:lineRule="auto"/>
              <w:ind w:left="0"/>
              <w:cnfStyle w:val="000000000000" w:firstRow="0" w:lastRow="0" w:firstColumn="0" w:lastColumn="0" w:oddVBand="0" w:evenVBand="0" w:oddHBand="0" w:evenHBand="0" w:firstRowFirstColumn="0" w:firstRowLastColumn="0" w:lastRowFirstColumn="0" w:lastRowLastColumn="0"/>
              <w:rPr>
                <w:b/>
                <w:lang w:val="en-GB"/>
              </w:rPr>
            </w:pPr>
          </w:p>
        </w:tc>
        <w:tc>
          <w:tcPr>
            <w:tcW w:w="677" w:type="dxa"/>
          </w:tcPr>
          <w:p w14:paraId="0F41B307" w14:textId="77777777" w:rsidR="00F37E33" w:rsidRPr="00163523" w:rsidRDefault="00F37E33" w:rsidP="0005079F">
            <w:pPr>
              <w:keepNext/>
              <w:spacing w:line="240" w:lineRule="auto"/>
              <w:ind w:left="0"/>
              <w:cnfStyle w:val="000000000000" w:firstRow="0" w:lastRow="0" w:firstColumn="0" w:lastColumn="0" w:oddVBand="0" w:evenVBand="0" w:oddHBand="0" w:evenHBand="0" w:firstRowFirstColumn="0" w:firstRowLastColumn="0" w:lastRowFirstColumn="0" w:lastRowLastColumn="0"/>
              <w:rPr>
                <w:b/>
                <w:lang w:val="en-GB"/>
              </w:rPr>
            </w:pPr>
          </w:p>
        </w:tc>
      </w:tr>
      <w:tr w:rsidR="00C002FA" w:rsidRPr="00945E3B" w14:paraId="1D7C6C63" w14:textId="0197DDB6" w:rsidTr="00E66B9F">
        <w:trPr>
          <w:trHeight w:val="300"/>
        </w:trPr>
        <w:tc>
          <w:tcPr>
            <w:cnfStyle w:val="001000000000" w:firstRow="0" w:lastRow="0" w:firstColumn="1" w:lastColumn="0" w:oddVBand="0" w:evenVBand="0" w:oddHBand="0" w:evenHBand="0" w:firstRowFirstColumn="0" w:firstRowLastColumn="0" w:lastRowFirstColumn="0" w:lastRowLastColumn="0"/>
            <w:tcW w:w="1445" w:type="dxa"/>
            <w:vMerge/>
          </w:tcPr>
          <w:p w14:paraId="3FECBB7C" w14:textId="5C27B94E" w:rsidR="00C002FA" w:rsidRPr="00163523" w:rsidRDefault="00C002FA" w:rsidP="0005079F">
            <w:pPr>
              <w:keepNext/>
              <w:spacing w:line="240" w:lineRule="auto"/>
              <w:ind w:left="0"/>
              <w:rPr>
                <w:b/>
                <w:lang w:val="en-GB"/>
              </w:rPr>
            </w:pPr>
          </w:p>
        </w:tc>
        <w:tc>
          <w:tcPr>
            <w:tcW w:w="4649" w:type="dxa"/>
            <w:noWrap/>
            <w:vAlign w:val="top"/>
          </w:tcPr>
          <w:p w14:paraId="77E168BF" w14:textId="6C99E9B1" w:rsidR="00C002FA" w:rsidRPr="00CE2B86" w:rsidRDefault="00C002FA" w:rsidP="0005079F">
            <w:pPr>
              <w:keepNext/>
              <w:spacing w:line="240" w:lineRule="auto"/>
              <w:ind w:left="0"/>
              <w:jc w:val="left"/>
              <w:cnfStyle w:val="000000000000" w:firstRow="0" w:lastRow="0" w:firstColumn="0" w:lastColumn="0" w:oddVBand="0" w:evenVBand="0" w:oddHBand="0" w:evenHBand="0" w:firstRowFirstColumn="0" w:firstRowLastColumn="0" w:lastRowFirstColumn="0" w:lastRowLastColumn="0"/>
              <w:rPr>
                <w:lang w:val="en-GB"/>
              </w:rPr>
            </w:pPr>
            <w:r w:rsidRPr="00163523">
              <w:rPr>
                <w:lang w:val="en-GB"/>
              </w:rPr>
              <w:t>National policies present barriers to implementation</w:t>
            </w:r>
          </w:p>
        </w:tc>
        <w:tc>
          <w:tcPr>
            <w:tcW w:w="677" w:type="dxa"/>
          </w:tcPr>
          <w:p w14:paraId="1DC51FF0" w14:textId="77777777" w:rsidR="00C002FA" w:rsidRPr="00C002FA" w:rsidRDefault="00C002FA" w:rsidP="0005079F">
            <w:pPr>
              <w:keepNext/>
              <w:spacing w:line="240" w:lineRule="auto"/>
              <w:ind w:left="0"/>
              <w:cnfStyle w:val="000000000000" w:firstRow="0" w:lastRow="0" w:firstColumn="0" w:lastColumn="0" w:oddVBand="0" w:evenVBand="0" w:oddHBand="0" w:evenHBand="0" w:firstRowFirstColumn="0" w:firstRowLastColumn="0" w:lastRowFirstColumn="0" w:lastRowLastColumn="0"/>
              <w:rPr>
                <w:b/>
                <w:bCs/>
                <w:lang w:val="en-GB"/>
              </w:rPr>
            </w:pPr>
          </w:p>
        </w:tc>
        <w:tc>
          <w:tcPr>
            <w:tcW w:w="677" w:type="dxa"/>
          </w:tcPr>
          <w:p w14:paraId="476D0358" w14:textId="3A1F6803" w:rsidR="00C002FA" w:rsidRPr="00C002FA" w:rsidRDefault="00C002FA" w:rsidP="0005079F">
            <w:pPr>
              <w:keepNext/>
              <w:spacing w:line="240" w:lineRule="auto"/>
              <w:ind w:left="0"/>
              <w:cnfStyle w:val="000000000000" w:firstRow="0" w:lastRow="0" w:firstColumn="0" w:lastColumn="0" w:oddVBand="0" w:evenVBand="0" w:oddHBand="0" w:evenHBand="0" w:firstRowFirstColumn="0" w:firstRowLastColumn="0" w:lastRowFirstColumn="0" w:lastRowLastColumn="0"/>
              <w:rPr>
                <w:b/>
                <w:bCs/>
                <w:lang w:val="en-GB"/>
              </w:rPr>
            </w:pPr>
            <w:r w:rsidRPr="00C002FA">
              <w:rPr>
                <w:rFonts w:ascii="Wingdings" w:eastAsia="Wingdings" w:hAnsi="Wingdings" w:cs="Wingdings"/>
                <w:b/>
                <w:lang w:val="en-GB"/>
              </w:rPr>
              <w:sym w:font="Wingdings" w:char="F0FC"/>
            </w:r>
          </w:p>
        </w:tc>
        <w:tc>
          <w:tcPr>
            <w:tcW w:w="677" w:type="dxa"/>
          </w:tcPr>
          <w:p w14:paraId="5E248D57" w14:textId="06A9C2C0" w:rsidR="00C002FA" w:rsidRPr="00C002FA" w:rsidRDefault="00C002FA" w:rsidP="0005079F">
            <w:pPr>
              <w:keepNext/>
              <w:spacing w:line="240" w:lineRule="auto"/>
              <w:ind w:left="0"/>
              <w:cnfStyle w:val="000000000000" w:firstRow="0" w:lastRow="0" w:firstColumn="0" w:lastColumn="0" w:oddVBand="0" w:evenVBand="0" w:oddHBand="0" w:evenHBand="0" w:firstRowFirstColumn="0" w:firstRowLastColumn="0" w:lastRowFirstColumn="0" w:lastRowLastColumn="0"/>
              <w:rPr>
                <w:b/>
                <w:bCs/>
                <w:lang w:val="en-GB"/>
              </w:rPr>
            </w:pPr>
            <w:r w:rsidRPr="00C002FA">
              <w:rPr>
                <w:rFonts w:ascii="Wingdings" w:eastAsia="Wingdings" w:hAnsi="Wingdings" w:cs="Wingdings"/>
                <w:b/>
                <w:lang w:val="en-GB"/>
              </w:rPr>
              <w:sym w:font="Wingdings" w:char="F0FC"/>
            </w:r>
          </w:p>
        </w:tc>
        <w:tc>
          <w:tcPr>
            <w:tcW w:w="677" w:type="dxa"/>
          </w:tcPr>
          <w:p w14:paraId="4C301BE2" w14:textId="01118B8D" w:rsidR="00C002FA" w:rsidRPr="00C002FA" w:rsidRDefault="00C002FA" w:rsidP="0005079F">
            <w:pPr>
              <w:keepNext/>
              <w:spacing w:line="240" w:lineRule="auto"/>
              <w:ind w:left="0"/>
              <w:cnfStyle w:val="000000000000" w:firstRow="0" w:lastRow="0" w:firstColumn="0" w:lastColumn="0" w:oddVBand="0" w:evenVBand="0" w:oddHBand="0" w:evenHBand="0" w:firstRowFirstColumn="0" w:firstRowLastColumn="0" w:lastRowFirstColumn="0" w:lastRowLastColumn="0"/>
              <w:rPr>
                <w:b/>
                <w:bCs/>
                <w:lang w:val="en-GB"/>
              </w:rPr>
            </w:pPr>
            <w:r w:rsidRPr="00C002FA">
              <w:rPr>
                <w:rFonts w:ascii="Wingdings" w:eastAsia="Wingdings" w:hAnsi="Wingdings" w:cs="Wingdings"/>
                <w:b/>
                <w:lang w:val="en-GB"/>
              </w:rPr>
              <w:sym w:font="Wingdings" w:char="F0FC"/>
            </w:r>
          </w:p>
        </w:tc>
        <w:tc>
          <w:tcPr>
            <w:tcW w:w="677" w:type="dxa"/>
          </w:tcPr>
          <w:p w14:paraId="24A72ECF" w14:textId="77777777" w:rsidR="00F37E33" w:rsidRPr="00C002FA" w:rsidRDefault="00F37E33" w:rsidP="0005079F">
            <w:pPr>
              <w:keepNext/>
              <w:spacing w:line="240" w:lineRule="auto"/>
              <w:ind w:left="0"/>
              <w:cnfStyle w:val="000000000000" w:firstRow="0" w:lastRow="0" w:firstColumn="0" w:lastColumn="0" w:oddVBand="0" w:evenVBand="0" w:oddHBand="0" w:evenHBand="0" w:firstRowFirstColumn="0" w:firstRowLastColumn="0" w:lastRowFirstColumn="0" w:lastRowLastColumn="0"/>
              <w:rPr>
                <w:b/>
                <w:bCs/>
                <w:lang w:val="en-GB"/>
              </w:rPr>
            </w:pPr>
          </w:p>
        </w:tc>
        <w:tc>
          <w:tcPr>
            <w:tcW w:w="677" w:type="dxa"/>
          </w:tcPr>
          <w:p w14:paraId="534C35B4" w14:textId="42B52CC8" w:rsidR="00BE2A43" w:rsidRPr="00C002FA" w:rsidRDefault="00BE2A43" w:rsidP="0005079F">
            <w:pPr>
              <w:keepNext/>
              <w:spacing w:line="240" w:lineRule="auto"/>
              <w:ind w:left="0"/>
              <w:cnfStyle w:val="000000000000" w:firstRow="0" w:lastRow="0" w:firstColumn="0" w:lastColumn="0" w:oddVBand="0" w:evenVBand="0" w:oddHBand="0" w:evenHBand="0" w:firstRowFirstColumn="0" w:firstRowLastColumn="0" w:lastRowFirstColumn="0" w:lastRowLastColumn="0"/>
              <w:rPr>
                <w:b/>
                <w:bCs/>
                <w:lang w:val="en-GB"/>
              </w:rPr>
            </w:pPr>
            <w:r w:rsidRPr="00C002FA">
              <w:rPr>
                <w:rFonts w:ascii="Wingdings" w:eastAsia="Wingdings" w:hAnsi="Wingdings" w:cs="Wingdings"/>
                <w:b/>
                <w:lang w:val="en-GB"/>
              </w:rPr>
              <w:sym w:font="Wingdings" w:char="F0FC"/>
            </w:r>
          </w:p>
        </w:tc>
      </w:tr>
      <w:tr w:rsidR="00C002FA" w:rsidRPr="00945E3B" w14:paraId="077F97E0" w14:textId="738FE53A" w:rsidTr="00E66B9F">
        <w:trPr>
          <w:trHeight w:val="300"/>
        </w:trPr>
        <w:tc>
          <w:tcPr>
            <w:cnfStyle w:val="001000000000" w:firstRow="0" w:lastRow="0" w:firstColumn="1" w:lastColumn="0" w:oddVBand="0" w:evenVBand="0" w:oddHBand="0" w:evenHBand="0" w:firstRowFirstColumn="0" w:firstRowLastColumn="0" w:lastRowFirstColumn="0" w:lastRowLastColumn="0"/>
            <w:tcW w:w="1445" w:type="dxa"/>
            <w:vMerge/>
          </w:tcPr>
          <w:p w14:paraId="3627E127" w14:textId="7AFCDE0B" w:rsidR="00C002FA" w:rsidRPr="00163523" w:rsidRDefault="00C002FA" w:rsidP="0005079F">
            <w:pPr>
              <w:keepNext/>
              <w:spacing w:line="240" w:lineRule="auto"/>
              <w:ind w:left="0"/>
              <w:rPr>
                <w:b/>
                <w:lang w:val="en-GB"/>
              </w:rPr>
            </w:pPr>
          </w:p>
        </w:tc>
        <w:tc>
          <w:tcPr>
            <w:tcW w:w="4649" w:type="dxa"/>
            <w:noWrap/>
            <w:vAlign w:val="top"/>
          </w:tcPr>
          <w:p w14:paraId="32F56963" w14:textId="67A720DC" w:rsidR="00C002FA" w:rsidRPr="00CE2B86" w:rsidRDefault="00C002FA" w:rsidP="0005079F">
            <w:pPr>
              <w:keepNext/>
              <w:spacing w:line="240" w:lineRule="auto"/>
              <w:ind w:left="0"/>
              <w:jc w:val="left"/>
              <w:cnfStyle w:val="000000000000" w:firstRow="0" w:lastRow="0" w:firstColumn="0" w:lastColumn="0" w:oddVBand="0" w:evenVBand="0" w:oddHBand="0" w:evenHBand="0" w:firstRowFirstColumn="0" w:firstRowLastColumn="0" w:lastRowFirstColumn="0" w:lastRowLastColumn="0"/>
              <w:rPr>
                <w:lang w:val="en-GB"/>
              </w:rPr>
            </w:pPr>
            <w:r w:rsidRPr="00163523">
              <w:rPr>
                <w:lang w:val="en-GB"/>
              </w:rPr>
              <w:t xml:space="preserve">EU or international policies present barriers to implementation </w:t>
            </w:r>
          </w:p>
        </w:tc>
        <w:tc>
          <w:tcPr>
            <w:tcW w:w="677" w:type="dxa"/>
          </w:tcPr>
          <w:p w14:paraId="0BD8DB1A" w14:textId="77777777" w:rsidR="00C002FA" w:rsidRPr="00C002FA" w:rsidRDefault="00C002FA" w:rsidP="0005079F">
            <w:pPr>
              <w:keepNext/>
              <w:spacing w:line="240" w:lineRule="auto"/>
              <w:ind w:left="0"/>
              <w:cnfStyle w:val="000000000000" w:firstRow="0" w:lastRow="0" w:firstColumn="0" w:lastColumn="0" w:oddVBand="0" w:evenVBand="0" w:oddHBand="0" w:evenHBand="0" w:firstRowFirstColumn="0" w:firstRowLastColumn="0" w:lastRowFirstColumn="0" w:lastRowLastColumn="0"/>
              <w:rPr>
                <w:b/>
                <w:bCs/>
                <w:lang w:val="en-GB"/>
              </w:rPr>
            </w:pPr>
          </w:p>
        </w:tc>
        <w:tc>
          <w:tcPr>
            <w:tcW w:w="677" w:type="dxa"/>
          </w:tcPr>
          <w:p w14:paraId="195A29A6" w14:textId="61E60172" w:rsidR="00C002FA" w:rsidRPr="00C002FA" w:rsidRDefault="00C002FA" w:rsidP="0005079F">
            <w:pPr>
              <w:keepNext/>
              <w:spacing w:line="240" w:lineRule="auto"/>
              <w:ind w:left="0"/>
              <w:cnfStyle w:val="000000000000" w:firstRow="0" w:lastRow="0" w:firstColumn="0" w:lastColumn="0" w:oddVBand="0" w:evenVBand="0" w:oddHBand="0" w:evenHBand="0" w:firstRowFirstColumn="0" w:firstRowLastColumn="0" w:lastRowFirstColumn="0" w:lastRowLastColumn="0"/>
              <w:rPr>
                <w:b/>
                <w:bCs/>
                <w:lang w:val="en-GB"/>
              </w:rPr>
            </w:pPr>
            <w:r w:rsidRPr="00C002FA">
              <w:rPr>
                <w:rFonts w:ascii="Wingdings" w:eastAsia="Wingdings" w:hAnsi="Wingdings" w:cs="Wingdings"/>
                <w:b/>
                <w:lang w:val="en-GB"/>
              </w:rPr>
              <w:sym w:font="Wingdings" w:char="F0FC"/>
            </w:r>
          </w:p>
        </w:tc>
        <w:tc>
          <w:tcPr>
            <w:tcW w:w="677" w:type="dxa"/>
          </w:tcPr>
          <w:p w14:paraId="32FC776F" w14:textId="2239A3EF" w:rsidR="00C002FA" w:rsidRPr="00C002FA" w:rsidRDefault="00C002FA" w:rsidP="0005079F">
            <w:pPr>
              <w:keepNext/>
              <w:spacing w:line="240" w:lineRule="auto"/>
              <w:ind w:left="0"/>
              <w:cnfStyle w:val="000000000000" w:firstRow="0" w:lastRow="0" w:firstColumn="0" w:lastColumn="0" w:oddVBand="0" w:evenVBand="0" w:oddHBand="0" w:evenHBand="0" w:firstRowFirstColumn="0" w:firstRowLastColumn="0" w:lastRowFirstColumn="0" w:lastRowLastColumn="0"/>
              <w:rPr>
                <w:b/>
                <w:bCs/>
                <w:lang w:val="en-GB"/>
              </w:rPr>
            </w:pPr>
            <w:r w:rsidRPr="00C002FA">
              <w:rPr>
                <w:rFonts w:ascii="Wingdings" w:eastAsia="Wingdings" w:hAnsi="Wingdings" w:cs="Wingdings"/>
                <w:b/>
                <w:lang w:val="en-GB"/>
              </w:rPr>
              <w:sym w:font="Wingdings" w:char="F0FC"/>
            </w:r>
          </w:p>
        </w:tc>
        <w:tc>
          <w:tcPr>
            <w:tcW w:w="677" w:type="dxa"/>
          </w:tcPr>
          <w:p w14:paraId="1A7EA4A9" w14:textId="22C88135" w:rsidR="00C002FA" w:rsidRPr="00C002FA" w:rsidRDefault="00C002FA" w:rsidP="0005079F">
            <w:pPr>
              <w:keepNext/>
              <w:spacing w:line="240" w:lineRule="auto"/>
              <w:ind w:left="0"/>
              <w:cnfStyle w:val="000000000000" w:firstRow="0" w:lastRow="0" w:firstColumn="0" w:lastColumn="0" w:oddVBand="0" w:evenVBand="0" w:oddHBand="0" w:evenHBand="0" w:firstRowFirstColumn="0" w:firstRowLastColumn="0" w:lastRowFirstColumn="0" w:lastRowLastColumn="0"/>
              <w:rPr>
                <w:b/>
                <w:bCs/>
                <w:lang w:val="en-GB"/>
              </w:rPr>
            </w:pPr>
            <w:r w:rsidRPr="00C002FA">
              <w:rPr>
                <w:rFonts w:ascii="Wingdings" w:eastAsia="Wingdings" w:hAnsi="Wingdings" w:cs="Wingdings"/>
                <w:b/>
                <w:lang w:val="en-GB"/>
              </w:rPr>
              <w:sym w:font="Wingdings" w:char="F0FC"/>
            </w:r>
          </w:p>
        </w:tc>
        <w:tc>
          <w:tcPr>
            <w:tcW w:w="677" w:type="dxa"/>
          </w:tcPr>
          <w:p w14:paraId="673396C9" w14:textId="77777777" w:rsidR="00F37E33" w:rsidRPr="00C002FA" w:rsidRDefault="00F37E33" w:rsidP="0005079F">
            <w:pPr>
              <w:keepNext/>
              <w:spacing w:line="240" w:lineRule="auto"/>
              <w:ind w:left="0"/>
              <w:cnfStyle w:val="000000000000" w:firstRow="0" w:lastRow="0" w:firstColumn="0" w:lastColumn="0" w:oddVBand="0" w:evenVBand="0" w:oddHBand="0" w:evenHBand="0" w:firstRowFirstColumn="0" w:firstRowLastColumn="0" w:lastRowFirstColumn="0" w:lastRowLastColumn="0"/>
              <w:rPr>
                <w:b/>
                <w:bCs/>
                <w:lang w:val="en-GB"/>
              </w:rPr>
            </w:pPr>
          </w:p>
        </w:tc>
        <w:tc>
          <w:tcPr>
            <w:tcW w:w="677" w:type="dxa"/>
          </w:tcPr>
          <w:p w14:paraId="09383661" w14:textId="52032626" w:rsidR="00BE2A43" w:rsidRPr="00C002FA" w:rsidRDefault="00BE2A43" w:rsidP="0005079F">
            <w:pPr>
              <w:keepNext/>
              <w:spacing w:line="240" w:lineRule="auto"/>
              <w:ind w:left="0"/>
              <w:cnfStyle w:val="000000000000" w:firstRow="0" w:lastRow="0" w:firstColumn="0" w:lastColumn="0" w:oddVBand="0" w:evenVBand="0" w:oddHBand="0" w:evenHBand="0" w:firstRowFirstColumn="0" w:firstRowLastColumn="0" w:lastRowFirstColumn="0" w:lastRowLastColumn="0"/>
              <w:rPr>
                <w:b/>
                <w:bCs/>
                <w:lang w:val="en-GB"/>
              </w:rPr>
            </w:pPr>
            <w:r w:rsidRPr="00C002FA">
              <w:rPr>
                <w:rFonts w:ascii="Wingdings" w:eastAsia="Wingdings" w:hAnsi="Wingdings" w:cs="Wingdings"/>
                <w:b/>
                <w:lang w:val="en-GB"/>
              </w:rPr>
              <w:sym w:font="Wingdings" w:char="F0FC"/>
            </w:r>
          </w:p>
        </w:tc>
      </w:tr>
      <w:tr w:rsidR="00C002FA" w:rsidRPr="00945E3B" w14:paraId="24D4984F" w14:textId="47955799" w:rsidTr="00E66B9F">
        <w:trPr>
          <w:trHeight w:val="300"/>
        </w:trPr>
        <w:tc>
          <w:tcPr>
            <w:cnfStyle w:val="001000000000" w:firstRow="0" w:lastRow="0" w:firstColumn="1" w:lastColumn="0" w:oddVBand="0" w:evenVBand="0" w:oddHBand="0" w:evenHBand="0" w:firstRowFirstColumn="0" w:firstRowLastColumn="0" w:lastRowFirstColumn="0" w:lastRowLastColumn="0"/>
            <w:tcW w:w="1445" w:type="dxa"/>
            <w:vMerge/>
          </w:tcPr>
          <w:p w14:paraId="443FADC6" w14:textId="51DF3DBD" w:rsidR="00C002FA" w:rsidRPr="00163523" w:rsidRDefault="00C002FA" w:rsidP="0005079F">
            <w:pPr>
              <w:keepNext/>
              <w:spacing w:line="240" w:lineRule="auto"/>
              <w:ind w:left="0"/>
              <w:rPr>
                <w:b/>
                <w:lang w:val="en-GB"/>
              </w:rPr>
            </w:pPr>
          </w:p>
        </w:tc>
        <w:tc>
          <w:tcPr>
            <w:tcW w:w="4649" w:type="dxa"/>
            <w:noWrap/>
          </w:tcPr>
          <w:p w14:paraId="59FA6AC2" w14:textId="7EF5EB7B" w:rsidR="00C002FA" w:rsidRPr="00CE2B86" w:rsidRDefault="00C002FA" w:rsidP="0005079F">
            <w:pPr>
              <w:keepNext/>
              <w:spacing w:line="240" w:lineRule="auto"/>
              <w:ind w:left="0"/>
              <w:jc w:val="left"/>
              <w:cnfStyle w:val="000000000000" w:firstRow="0" w:lastRow="0" w:firstColumn="0" w:lastColumn="0" w:oddVBand="0" w:evenVBand="0" w:oddHBand="0" w:evenHBand="0" w:firstRowFirstColumn="0" w:firstRowLastColumn="0" w:lastRowFirstColumn="0" w:lastRowLastColumn="0"/>
              <w:rPr>
                <w:lang w:val="en-GB"/>
              </w:rPr>
            </w:pPr>
            <w:r w:rsidRPr="00163523">
              <w:rPr>
                <w:rFonts w:cs="Times New Roman"/>
                <w:lang w:val="en-GB"/>
              </w:rPr>
              <w:t>Weak/lack of planning on local level</w:t>
            </w:r>
          </w:p>
        </w:tc>
        <w:tc>
          <w:tcPr>
            <w:tcW w:w="677" w:type="dxa"/>
          </w:tcPr>
          <w:p w14:paraId="76DE688B" w14:textId="77777777" w:rsidR="00C002FA" w:rsidRPr="00C002FA" w:rsidRDefault="00C002FA" w:rsidP="0005079F">
            <w:pPr>
              <w:keepNext/>
              <w:spacing w:line="240" w:lineRule="auto"/>
              <w:ind w:left="0"/>
              <w:cnfStyle w:val="000000000000" w:firstRow="0" w:lastRow="0" w:firstColumn="0" w:lastColumn="0" w:oddVBand="0" w:evenVBand="0" w:oddHBand="0" w:evenHBand="0" w:firstRowFirstColumn="0" w:firstRowLastColumn="0" w:lastRowFirstColumn="0" w:lastRowLastColumn="0"/>
              <w:rPr>
                <w:b/>
                <w:bCs/>
                <w:lang w:val="en-GB"/>
              </w:rPr>
            </w:pPr>
          </w:p>
        </w:tc>
        <w:tc>
          <w:tcPr>
            <w:tcW w:w="677" w:type="dxa"/>
          </w:tcPr>
          <w:p w14:paraId="4D5D950E" w14:textId="77777777" w:rsidR="00C002FA" w:rsidRPr="00C002FA" w:rsidRDefault="00C002FA" w:rsidP="0005079F">
            <w:pPr>
              <w:keepNext/>
              <w:spacing w:line="240" w:lineRule="auto"/>
              <w:ind w:left="0"/>
              <w:cnfStyle w:val="000000000000" w:firstRow="0" w:lastRow="0" w:firstColumn="0" w:lastColumn="0" w:oddVBand="0" w:evenVBand="0" w:oddHBand="0" w:evenHBand="0" w:firstRowFirstColumn="0" w:firstRowLastColumn="0" w:lastRowFirstColumn="0" w:lastRowLastColumn="0"/>
              <w:rPr>
                <w:b/>
                <w:bCs/>
                <w:lang w:val="en-GB"/>
              </w:rPr>
            </w:pPr>
          </w:p>
        </w:tc>
        <w:tc>
          <w:tcPr>
            <w:tcW w:w="677" w:type="dxa"/>
          </w:tcPr>
          <w:p w14:paraId="1A2C1DF8" w14:textId="4C322F78" w:rsidR="00C002FA" w:rsidRPr="00C002FA" w:rsidRDefault="00C002FA" w:rsidP="0005079F">
            <w:pPr>
              <w:keepNext/>
              <w:spacing w:line="240" w:lineRule="auto"/>
              <w:ind w:left="0"/>
              <w:cnfStyle w:val="000000000000" w:firstRow="0" w:lastRow="0" w:firstColumn="0" w:lastColumn="0" w:oddVBand="0" w:evenVBand="0" w:oddHBand="0" w:evenHBand="0" w:firstRowFirstColumn="0" w:firstRowLastColumn="0" w:lastRowFirstColumn="0" w:lastRowLastColumn="0"/>
              <w:rPr>
                <w:b/>
                <w:bCs/>
                <w:lang w:val="en-GB"/>
              </w:rPr>
            </w:pPr>
            <w:r w:rsidRPr="00C002FA">
              <w:rPr>
                <w:rFonts w:ascii="Wingdings" w:eastAsia="Wingdings" w:hAnsi="Wingdings" w:cs="Wingdings"/>
                <w:b/>
                <w:lang w:val="en-GB"/>
              </w:rPr>
              <w:sym w:font="Wingdings" w:char="F0FC"/>
            </w:r>
          </w:p>
        </w:tc>
        <w:tc>
          <w:tcPr>
            <w:tcW w:w="677" w:type="dxa"/>
          </w:tcPr>
          <w:p w14:paraId="29866B71" w14:textId="77777777" w:rsidR="00C002FA" w:rsidRPr="00C002FA" w:rsidRDefault="00C002FA" w:rsidP="0005079F">
            <w:pPr>
              <w:keepNext/>
              <w:spacing w:line="240" w:lineRule="auto"/>
              <w:ind w:left="0"/>
              <w:cnfStyle w:val="000000000000" w:firstRow="0" w:lastRow="0" w:firstColumn="0" w:lastColumn="0" w:oddVBand="0" w:evenVBand="0" w:oddHBand="0" w:evenHBand="0" w:firstRowFirstColumn="0" w:firstRowLastColumn="0" w:lastRowFirstColumn="0" w:lastRowLastColumn="0"/>
              <w:rPr>
                <w:b/>
                <w:bCs/>
                <w:lang w:val="en-GB"/>
              </w:rPr>
            </w:pPr>
          </w:p>
        </w:tc>
        <w:tc>
          <w:tcPr>
            <w:tcW w:w="677" w:type="dxa"/>
          </w:tcPr>
          <w:p w14:paraId="5188E846" w14:textId="77777777" w:rsidR="00F37E33" w:rsidRPr="00C002FA" w:rsidRDefault="00F37E33" w:rsidP="0005079F">
            <w:pPr>
              <w:keepNext/>
              <w:spacing w:line="240" w:lineRule="auto"/>
              <w:ind w:left="0"/>
              <w:cnfStyle w:val="000000000000" w:firstRow="0" w:lastRow="0" w:firstColumn="0" w:lastColumn="0" w:oddVBand="0" w:evenVBand="0" w:oddHBand="0" w:evenHBand="0" w:firstRowFirstColumn="0" w:firstRowLastColumn="0" w:lastRowFirstColumn="0" w:lastRowLastColumn="0"/>
              <w:rPr>
                <w:b/>
                <w:bCs/>
                <w:lang w:val="en-GB"/>
              </w:rPr>
            </w:pPr>
          </w:p>
        </w:tc>
        <w:tc>
          <w:tcPr>
            <w:tcW w:w="677" w:type="dxa"/>
          </w:tcPr>
          <w:p w14:paraId="045006F3" w14:textId="77777777" w:rsidR="00F37E33" w:rsidRPr="00C002FA" w:rsidRDefault="00F37E33" w:rsidP="0005079F">
            <w:pPr>
              <w:keepNext/>
              <w:spacing w:line="240" w:lineRule="auto"/>
              <w:ind w:left="0"/>
              <w:cnfStyle w:val="000000000000" w:firstRow="0" w:lastRow="0" w:firstColumn="0" w:lastColumn="0" w:oddVBand="0" w:evenVBand="0" w:oddHBand="0" w:evenHBand="0" w:firstRowFirstColumn="0" w:firstRowLastColumn="0" w:lastRowFirstColumn="0" w:lastRowLastColumn="0"/>
              <w:rPr>
                <w:b/>
                <w:bCs/>
                <w:lang w:val="en-GB"/>
              </w:rPr>
            </w:pPr>
          </w:p>
        </w:tc>
      </w:tr>
      <w:tr w:rsidR="00C002FA" w:rsidRPr="008937D9" w14:paraId="5158B06B" w14:textId="44844444" w:rsidTr="00E66B9F">
        <w:trPr>
          <w:trHeight w:val="300"/>
        </w:trPr>
        <w:tc>
          <w:tcPr>
            <w:cnfStyle w:val="001000000000" w:firstRow="0" w:lastRow="0" w:firstColumn="1" w:lastColumn="0" w:oddVBand="0" w:evenVBand="0" w:oddHBand="0" w:evenHBand="0" w:firstRowFirstColumn="0" w:firstRowLastColumn="0" w:lastRowFirstColumn="0" w:lastRowLastColumn="0"/>
            <w:tcW w:w="1445" w:type="dxa"/>
            <w:vMerge w:val="restart"/>
          </w:tcPr>
          <w:p w14:paraId="4956D553" w14:textId="616D924F" w:rsidR="00C002FA" w:rsidRPr="00E47EEA" w:rsidRDefault="00C002FA" w:rsidP="0005079F">
            <w:pPr>
              <w:keepNext/>
              <w:spacing w:line="240" w:lineRule="auto"/>
              <w:ind w:left="0"/>
              <w:rPr>
                <w:b/>
                <w:bCs/>
                <w:lang w:val="en-GB"/>
              </w:rPr>
            </w:pPr>
            <w:r w:rsidRPr="00E47EEA">
              <w:rPr>
                <w:b/>
                <w:bCs/>
                <w:lang w:val="en-GB"/>
              </w:rPr>
              <w:t>Social</w:t>
            </w:r>
          </w:p>
        </w:tc>
        <w:tc>
          <w:tcPr>
            <w:tcW w:w="4649" w:type="dxa"/>
            <w:noWrap/>
            <w:vAlign w:val="top"/>
          </w:tcPr>
          <w:p w14:paraId="2342B64F" w14:textId="22B0439E" w:rsidR="00C002FA" w:rsidRPr="00163523" w:rsidRDefault="00C002FA" w:rsidP="0005079F">
            <w:pPr>
              <w:keepNext/>
              <w:spacing w:line="240" w:lineRule="auto"/>
              <w:ind w:left="0"/>
              <w:jc w:val="left"/>
              <w:cnfStyle w:val="000000000000" w:firstRow="0" w:lastRow="0" w:firstColumn="0" w:lastColumn="0" w:oddVBand="0" w:evenVBand="0" w:oddHBand="0" w:evenHBand="0" w:firstRowFirstColumn="0" w:firstRowLastColumn="0" w:lastRowFirstColumn="0" w:lastRowLastColumn="0"/>
              <w:rPr>
                <w:lang w:val="en-GB"/>
              </w:rPr>
            </w:pPr>
            <w:r w:rsidRPr="00163523">
              <w:rPr>
                <w:lang w:val="en-GB"/>
              </w:rPr>
              <w:t>Local opposition to new infrastructure/"NIMBY-ism"</w:t>
            </w:r>
          </w:p>
        </w:tc>
        <w:tc>
          <w:tcPr>
            <w:tcW w:w="677" w:type="dxa"/>
          </w:tcPr>
          <w:p w14:paraId="21BEB8E6" w14:textId="77777777" w:rsidR="00C002FA" w:rsidRPr="00163523" w:rsidRDefault="00C002FA" w:rsidP="0005079F">
            <w:pPr>
              <w:keepNext/>
              <w:spacing w:line="240" w:lineRule="auto"/>
              <w:ind w:left="0"/>
              <w:cnfStyle w:val="000000000000" w:firstRow="0" w:lastRow="0" w:firstColumn="0" w:lastColumn="0" w:oddVBand="0" w:evenVBand="0" w:oddHBand="0" w:evenHBand="0" w:firstRowFirstColumn="0" w:firstRowLastColumn="0" w:lastRowFirstColumn="0" w:lastRowLastColumn="0"/>
              <w:rPr>
                <w:b/>
                <w:lang w:val="en-GB"/>
              </w:rPr>
            </w:pPr>
          </w:p>
        </w:tc>
        <w:tc>
          <w:tcPr>
            <w:tcW w:w="677" w:type="dxa"/>
          </w:tcPr>
          <w:p w14:paraId="778BEF16" w14:textId="033B0604" w:rsidR="00C002FA" w:rsidRPr="00163523" w:rsidRDefault="00C002FA" w:rsidP="0005079F">
            <w:pPr>
              <w:keepNext/>
              <w:spacing w:line="240" w:lineRule="auto"/>
              <w:ind w:left="0"/>
              <w:cnfStyle w:val="000000000000" w:firstRow="0" w:lastRow="0" w:firstColumn="0" w:lastColumn="0" w:oddVBand="0" w:evenVBand="0" w:oddHBand="0" w:evenHBand="0" w:firstRowFirstColumn="0" w:firstRowLastColumn="0" w:lastRowFirstColumn="0" w:lastRowLastColumn="0"/>
              <w:rPr>
                <w:b/>
                <w:lang w:val="en-GB"/>
              </w:rPr>
            </w:pPr>
            <w:r w:rsidRPr="00C002FA">
              <w:rPr>
                <w:rFonts w:ascii="Wingdings" w:eastAsia="Wingdings" w:hAnsi="Wingdings" w:cs="Wingdings"/>
                <w:b/>
                <w:lang w:val="en-GB"/>
              </w:rPr>
              <w:sym w:font="Wingdings" w:char="F0FC"/>
            </w:r>
          </w:p>
        </w:tc>
        <w:tc>
          <w:tcPr>
            <w:tcW w:w="677" w:type="dxa"/>
          </w:tcPr>
          <w:p w14:paraId="37178B49" w14:textId="7C2A4FA1" w:rsidR="00C002FA" w:rsidRPr="00163523" w:rsidRDefault="00C002FA" w:rsidP="0005079F">
            <w:pPr>
              <w:keepNext/>
              <w:spacing w:line="240" w:lineRule="auto"/>
              <w:ind w:left="0"/>
              <w:cnfStyle w:val="000000000000" w:firstRow="0" w:lastRow="0" w:firstColumn="0" w:lastColumn="0" w:oddVBand="0" w:evenVBand="0" w:oddHBand="0" w:evenHBand="0" w:firstRowFirstColumn="0" w:firstRowLastColumn="0" w:lastRowFirstColumn="0" w:lastRowLastColumn="0"/>
              <w:rPr>
                <w:b/>
                <w:lang w:val="en-GB"/>
              </w:rPr>
            </w:pPr>
            <w:r w:rsidRPr="00C002FA">
              <w:rPr>
                <w:rFonts w:ascii="Wingdings" w:eastAsia="Wingdings" w:hAnsi="Wingdings" w:cs="Wingdings"/>
                <w:b/>
                <w:lang w:val="en-GB"/>
              </w:rPr>
              <w:sym w:font="Wingdings" w:char="F0FC"/>
            </w:r>
          </w:p>
        </w:tc>
        <w:tc>
          <w:tcPr>
            <w:tcW w:w="677" w:type="dxa"/>
          </w:tcPr>
          <w:p w14:paraId="09514B95" w14:textId="77777777" w:rsidR="00C002FA" w:rsidRPr="00163523" w:rsidRDefault="00C002FA" w:rsidP="0005079F">
            <w:pPr>
              <w:keepNext/>
              <w:spacing w:line="240" w:lineRule="auto"/>
              <w:ind w:left="0"/>
              <w:cnfStyle w:val="000000000000" w:firstRow="0" w:lastRow="0" w:firstColumn="0" w:lastColumn="0" w:oddVBand="0" w:evenVBand="0" w:oddHBand="0" w:evenHBand="0" w:firstRowFirstColumn="0" w:firstRowLastColumn="0" w:lastRowFirstColumn="0" w:lastRowLastColumn="0"/>
              <w:rPr>
                <w:b/>
                <w:lang w:val="en-GB"/>
              </w:rPr>
            </w:pPr>
          </w:p>
        </w:tc>
        <w:tc>
          <w:tcPr>
            <w:tcW w:w="677" w:type="dxa"/>
          </w:tcPr>
          <w:p w14:paraId="5D0FFE61" w14:textId="77777777" w:rsidR="00F37E33" w:rsidRPr="00163523" w:rsidRDefault="00F37E33" w:rsidP="0005079F">
            <w:pPr>
              <w:keepNext/>
              <w:spacing w:line="240" w:lineRule="auto"/>
              <w:ind w:left="0"/>
              <w:cnfStyle w:val="000000000000" w:firstRow="0" w:lastRow="0" w:firstColumn="0" w:lastColumn="0" w:oddVBand="0" w:evenVBand="0" w:oddHBand="0" w:evenHBand="0" w:firstRowFirstColumn="0" w:firstRowLastColumn="0" w:lastRowFirstColumn="0" w:lastRowLastColumn="0"/>
              <w:rPr>
                <w:b/>
                <w:lang w:val="en-GB"/>
              </w:rPr>
            </w:pPr>
          </w:p>
        </w:tc>
        <w:tc>
          <w:tcPr>
            <w:tcW w:w="677" w:type="dxa"/>
          </w:tcPr>
          <w:p w14:paraId="6EF27977" w14:textId="77777777" w:rsidR="00F37E33" w:rsidRPr="00163523" w:rsidRDefault="00F37E33" w:rsidP="0005079F">
            <w:pPr>
              <w:keepNext/>
              <w:spacing w:line="240" w:lineRule="auto"/>
              <w:ind w:left="0"/>
              <w:cnfStyle w:val="000000000000" w:firstRow="0" w:lastRow="0" w:firstColumn="0" w:lastColumn="0" w:oddVBand="0" w:evenVBand="0" w:oddHBand="0" w:evenHBand="0" w:firstRowFirstColumn="0" w:firstRowLastColumn="0" w:lastRowFirstColumn="0" w:lastRowLastColumn="0"/>
              <w:rPr>
                <w:b/>
                <w:lang w:val="en-GB"/>
              </w:rPr>
            </w:pPr>
          </w:p>
        </w:tc>
      </w:tr>
      <w:tr w:rsidR="00C002FA" w:rsidRPr="00945E3B" w14:paraId="542D22C8" w14:textId="39878B1D" w:rsidTr="00E66B9F">
        <w:trPr>
          <w:trHeight w:val="300"/>
        </w:trPr>
        <w:tc>
          <w:tcPr>
            <w:cnfStyle w:val="001000000000" w:firstRow="0" w:lastRow="0" w:firstColumn="1" w:lastColumn="0" w:oddVBand="0" w:evenVBand="0" w:oddHBand="0" w:evenHBand="0" w:firstRowFirstColumn="0" w:firstRowLastColumn="0" w:lastRowFirstColumn="0" w:lastRowLastColumn="0"/>
            <w:tcW w:w="1445" w:type="dxa"/>
            <w:vMerge/>
          </w:tcPr>
          <w:p w14:paraId="5274C9CB" w14:textId="7C504B4E" w:rsidR="00C002FA" w:rsidRPr="00163523" w:rsidRDefault="00C002FA" w:rsidP="0005079F">
            <w:pPr>
              <w:keepNext/>
              <w:spacing w:line="240" w:lineRule="auto"/>
              <w:ind w:left="0"/>
              <w:rPr>
                <w:b/>
                <w:lang w:val="en-GB"/>
              </w:rPr>
            </w:pPr>
          </w:p>
        </w:tc>
        <w:tc>
          <w:tcPr>
            <w:tcW w:w="4649" w:type="dxa"/>
            <w:noWrap/>
            <w:vAlign w:val="top"/>
          </w:tcPr>
          <w:p w14:paraId="656E512D" w14:textId="5F1ED565" w:rsidR="00C002FA" w:rsidRPr="00CE2B86" w:rsidRDefault="00C002FA" w:rsidP="0005079F">
            <w:pPr>
              <w:keepNext/>
              <w:spacing w:line="240" w:lineRule="auto"/>
              <w:ind w:left="0"/>
              <w:jc w:val="left"/>
              <w:cnfStyle w:val="000000000000" w:firstRow="0" w:lastRow="0" w:firstColumn="0" w:lastColumn="0" w:oddVBand="0" w:evenVBand="0" w:oddHBand="0" w:evenHBand="0" w:firstRowFirstColumn="0" w:firstRowLastColumn="0" w:lastRowFirstColumn="0" w:lastRowLastColumn="0"/>
              <w:rPr>
                <w:lang w:val="en-GB"/>
              </w:rPr>
            </w:pPr>
            <w:r w:rsidRPr="00163523">
              <w:rPr>
                <w:lang w:val="en-GB"/>
              </w:rPr>
              <w:t>Lack of widespread public acceptance of new infrastructure</w:t>
            </w:r>
          </w:p>
        </w:tc>
        <w:tc>
          <w:tcPr>
            <w:tcW w:w="677" w:type="dxa"/>
          </w:tcPr>
          <w:p w14:paraId="623A41F2" w14:textId="77777777" w:rsidR="00C002FA" w:rsidRPr="00C002FA" w:rsidRDefault="00C002FA" w:rsidP="0005079F">
            <w:pPr>
              <w:keepNext/>
              <w:spacing w:line="240" w:lineRule="auto"/>
              <w:ind w:left="0"/>
              <w:cnfStyle w:val="000000000000" w:firstRow="0" w:lastRow="0" w:firstColumn="0" w:lastColumn="0" w:oddVBand="0" w:evenVBand="0" w:oddHBand="0" w:evenHBand="0" w:firstRowFirstColumn="0" w:firstRowLastColumn="0" w:lastRowFirstColumn="0" w:lastRowLastColumn="0"/>
              <w:rPr>
                <w:b/>
                <w:bCs/>
                <w:lang w:val="en-GB"/>
              </w:rPr>
            </w:pPr>
          </w:p>
        </w:tc>
        <w:tc>
          <w:tcPr>
            <w:tcW w:w="677" w:type="dxa"/>
          </w:tcPr>
          <w:p w14:paraId="65B810A8" w14:textId="0A626787" w:rsidR="00C002FA" w:rsidRPr="00C002FA" w:rsidRDefault="00C002FA" w:rsidP="0005079F">
            <w:pPr>
              <w:keepNext/>
              <w:spacing w:line="240" w:lineRule="auto"/>
              <w:ind w:left="0"/>
              <w:cnfStyle w:val="000000000000" w:firstRow="0" w:lastRow="0" w:firstColumn="0" w:lastColumn="0" w:oddVBand="0" w:evenVBand="0" w:oddHBand="0" w:evenHBand="0" w:firstRowFirstColumn="0" w:firstRowLastColumn="0" w:lastRowFirstColumn="0" w:lastRowLastColumn="0"/>
              <w:rPr>
                <w:b/>
                <w:bCs/>
                <w:lang w:val="en-GB"/>
              </w:rPr>
            </w:pPr>
            <w:r w:rsidRPr="00C002FA">
              <w:rPr>
                <w:rFonts w:ascii="Wingdings" w:eastAsia="Wingdings" w:hAnsi="Wingdings" w:cs="Wingdings"/>
                <w:b/>
                <w:lang w:val="en-GB"/>
              </w:rPr>
              <w:sym w:font="Wingdings" w:char="F0FC"/>
            </w:r>
          </w:p>
        </w:tc>
        <w:tc>
          <w:tcPr>
            <w:tcW w:w="677" w:type="dxa"/>
          </w:tcPr>
          <w:p w14:paraId="7D4F2511" w14:textId="7E3DBD0D" w:rsidR="00C002FA" w:rsidRPr="00C002FA" w:rsidRDefault="00C002FA" w:rsidP="0005079F">
            <w:pPr>
              <w:keepNext/>
              <w:spacing w:line="240" w:lineRule="auto"/>
              <w:ind w:left="0"/>
              <w:cnfStyle w:val="000000000000" w:firstRow="0" w:lastRow="0" w:firstColumn="0" w:lastColumn="0" w:oddVBand="0" w:evenVBand="0" w:oddHBand="0" w:evenHBand="0" w:firstRowFirstColumn="0" w:firstRowLastColumn="0" w:lastRowFirstColumn="0" w:lastRowLastColumn="0"/>
              <w:rPr>
                <w:b/>
                <w:bCs/>
                <w:lang w:val="en-GB"/>
              </w:rPr>
            </w:pPr>
            <w:r w:rsidRPr="00C002FA">
              <w:rPr>
                <w:rFonts w:ascii="Wingdings" w:eastAsia="Wingdings" w:hAnsi="Wingdings" w:cs="Wingdings"/>
                <w:b/>
                <w:lang w:val="en-GB"/>
              </w:rPr>
              <w:sym w:font="Wingdings" w:char="F0FC"/>
            </w:r>
          </w:p>
        </w:tc>
        <w:tc>
          <w:tcPr>
            <w:tcW w:w="677" w:type="dxa"/>
          </w:tcPr>
          <w:p w14:paraId="14A92E41" w14:textId="77777777" w:rsidR="00C002FA" w:rsidRPr="00C002FA" w:rsidRDefault="00C002FA" w:rsidP="0005079F">
            <w:pPr>
              <w:keepNext/>
              <w:spacing w:line="240" w:lineRule="auto"/>
              <w:ind w:left="0"/>
              <w:cnfStyle w:val="000000000000" w:firstRow="0" w:lastRow="0" w:firstColumn="0" w:lastColumn="0" w:oddVBand="0" w:evenVBand="0" w:oddHBand="0" w:evenHBand="0" w:firstRowFirstColumn="0" w:firstRowLastColumn="0" w:lastRowFirstColumn="0" w:lastRowLastColumn="0"/>
              <w:rPr>
                <w:b/>
                <w:bCs/>
                <w:lang w:val="en-GB"/>
              </w:rPr>
            </w:pPr>
          </w:p>
        </w:tc>
        <w:tc>
          <w:tcPr>
            <w:tcW w:w="677" w:type="dxa"/>
          </w:tcPr>
          <w:p w14:paraId="0E283876" w14:textId="77777777" w:rsidR="00F37E33" w:rsidRPr="00C002FA" w:rsidRDefault="00F37E33" w:rsidP="0005079F">
            <w:pPr>
              <w:keepNext/>
              <w:spacing w:line="240" w:lineRule="auto"/>
              <w:ind w:left="0"/>
              <w:cnfStyle w:val="000000000000" w:firstRow="0" w:lastRow="0" w:firstColumn="0" w:lastColumn="0" w:oddVBand="0" w:evenVBand="0" w:oddHBand="0" w:evenHBand="0" w:firstRowFirstColumn="0" w:firstRowLastColumn="0" w:lastRowFirstColumn="0" w:lastRowLastColumn="0"/>
              <w:rPr>
                <w:b/>
                <w:bCs/>
                <w:lang w:val="en-GB"/>
              </w:rPr>
            </w:pPr>
          </w:p>
        </w:tc>
        <w:tc>
          <w:tcPr>
            <w:tcW w:w="677" w:type="dxa"/>
          </w:tcPr>
          <w:p w14:paraId="692B6D1F" w14:textId="76D2255F" w:rsidR="00E66B9F" w:rsidRPr="00C002FA" w:rsidRDefault="00E66B9F" w:rsidP="0005079F">
            <w:pPr>
              <w:keepNext/>
              <w:spacing w:line="240" w:lineRule="auto"/>
              <w:ind w:left="0"/>
              <w:cnfStyle w:val="000000000000" w:firstRow="0" w:lastRow="0" w:firstColumn="0" w:lastColumn="0" w:oddVBand="0" w:evenVBand="0" w:oddHBand="0" w:evenHBand="0" w:firstRowFirstColumn="0" w:firstRowLastColumn="0" w:lastRowFirstColumn="0" w:lastRowLastColumn="0"/>
              <w:rPr>
                <w:b/>
                <w:bCs/>
                <w:lang w:val="en-GB"/>
              </w:rPr>
            </w:pPr>
            <w:r w:rsidRPr="00C002FA">
              <w:rPr>
                <w:rFonts w:ascii="Wingdings" w:eastAsia="Wingdings" w:hAnsi="Wingdings" w:cs="Wingdings"/>
                <w:b/>
                <w:lang w:val="en-GB"/>
              </w:rPr>
              <w:sym w:font="Wingdings" w:char="F0FC"/>
            </w:r>
          </w:p>
        </w:tc>
      </w:tr>
      <w:tr w:rsidR="00C002FA" w:rsidRPr="00945E3B" w14:paraId="644F918C" w14:textId="3CBDEA45" w:rsidTr="00E66B9F">
        <w:trPr>
          <w:trHeight w:val="300"/>
        </w:trPr>
        <w:tc>
          <w:tcPr>
            <w:cnfStyle w:val="001000000000" w:firstRow="0" w:lastRow="0" w:firstColumn="1" w:lastColumn="0" w:oddVBand="0" w:evenVBand="0" w:oddHBand="0" w:evenHBand="0" w:firstRowFirstColumn="0" w:firstRowLastColumn="0" w:lastRowFirstColumn="0" w:lastRowLastColumn="0"/>
            <w:tcW w:w="1445" w:type="dxa"/>
            <w:vMerge/>
          </w:tcPr>
          <w:p w14:paraId="388FDA6D" w14:textId="77777777" w:rsidR="00C002FA" w:rsidRPr="00163523" w:rsidRDefault="00C002FA" w:rsidP="0005079F">
            <w:pPr>
              <w:keepNext/>
              <w:spacing w:line="240" w:lineRule="auto"/>
              <w:ind w:left="0"/>
              <w:rPr>
                <w:b/>
                <w:lang w:val="en-GB"/>
              </w:rPr>
            </w:pPr>
          </w:p>
        </w:tc>
        <w:tc>
          <w:tcPr>
            <w:tcW w:w="4649" w:type="dxa"/>
            <w:noWrap/>
            <w:vAlign w:val="top"/>
          </w:tcPr>
          <w:p w14:paraId="01BB6783" w14:textId="2DD7F0C5" w:rsidR="00C002FA" w:rsidRPr="00163523" w:rsidRDefault="00C002FA" w:rsidP="0005079F">
            <w:pPr>
              <w:keepNext/>
              <w:spacing w:line="240" w:lineRule="auto"/>
              <w:ind w:left="0"/>
              <w:jc w:val="left"/>
              <w:cnfStyle w:val="000000000000" w:firstRow="0" w:lastRow="0" w:firstColumn="0" w:lastColumn="0" w:oddVBand="0" w:evenVBand="0" w:oddHBand="0" w:evenHBand="0" w:firstRowFirstColumn="0" w:firstRowLastColumn="0" w:lastRowFirstColumn="0" w:lastRowLastColumn="0"/>
              <w:rPr>
                <w:lang w:val="en-GB"/>
              </w:rPr>
            </w:pPr>
            <w:r w:rsidRPr="00163523">
              <w:rPr>
                <w:lang w:val="en-GB"/>
              </w:rPr>
              <w:t>Lack of widespread public acceptance of the actions required</w:t>
            </w:r>
          </w:p>
        </w:tc>
        <w:tc>
          <w:tcPr>
            <w:tcW w:w="677" w:type="dxa"/>
          </w:tcPr>
          <w:p w14:paraId="0D7EACE3" w14:textId="77777777" w:rsidR="00C002FA" w:rsidRPr="00C002FA" w:rsidRDefault="00C002FA" w:rsidP="0005079F">
            <w:pPr>
              <w:keepNext/>
              <w:spacing w:line="240" w:lineRule="auto"/>
              <w:ind w:left="0"/>
              <w:cnfStyle w:val="000000000000" w:firstRow="0" w:lastRow="0" w:firstColumn="0" w:lastColumn="0" w:oddVBand="0" w:evenVBand="0" w:oddHBand="0" w:evenHBand="0" w:firstRowFirstColumn="0" w:firstRowLastColumn="0" w:lastRowFirstColumn="0" w:lastRowLastColumn="0"/>
              <w:rPr>
                <w:b/>
                <w:bCs/>
                <w:lang w:val="en-GB"/>
              </w:rPr>
            </w:pPr>
          </w:p>
        </w:tc>
        <w:tc>
          <w:tcPr>
            <w:tcW w:w="677" w:type="dxa"/>
          </w:tcPr>
          <w:p w14:paraId="4FBB3EF5" w14:textId="77777777" w:rsidR="00C002FA" w:rsidRPr="00C002FA" w:rsidRDefault="00C002FA" w:rsidP="0005079F">
            <w:pPr>
              <w:keepNext/>
              <w:spacing w:line="240" w:lineRule="auto"/>
              <w:ind w:left="0"/>
              <w:cnfStyle w:val="000000000000" w:firstRow="0" w:lastRow="0" w:firstColumn="0" w:lastColumn="0" w:oddVBand="0" w:evenVBand="0" w:oddHBand="0" w:evenHBand="0" w:firstRowFirstColumn="0" w:firstRowLastColumn="0" w:lastRowFirstColumn="0" w:lastRowLastColumn="0"/>
              <w:rPr>
                <w:b/>
                <w:bCs/>
                <w:lang w:val="en-GB"/>
              </w:rPr>
            </w:pPr>
          </w:p>
        </w:tc>
        <w:tc>
          <w:tcPr>
            <w:tcW w:w="677" w:type="dxa"/>
          </w:tcPr>
          <w:p w14:paraId="5D6B1A37" w14:textId="7430DD2A" w:rsidR="00C002FA" w:rsidRPr="00C002FA" w:rsidRDefault="00C002FA" w:rsidP="0005079F">
            <w:pPr>
              <w:keepNext/>
              <w:spacing w:line="240" w:lineRule="auto"/>
              <w:ind w:left="0"/>
              <w:cnfStyle w:val="000000000000" w:firstRow="0" w:lastRow="0" w:firstColumn="0" w:lastColumn="0" w:oddVBand="0" w:evenVBand="0" w:oddHBand="0" w:evenHBand="0" w:firstRowFirstColumn="0" w:firstRowLastColumn="0" w:lastRowFirstColumn="0" w:lastRowLastColumn="0"/>
              <w:rPr>
                <w:b/>
                <w:bCs/>
                <w:lang w:val="en-GB"/>
              </w:rPr>
            </w:pPr>
            <w:r w:rsidRPr="00C002FA">
              <w:rPr>
                <w:rFonts w:ascii="Wingdings" w:eastAsia="Wingdings" w:hAnsi="Wingdings" w:cs="Wingdings"/>
                <w:b/>
                <w:lang w:val="en-GB"/>
              </w:rPr>
              <w:sym w:font="Wingdings" w:char="F0FC"/>
            </w:r>
          </w:p>
        </w:tc>
        <w:tc>
          <w:tcPr>
            <w:tcW w:w="677" w:type="dxa"/>
          </w:tcPr>
          <w:p w14:paraId="70D98851" w14:textId="77777777" w:rsidR="00C002FA" w:rsidRPr="00C002FA" w:rsidRDefault="00C002FA" w:rsidP="0005079F">
            <w:pPr>
              <w:keepNext/>
              <w:spacing w:line="240" w:lineRule="auto"/>
              <w:ind w:left="0"/>
              <w:cnfStyle w:val="000000000000" w:firstRow="0" w:lastRow="0" w:firstColumn="0" w:lastColumn="0" w:oddVBand="0" w:evenVBand="0" w:oddHBand="0" w:evenHBand="0" w:firstRowFirstColumn="0" w:firstRowLastColumn="0" w:lastRowFirstColumn="0" w:lastRowLastColumn="0"/>
              <w:rPr>
                <w:b/>
                <w:bCs/>
                <w:lang w:val="en-GB"/>
              </w:rPr>
            </w:pPr>
          </w:p>
        </w:tc>
        <w:tc>
          <w:tcPr>
            <w:tcW w:w="677" w:type="dxa"/>
          </w:tcPr>
          <w:p w14:paraId="5E4BA4FA" w14:textId="77777777" w:rsidR="00F37E33" w:rsidRPr="00C002FA" w:rsidRDefault="00F37E33" w:rsidP="0005079F">
            <w:pPr>
              <w:keepNext/>
              <w:spacing w:line="240" w:lineRule="auto"/>
              <w:ind w:left="0"/>
              <w:cnfStyle w:val="000000000000" w:firstRow="0" w:lastRow="0" w:firstColumn="0" w:lastColumn="0" w:oddVBand="0" w:evenVBand="0" w:oddHBand="0" w:evenHBand="0" w:firstRowFirstColumn="0" w:firstRowLastColumn="0" w:lastRowFirstColumn="0" w:lastRowLastColumn="0"/>
              <w:rPr>
                <w:b/>
                <w:bCs/>
                <w:lang w:val="en-GB"/>
              </w:rPr>
            </w:pPr>
          </w:p>
        </w:tc>
        <w:tc>
          <w:tcPr>
            <w:tcW w:w="677" w:type="dxa"/>
          </w:tcPr>
          <w:p w14:paraId="63CD79A8" w14:textId="00D7DBDF" w:rsidR="00E66B9F" w:rsidRPr="00C002FA" w:rsidRDefault="00E66B9F" w:rsidP="0005079F">
            <w:pPr>
              <w:keepNext/>
              <w:spacing w:line="240" w:lineRule="auto"/>
              <w:ind w:left="0"/>
              <w:cnfStyle w:val="000000000000" w:firstRow="0" w:lastRow="0" w:firstColumn="0" w:lastColumn="0" w:oddVBand="0" w:evenVBand="0" w:oddHBand="0" w:evenHBand="0" w:firstRowFirstColumn="0" w:firstRowLastColumn="0" w:lastRowFirstColumn="0" w:lastRowLastColumn="0"/>
              <w:rPr>
                <w:b/>
                <w:bCs/>
                <w:lang w:val="en-GB"/>
              </w:rPr>
            </w:pPr>
            <w:r w:rsidRPr="00C002FA">
              <w:rPr>
                <w:rFonts w:ascii="Wingdings" w:eastAsia="Wingdings" w:hAnsi="Wingdings" w:cs="Wingdings"/>
                <w:b/>
                <w:lang w:val="en-GB"/>
              </w:rPr>
              <w:sym w:font="Wingdings" w:char="F0FC"/>
            </w:r>
          </w:p>
        </w:tc>
      </w:tr>
      <w:tr w:rsidR="00C002FA" w:rsidRPr="00945E3B" w14:paraId="3B8DADF0" w14:textId="77C16F0A" w:rsidTr="00E66B9F">
        <w:trPr>
          <w:trHeight w:val="300"/>
        </w:trPr>
        <w:tc>
          <w:tcPr>
            <w:cnfStyle w:val="001000000000" w:firstRow="0" w:lastRow="0" w:firstColumn="1" w:lastColumn="0" w:oddVBand="0" w:evenVBand="0" w:oddHBand="0" w:evenHBand="0" w:firstRowFirstColumn="0" w:firstRowLastColumn="0" w:lastRowFirstColumn="0" w:lastRowLastColumn="0"/>
            <w:tcW w:w="1445" w:type="dxa"/>
            <w:vMerge/>
          </w:tcPr>
          <w:p w14:paraId="5A100DB7" w14:textId="77777777" w:rsidR="00C002FA" w:rsidRPr="00163523" w:rsidRDefault="00C002FA" w:rsidP="0005079F">
            <w:pPr>
              <w:keepNext/>
              <w:spacing w:line="240" w:lineRule="auto"/>
              <w:ind w:left="0"/>
              <w:rPr>
                <w:b/>
                <w:lang w:val="en-GB"/>
              </w:rPr>
            </w:pPr>
          </w:p>
        </w:tc>
        <w:tc>
          <w:tcPr>
            <w:tcW w:w="4649" w:type="dxa"/>
            <w:noWrap/>
            <w:vAlign w:val="top"/>
          </w:tcPr>
          <w:p w14:paraId="34EB1A98" w14:textId="18466E37" w:rsidR="00C002FA" w:rsidRPr="00163523" w:rsidRDefault="00C002FA" w:rsidP="0005079F">
            <w:pPr>
              <w:keepNext/>
              <w:spacing w:line="240" w:lineRule="auto"/>
              <w:ind w:left="0"/>
              <w:jc w:val="left"/>
              <w:cnfStyle w:val="000000000000" w:firstRow="0" w:lastRow="0" w:firstColumn="0" w:lastColumn="0" w:oddVBand="0" w:evenVBand="0" w:oddHBand="0" w:evenHBand="0" w:firstRowFirstColumn="0" w:firstRowLastColumn="0" w:lastRowFirstColumn="0" w:lastRowLastColumn="0"/>
              <w:rPr>
                <w:lang w:val="en-GB"/>
              </w:rPr>
            </w:pPr>
            <w:r w:rsidRPr="00163523">
              <w:rPr>
                <w:lang w:val="en-GB"/>
              </w:rPr>
              <w:t xml:space="preserve">Low uptake of renewable </w:t>
            </w:r>
            <w:r w:rsidR="0025446D" w:rsidRPr="00163523">
              <w:rPr>
                <w:lang w:val="en-GB"/>
              </w:rPr>
              <w:t xml:space="preserve">energy </w:t>
            </w:r>
            <w:r w:rsidRPr="00163523">
              <w:rPr>
                <w:lang w:val="en-GB"/>
              </w:rPr>
              <w:t>solutions</w:t>
            </w:r>
          </w:p>
        </w:tc>
        <w:tc>
          <w:tcPr>
            <w:tcW w:w="677" w:type="dxa"/>
          </w:tcPr>
          <w:p w14:paraId="3A680F63" w14:textId="77777777" w:rsidR="00C002FA" w:rsidRPr="00C002FA" w:rsidRDefault="00C002FA" w:rsidP="0005079F">
            <w:pPr>
              <w:keepNext/>
              <w:spacing w:line="240" w:lineRule="auto"/>
              <w:ind w:left="0"/>
              <w:cnfStyle w:val="000000000000" w:firstRow="0" w:lastRow="0" w:firstColumn="0" w:lastColumn="0" w:oddVBand="0" w:evenVBand="0" w:oddHBand="0" w:evenHBand="0" w:firstRowFirstColumn="0" w:firstRowLastColumn="0" w:lastRowFirstColumn="0" w:lastRowLastColumn="0"/>
              <w:rPr>
                <w:b/>
                <w:bCs/>
                <w:lang w:val="en-GB"/>
              </w:rPr>
            </w:pPr>
          </w:p>
        </w:tc>
        <w:tc>
          <w:tcPr>
            <w:tcW w:w="677" w:type="dxa"/>
          </w:tcPr>
          <w:p w14:paraId="45231E75" w14:textId="77777777" w:rsidR="00C002FA" w:rsidRPr="00C002FA" w:rsidRDefault="00C002FA" w:rsidP="0005079F">
            <w:pPr>
              <w:keepNext/>
              <w:spacing w:line="240" w:lineRule="auto"/>
              <w:ind w:left="0"/>
              <w:cnfStyle w:val="000000000000" w:firstRow="0" w:lastRow="0" w:firstColumn="0" w:lastColumn="0" w:oddVBand="0" w:evenVBand="0" w:oddHBand="0" w:evenHBand="0" w:firstRowFirstColumn="0" w:firstRowLastColumn="0" w:lastRowFirstColumn="0" w:lastRowLastColumn="0"/>
              <w:rPr>
                <w:b/>
                <w:bCs/>
                <w:lang w:val="en-GB"/>
              </w:rPr>
            </w:pPr>
          </w:p>
        </w:tc>
        <w:tc>
          <w:tcPr>
            <w:tcW w:w="677" w:type="dxa"/>
          </w:tcPr>
          <w:p w14:paraId="6F545202" w14:textId="11A18BD9" w:rsidR="00C002FA" w:rsidRPr="00C002FA" w:rsidRDefault="00C002FA" w:rsidP="0005079F">
            <w:pPr>
              <w:keepNext/>
              <w:spacing w:line="240" w:lineRule="auto"/>
              <w:ind w:left="0"/>
              <w:cnfStyle w:val="000000000000" w:firstRow="0" w:lastRow="0" w:firstColumn="0" w:lastColumn="0" w:oddVBand="0" w:evenVBand="0" w:oddHBand="0" w:evenHBand="0" w:firstRowFirstColumn="0" w:firstRowLastColumn="0" w:lastRowFirstColumn="0" w:lastRowLastColumn="0"/>
              <w:rPr>
                <w:b/>
                <w:bCs/>
                <w:lang w:val="en-GB"/>
              </w:rPr>
            </w:pPr>
            <w:r w:rsidRPr="00C002FA">
              <w:rPr>
                <w:rFonts w:ascii="Wingdings" w:eastAsia="Wingdings" w:hAnsi="Wingdings" w:cs="Wingdings"/>
                <w:b/>
                <w:lang w:val="en-GB"/>
              </w:rPr>
              <w:sym w:font="Wingdings" w:char="F0FC"/>
            </w:r>
          </w:p>
        </w:tc>
        <w:tc>
          <w:tcPr>
            <w:tcW w:w="677" w:type="dxa"/>
          </w:tcPr>
          <w:p w14:paraId="10DAF8F6" w14:textId="77777777" w:rsidR="00C002FA" w:rsidRPr="00C002FA" w:rsidRDefault="00C002FA" w:rsidP="0005079F">
            <w:pPr>
              <w:keepNext/>
              <w:spacing w:line="240" w:lineRule="auto"/>
              <w:ind w:left="0"/>
              <w:cnfStyle w:val="000000000000" w:firstRow="0" w:lastRow="0" w:firstColumn="0" w:lastColumn="0" w:oddVBand="0" w:evenVBand="0" w:oddHBand="0" w:evenHBand="0" w:firstRowFirstColumn="0" w:firstRowLastColumn="0" w:lastRowFirstColumn="0" w:lastRowLastColumn="0"/>
              <w:rPr>
                <w:b/>
                <w:bCs/>
                <w:lang w:val="en-GB"/>
              </w:rPr>
            </w:pPr>
          </w:p>
        </w:tc>
        <w:tc>
          <w:tcPr>
            <w:tcW w:w="677" w:type="dxa"/>
          </w:tcPr>
          <w:p w14:paraId="12332B8D" w14:textId="77777777" w:rsidR="00F37E33" w:rsidRPr="00C002FA" w:rsidRDefault="00F37E33" w:rsidP="0005079F">
            <w:pPr>
              <w:keepNext/>
              <w:spacing w:line="240" w:lineRule="auto"/>
              <w:ind w:left="0"/>
              <w:cnfStyle w:val="000000000000" w:firstRow="0" w:lastRow="0" w:firstColumn="0" w:lastColumn="0" w:oddVBand="0" w:evenVBand="0" w:oddHBand="0" w:evenHBand="0" w:firstRowFirstColumn="0" w:firstRowLastColumn="0" w:lastRowFirstColumn="0" w:lastRowLastColumn="0"/>
              <w:rPr>
                <w:b/>
                <w:bCs/>
                <w:lang w:val="en-GB"/>
              </w:rPr>
            </w:pPr>
          </w:p>
        </w:tc>
        <w:tc>
          <w:tcPr>
            <w:tcW w:w="677" w:type="dxa"/>
          </w:tcPr>
          <w:p w14:paraId="63650C7C" w14:textId="77777777" w:rsidR="00F37E33" w:rsidRPr="00C002FA" w:rsidRDefault="00F37E33" w:rsidP="0005079F">
            <w:pPr>
              <w:keepNext/>
              <w:spacing w:line="240" w:lineRule="auto"/>
              <w:ind w:left="0"/>
              <w:cnfStyle w:val="000000000000" w:firstRow="0" w:lastRow="0" w:firstColumn="0" w:lastColumn="0" w:oddVBand="0" w:evenVBand="0" w:oddHBand="0" w:evenHBand="0" w:firstRowFirstColumn="0" w:firstRowLastColumn="0" w:lastRowFirstColumn="0" w:lastRowLastColumn="0"/>
              <w:rPr>
                <w:b/>
                <w:bCs/>
                <w:lang w:val="en-GB"/>
              </w:rPr>
            </w:pPr>
          </w:p>
        </w:tc>
      </w:tr>
      <w:tr w:rsidR="00C002FA" w:rsidRPr="00945E3B" w14:paraId="2F379750" w14:textId="3326811E" w:rsidTr="00E66B9F">
        <w:trPr>
          <w:trHeight w:val="300"/>
        </w:trPr>
        <w:tc>
          <w:tcPr>
            <w:cnfStyle w:val="001000000000" w:firstRow="0" w:lastRow="0" w:firstColumn="1" w:lastColumn="0" w:oddVBand="0" w:evenVBand="0" w:oddHBand="0" w:evenHBand="0" w:firstRowFirstColumn="0" w:firstRowLastColumn="0" w:lastRowFirstColumn="0" w:lastRowLastColumn="0"/>
            <w:tcW w:w="1445" w:type="dxa"/>
            <w:vMerge/>
          </w:tcPr>
          <w:p w14:paraId="67D39DE5" w14:textId="77777777" w:rsidR="00C002FA" w:rsidRPr="00163523" w:rsidRDefault="00C002FA" w:rsidP="0005079F">
            <w:pPr>
              <w:keepNext/>
              <w:spacing w:line="240" w:lineRule="auto"/>
              <w:ind w:left="0"/>
              <w:rPr>
                <w:b/>
                <w:lang w:val="en-GB"/>
              </w:rPr>
            </w:pPr>
          </w:p>
        </w:tc>
        <w:tc>
          <w:tcPr>
            <w:tcW w:w="4649" w:type="dxa"/>
            <w:noWrap/>
            <w:vAlign w:val="top"/>
          </w:tcPr>
          <w:p w14:paraId="3C5D3E85" w14:textId="3E0E7DB0" w:rsidR="00C002FA" w:rsidRPr="00163523" w:rsidRDefault="00C002FA" w:rsidP="0005079F">
            <w:pPr>
              <w:keepNext/>
              <w:spacing w:line="240" w:lineRule="auto"/>
              <w:ind w:left="0"/>
              <w:jc w:val="left"/>
              <w:cnfStyle w:val="000000000000" w:firstRow="0" w:lastRow="0" w:firstColumn="0" w:lastColumn="0" w:oddVBand="0" w:evenVBand="0" w:oddHBand="0" w:evenHBand="0" w:firstRowFirstColumn="0" w:firstRowLastColumn="0" w:lastRowFirstColumn="0" w:lastRowLastColumn="0"/>
              <w:rPr>
                <w:lang w:val="en-GB"/>
              </w:rPr>
            </w:pPr>
            <w:r w:rsidRPr="00163523">
              <w:rPr>
                <w:lang w:val="en-GB"/>
              </w:rPr>
              <w:t>Lack of RES installation performance and quality</w:t>
            </w:r>
          </w:p>
        </w:tc>
        <w:tc>
          <w:tcPr>
            <w:tcW w:w="677" w:type="dxa"/>
          </w:tcPr>
          <w:p w14:paraId="60345679" w14:textId="77777777" w:rsidR="00C002FA" w:rsidRPr="00C002FA" w:rsidRDefault="00C002FA" w:rsidP="0005079F">
            <w:pPr>
              <w:keepNext/>
              <w:spacing w:line="240" w:lineRule="auto"/>
              <w:ind w:left="0"/>
              <w:cnfStyle w:val="000000000000" w:firstRow="0" w:lastRow="0" w:firstColumn="0" w:lastColumn="0" w:oddVBand="0" w:evenVBand="0" w:oddHBand="0" w:evenHBand="0" w:firstRowFirstColumn="0" w:firstRowLastColumn="0" w:lastRowFirstColumn="0" w:lastRowLastColumn="0"/>
              <w:rPr>
                <w:b/>
                <w:bCs/>
                <w:lang w:val="en-GB"/>
              </w:rPr>
            </w:pPr>
          </w:p>
        </w:tc>
        <w:tc>
          <w:tcPr>
            <w:tcW w:w="677" w:type="dxa"/>
          </w:tcPr>
          <w:p w14:paraId="52E637D9" w14:textId="77777777" w:rsidR="00C002FA" w:rsidRPr="00C002FA" w:rsidRDefault="00C002FA" w:rsidP="0005079F">
            <w:pPr>
              <w:keepNext/>
              <w:spacing w:line="240" w:lineRule="auto"/>
              <w:ind w:left="0"/>
              <w:cnfStyle w:val="000000000000" w:firstRow="0" w:lastRow="0" w:firstColumn="0" w:lastColumn="0" w:oddVBand="0" w:evenVBand="0" w:oddHBand="0" w:evenHBand="0" w:firstRowFirstColumn="0" w:firstRowLastColumn="0" w:lastRowFirstColumn="0" w:lastRowLastColumn="0"/>
              <w:rPr>
                <w:b/>
                <w:bCs/>
                <w:lang w:val="en-GB"/>
              </w:rPr>
            </w:pPr>
          </w:p>
        </w:tc>
        <w:tc>
          <w:tcPr>
            <w:tcW w:w="677" w:type="dxa"/>
          </w:tcPr>
          <w:p w14:paraId="64F95C24" w14:textId="7D7EB368" w:rsidR="00C002FA" w:rsidRPr="00C002FA" w:rsidRDefault="00C002FA" w:rsidP="0005079F">
            <w:pPr>
              <w:keepNext/>
              <w:spacing w:line="240" w:lineRule="auto"/>
              <w:ind w:left="0"/>
              <w:cnfStyle w:val="000000000000" w:firstRow="0" w:lastRow="0" w:firstColumn="0" w:lastColumn="0" w:oddVBand="0" w:evenVBand="0" w:oddHBand="0" w:evenHBand="0" w:firstRowFirstColumn="0" w:firstRowLastColumn="0" w:lastRowFirstColumn="0" w:lastRowLastColumn="0"/>
              <w:rPr>
                <w:b/>
                <w:bCs/>
                <w:lang w:val="en-GB"/>
              </w:rPr>
            </w:pPr>
            <w:r w:rsidRPr="00C002FA">
              <w:rPr>
                <w:rFonts w:ascii="Wingdings" w:eastAsia="Wingdings" w:hAnsi="Wingdings" w:cs="Wingdings"/>
                <w:b/>
                <w:lang w:val="en-GB"/>
              </w:rPr>
              <w:sym w:font="Wingdings" w:char="F0FC"/>
            </w:r>
          </w:p>
        </w:tc>
        <w:tc>
          <w:tcPr>
            <w:tcW w:w="677" w:type="dxa"/>
          </w:tcPr>
          <w:p w14:paraId="4D50C8E3" w14:textId="77777777" w:rsidR="00C002FA" w:rsidRPr="00C002FA" w:rsidRDefault="00C002FA" w:rsidP="0005079F">
            <w:pPr>
              <w:keepNext/>
              <w:spacing w:line="240" w:lineRule="auto"/>
              <w:ind w:left="0"/>
              <w:cnfStyle w:val="000000000000" w:firstRow="0" w:lastRow="0" w:firstColumn="0" w:lastColumn="0" w:oddVBand="0" w:evenVBand="0" w:oddHBand="0" w:evenHBand="0" w:firstRowFirstColumn="0" w:firstRowLastColumn="0" w:lastRowFirstColumn="0" w:lastRowLastColumn="0"/>
              <w:rPr>
                <w:b/>
                <w:bCs/>
                <w:lang w:val="en-GB"/>
              </w:rPr>
            </w:pPr>
          </w:p>
        </w:tc>
        <w:tc>
          <w:tcPr>
            <w:tcW w:w="677" w:type="dxa"/>
          </w:tcPr>
          <w:p w14:paraId="5A42D6E3" w14:textId="77777777" w:rsidR="00F37E33" w:rsidRPr="00C002FA" w:rsidRDefault="00F37E33" w:rsidP="0005079F">
            <w:pPr>
              <w:keepNext/>
              <w:spacing w:line="240" w:lineRule="auto"/>
              <w:ind w:left="0"/>
              <w:cnfStyle w:val="000000000000" w:firstRow="0" w:lastRow="0" w:firstColumn="0" w:lastColumn="0" w:oddVBand="0" w:evenVBand="0" w:oddHBand="0" w:evenHBand="0" w:firstRowFirstColumn="0" w:firstRowLastColumn="0" w:lastRowFirstColumn="0" w:lastRowLastColumn="0"/>
              <w:rPr>
                <w:b/>
                <w:bCs/>
                <w:lang w:val="en-GB"/>
              </w:rPr>
            </w:pPr>
          </w:p>
        </w:tc>
        <w:tc>
          <w:tcPr>
            <w:tcW w:w="677" w:type="dxa"/>
          </w:tcPr>
          <w:p w14:paraId="354FD7E6" w14:textId="77777777" w:rsidR="00F37E33" w:rsidRPr="00C002FA" w:rsidRDefault="00F37E33" w:rsidP="0005079F">
            <w:pPr>
              <w:keepNext/>
              <w:spacing w:line="240" w:lineRule="auto"/>
              <w:ind w:left="0"/>
              <w:cnfStyle w:val="000000000000" w:firstRow="0" w:lastRow="0" w:firstColumn="0" w:lastColumn="0" w:oddVBand="0" w:evenVBand="0" w:oddHBand="0" w:evenHBand="0" w:firstRowFirstColumn="0" w:firstRowLastColumn="0" w:lastRowFirstColumn="0" w:lastRowLastColumn="0"/>
              <w:rPr>
                <w:b/>
                <w:bCs/>
                <w:lang w:val="en-GB"/>
              </w:rPr>
            </w:pPr>
          </w:p>
        </w:tc>
      </w:tr>
      <w:tr w:rsidR="00C002FA" w:rsidRPr="00945E3B" w14:paraId="2F53168A" w14:textId="516CC498" w:rsidTr="00E66B9F">
        <w:trPr>
          <w:trHeight w:val="300"/>
        </w:trPr>
        <w:tc>
          <w:tcPr>
            <w:cnfStyle w:val="001000000000" w:firstRow="0" w:lastRow="0" w:firstColumn="1" w:lastColumn="0" w:oddVBand="0" w:evenVBand="0" w:oddHBand="0" w:evenHBand="0" w:firstRowFirstColumn="0" w:firstRowLastColumn="0" w:lastRowFirstColumn="0" w:lastRowLastColumn="0"/>
            <w:tcW w:w="1445" w:type="dxa"/>
            <w:vMerge/>
          </w:tcPr>
          <w:p w14:paraId="104C637F" w14:textId="77777777" w:rsidR="00C002FA" w:rsidRPr="00163523" w:rsidRDefault="00C002FA" w:rsidP="0005079F">
            <w:pPr>
              <w:keepNext/>
              <w:spacing w:line="240" w:lineRule="auto"/>
              <w:ind w:left="0"/>
              <w:rPr>
                <w:b/>
                <w:lang w:val="en-GB"/>
              </w:rPr>
            </w:pPr>
          </w:p>
        </w:tc>
        <w:tc>
          <w:tcPr>
            <w:tcW w:w="4649" w:type="dxa"/>
            <w:noWrap/>
            <w:vAlign w:val="top"/>
          </w:tcPr>
          <w:p w14:paraId="5D91B276" w14:textId="7A3FB563" w:rsidR="00C002FA" w:rsidRPr="00641F1A" w:rsidRDefault="00C002FA" w:rsidP="0005079F">
            <w:pPr>
              <w:keepNext/>
              <w:spacing w:line="240" w:lineRule="auto"/>
              <w:ind w:left="0"/>
              <w:jc w:val="left"/>
              <w:cnfStyle w:val="000000000000" w:firstRow="0" w:lastRow="0" w:firstColumn="0" w:lastColumn="0" w:oddVBand="0" w:evenVBand="0" w:oddHBand="0" w:evenHBand="0" w:firstRowFirstColumn="0" w:firstRowLastColumn="0" w:lastRowFirstColumn="0" w:lastRowLastColumn="0"/>
              <w:rPr>
                <w:lang w:val="en-GB"/>
              </w:rPr>
            </w:pPr>
            <w:r>
              <w:rPr>
                <w:lang w:val="en-GB"/>
              </w:rPr>
              <w:t>Social cohesion erosion</w:t>
            </w:r>
          </w:p>
        </w:tc>
        <w:tc>
          <w:tcPr>
            <w:tcW w:w="677" w:type="dxa"/>
          </w:tcPr>
          <w:p w14:paraId="397842F7" w14:textId="586A2E7D" w:rsidR="00C002FA" w:rsidRPr="00C002FA" w:rsidRDefault="00C002FA" w:rsidP="0005079F">
            <w:pPr>
              <w:keepNext/>
              <w:spacing w:line="240" w:lineRule="auto"/>
              <w:ind w:left="0"/>
              <w:cnfStyle w:val="000000000000" w:firstRow="0" w:lastRow="0" w:firstColumn="0" w:lastColumn="0" w:oddVBand="0" w:evenVBand="0" w:oddHBand="0" w:evenHBand="0" w:firstRowFirstColumn="0" w:firstRowLastColumn="0" w:lastRowFirstColumn="0" w:lastRowLastColumn="0"/>
              <w:rPr>
                <w:b/>
                <w:bCs/>
                <w:lang w:val="en-GB"/>
              </w:rPr>
            </w:pPr>
            <w:r w:rsidRPr="00C002FA">
              <w:rPr>
                <w:rFonts w:ascii="Wingdings" w:eastAsia="Wingdings" w:hAnsi="Wingdings" w:cs="Wingdings"/>
                <w:b/>
                <w:lang w:val="en-GB"/>
              </w:rPr>
              <w:sym w:font="Wingdings" w:char="F0FC"/>
            </w:r>
          </w:p>
        </w:tc>
        <w:tc>
          <w:tcPr>
            <w:tcW w:w="677" w:type="dxa"/>
          </w:tcPr>
          <w:p w14:paraId="55ADDF5C" w14:textId="77777777" w:rsidR="00C002FA" w:rsidRPr="00C002FA" w:rsidRDefault="00C002FA" w:rsidP="0005079F">
            <w:pPr>
              <w:keepNext/>
              <w:spacing w:line="240" w:lineRule="auto"/>
              <w:ind w:left="0"/>
              <w:cnfStyle w:val="000000000000" w:firstRow="0" w:lastRow="0" w:firstColumn="0" w:lastColumn="0" w:oddVBand="0" w:evenVBand="0" w:oddHBand="0" w:evenHBand="0" w:firstRowFirstColumn="0" w:firstRowLastColumn="0" w:lastRowFirstColumn="0" w:lastRowLastColumn="0"/>
              <w:rPr>
                <w:b/>
                <w:bCs/>
                <w:lang w:val="en-GB"/>
              </w:rPr>
            </w:pPr>
          </w:p>
        </w:tc>
        <w:tc>
          <w:tcPr>
            <w:tcW w:w="677" w:type="dxa"/>
          </w:tcPr>
          <w:p w14:paraId="0A5EC044" w14:textId="77777777" w:rsidR="00C002FA" w:rsidRPr="00C002FA" w:rsidRDefault="00C002FA" w:rsidP="0005079F">
            <w:pPr>
              <w:keepNext/>
              <w:spacing w:line="240" w:lineRule="auto"/>
              <w:ind w:left="0"/>
              <w:cnfStyle w:val="000000000000" w:firstRow="0" w:lastRow="0" w:firstColumn="0" w:lastColumn="0" w:oddVBand="0" w:evenVBand="0" w:oddHBand="0" w:evenHBand="0" w:firstRowFirstColumn="0" w:firstRowLastColumn="0" w:lastRowFirstColumn="0" w:lastRowLastColumn="0"/>
              <w:rPr>
                <w:b/>
                <w:bCs/>
                <w:lang w:val="en-GB"/>
              </w:rPr>
            </w:pPr>
          </w:p>
        </w:tc>
        <w:tc>
          <w:tcPr>
            <w:tcW w:w="677" w:type="dxa"/>
          </w:tcPr>
          <w:p w14:paraId="70029D22" w14:textId="77777777" w:rsidR="00C002FA" w:rsidRPr="00C002FA" w:rsidRDefault="00C002FA" w:rsidP="0005079F">
            <w:pPr>
              <w:keepNext/>
              <w:spacing w:line="240" w:lineRule="auto"/>
              <w:ind w:left="0"/>
              <w:cnfStyle w:val="000000000000" w:firstRow="0" w:lastRow="0" w:firstColumn="0" w:lastColumn="0" w:oddVBand="0" w:evenVBand="0" w:oddHBand="0" w:evenHBand="0" w:firstRowFirstColumn="0" w:firstRowLastColumn="0" w:lastRowFirstColumn="0" w:lastRowLastColumn="0"/>
              <w:rPr>
                <w:b/>
                <w:bCs/>
                <w:lang w:val="en-GB"/>
              </w:rPr>
            </w:pPr>
          </w:p>
        </w:tc>
        <w:tc>
          <w:tcPr>
            <w:tcW w:w="677" w:type="dxa"/>
          </w:tcPr>
          <w:p w14:paraId="1CB83EDC" w14:textId="77777777" w:rsidR="00F37E33" w:rsidRPr="00C002FA" w:rsidRDefault="00F37E33" w:rsidP="0005079F">
            <w:pPr>
              <w:keepNext/>
              <w:spacing w:line="240" w:lineRule="auto"/>
              <w:ind w:left="0"/>
              <w:cnfStyle w:val="000000000000" w:firstRow="0" w:lastRow="0" w:firstColumn="0" w:lastColumn="0" w:oddVBand="0" w:evenVBand="0" w:oddHBand="0" w:evenHBand="0" w:firstRowFirstColumn="0" w:firstRowLastColumn="0" w:lastRowFirstColumn="0" w:lastRowLastColumn="0"/>
              <w:rPr>
                <w:b/>
                <w:bCs/>
                <w:lang w:val="en-GB"/>
              </w:rPr>
            </w:pPr>
          </w:p>
        </w:tc>
        <w:tc>
          <w:tcPr>
            <w:tcW w:w="677" w:type="dxa"/>
          </w:tcPr>
          <w:p w14:paraId="1B6C4180" w14:textId="77777777" w:rsidR="00F37E33" w:rsidRPr="00C002FA" w:rsidRDefault="00F37E33" w:rsidP="0005079F">
            <w:pPr>
              <w:keepNext/>
              <w:spacing w:line="240" w:lineRule="auto"/>
              <w:ind w:left="0"/>
              <w:cnfStyle w:val="000000000000" w:firstRow="0" w:lastRow="0" w:firstColumn="0" w:lastColumn="0" w:oddVBand="0" w:evenVBand="0" w:oddHBand="0" w:evenHBand="0" w:firstRowFirstColumn="0" w:firstRowLastColumn="0" w:lastRowFirstColumn="0" w:lastRowLastColumn="0"/>
              <w:rPr>
                <w:b/>
                <w:bCs/>
                <w:lang w:val="en-GB"/>
              </w:rPr>
            </w:pPr>
          </w:p>
        </w:tc>
      </w:tr>
      <w:tr w:rsidR="00C002FA" w:rsidRPr="00945E3B" w14:paraId="29150389" w14:textId="73AA23B0" w:rsidTr="00E66B9F">
        <w:trPr>
          <w:trHeight w:val="300"/>
        </w:trPr>
        <w:tc>
          <w:tcPr>
            <w:cnfStyle w:val="001000000000" w:firstRow="0" w:lastRow="0" w:firstColumn="1" w:lastColumn="0" w:oddVBand="0" w:evenVBand="0" w:oddHBand="0" w:evenHBand="0" w:firstRowFirstColumn="0" w:firstRowLastColumn="0" w:lastRowFirstColumn="0" w:lastRowLastColumn="0"/>
            <w:tcW w:w="1445" w:type="dxa"/>
            <w:vMerge w:val="restart"/>
          </w:tcPr>
          <w:p w14:paraId="3BBE2FEF" w14:textId="408DB40B" w:rsidR="00C002FA" w:rsidRPr="00E47EEA" w:rsidRDefault="00C002FA" w:rsidP="0005079F">
            <w:pPr>
              <w:keepNext/>
              <w:spacing w:line="240" w:lineRule="auto"/>
              <w:ind w:left="0"/>
              <w:rPr>
                <w:b/>
                <w:bCs/>
                <w:lang w:val="en-GB"/>
              </w:rPr>
            </w:pPr>
            <w:r w:rsidRPr="00E47EEA">
              <w:rPr>
                <w:b/>
                <w:bCs/>
                <w:lang w:val="en-GB"/>
              </w:rPr>
              <w:t>Environmental</w:t>
            </w:r>
            <w:r w:rsidR="00E66B9F">
              <w:rPr>
                <w:b/>
                <w:bCs/>
                <w:lang w:val="en-GB"/>
              </w:rPr>
              <w:t xml:space="preserve"> &amp; health</w:t>
            </w:r>
          </w:p>
        </w:tc>
        <w:tc>
          <w:tcPr>
            <w:tcW w:w="4649" w:type="dxa"/>
            <w:noWrap/>
            <w:vAlign w:val="top"/>
          </w:tcPr>
          <w:p w14:paraId="0A41B98C" w14:textId="38C5A381" w:rsidR="00C002FA" w:rsidRPr="00163523" w:rsidRDefault="00E66B9F" w:rsidP="0005079F">
            <w:pPr>
              <w:keepNext/>
              <w:spacing w:line="240" w:lineRule="auto"/>
              <w:ind w:left="0"/>
              <w:jc w:val="left"/>
              <w:cnfStyle w:val="000000000000" w:firstRow="0" w:lastRow="0" w:firstColumn="0" w:lastColumn="0" w:oddVBand="0" w:evenVBand="0" w:oddHBand="0" w:evenHBand="0" w:firstRowFirstColumn="0" w:firstRowLastColumn="0" w:lastRowFirstColumn="0" w:lastRowLastColumn="0"/>
              <w:rPr>
                <w:lang w:val="en-GB"/>
              </w:rPr>
            </w:pPr>
            <w:r w:rsidRPr="00163523">
              <w:rPr>
                <w:rFonts w:cs="Times New Roman"/>
                <w:lang w:val="en-GB"/>
              </w:rPr>
              <w:t>(Lack of) consideration</w:t>
            </w:r>
            <w:r w:rsidR="00C002FA" w:rsidRPr="00163523">
              <w:rPr>
                <w:rFonts w:cs="Times New Roman"/>
                <w:lang w:val="en-GB"/>
              </w:rPr>
              <w:t xml:space="preserve"> of the associated environmental effects</w:t>
            </w:r>
          </w:p>
        </w:tc>
        <w:tc>
          <w:tcPr>
            <w:tcW w:w="677" w:type="dxa"/>
          </w:tcPr>
          <w:p w14:paraId="1677DB8C" w14:textId="674D0730" w:rsidR="00C002FA" w:rsidRPr="00C002FA" w:rsidRDefault="00C002FA" w:rsidP="0005079F">
            <w:pPr>
              <w:keepNext/>
              <w:spacing w:line="240" w:lineRule="auto"/>
              <w:ind w:left="0"/>
              <w:cnfStyle w:val="000000000000" w:firstRow="0" w:lastRow="0" w:firstColumn="0" w:lastColumn="0" w:oddVBand="0" w:evenVBand="0" w:oddHBand="0" w:evenHBand="0" w:firstRowFirstColumn="0" w:firstRowLastColumn="0" w:lastRowFirstColumn="0" w:lastRowLastColumn="0"/>
              <w:rPr>
                <w:b/>
                <w:bCs/>
                <w:lang w:val="en-GB"/>
              </w:rPr>
            </w:pPr>
            <w:r w:rsidRPr="00C002FA">
              <w:rPr>
                <w:rFonts w:ascii="Wingdings" w:eastAsia="Wingdings" w:hAnsi="Wingdings" w:cs="Wingdings"/>
                <w:b/>
                <w:lang w:val="en-GB"/>
              </w:rPr>
              <w:sym w:font="Wingdings" w:char="F0FC"/>
            </w:r>
          </w:p>
        </w:tc>
        <w:tc>
          <w:tcPr>
            <w:tcW w:w="677" w:type="dxa"/>
          </w:tcPr>
          <w:p w14:paraId="0F2E395E" w14:textId="77777777" w:rsidR="00C002FA" w:rsidRPr="00C002FA" w:rsidRDefault="00C002FA" w:rsidP="0005079F">
            <w:pPr>
              <w:keepNext/>
              <w:spacing w:line="240" w:lineRule="auto"/>
              <w:ind w:left="0"/>
              <w:cnfStyle w:val="000000000000" w:firstRow="0" w:lastRow="0" w:firstColumn="0" w:lastColumn="0" w:oddVBand="0" w:evenVBand="0" w:oddHBand="0" w:evenHBand="0" w:firstRowFirstColumn="0" w:firstRowLastColumn="0" w:lastRowFirstColumn="0" w:lastRowLastColumn="0"/>
              <w:rPr>
                <w:b/>
                <w:bCs/>
                <w:lang w:val="en-GB"/>
              </w:rPr>
            </w:pPr>
          </w:p>
        </w:tc>
        <w:tc>
          <w:tcPr>
            <w:tcW w:w="677" w:type="dxa"/>
          </w:tcPr>
          <w:p w14:paraId="7B5B84C4" w14:textId="08F403B5" w:rsidR="00C002FA" w:rsidRPr="00C002FA" w:rsidRDefault="00C002FA" w:rsidP="0005079F">
            <w:pPr>
              <w:keepNext/>
              <w:spacing w:line="240" w:lineRule="auto"/>
              <w:ind w:left="0"/>
              <w:cnfStyle w:val="000000000000" w:firstRow="0" w:lastRow="0" w:firstColumn="0" w:lastColumn="0" w:oddVBand="0" w:evenVBand="0" w:oddHBand="0" w:evenHBand="0" w:firstRowFirstColumn="0" w:firstRowLastColumn="0" w:lastRowFirstColumn="0" w:lastRowLastColumn="0"/>
              <w:rPr>
                <w:b/>
                <w:bCs/>
                <w:lang w:val="en-GB"/>
              </w:rPr>
            </w:pPr>
            <w:r w:rsidRPr="00C002FA">
              <w:rPr>
                <w:rFonts w:ascii="Wingdings" w:eastAsia="Wingdings" w:hAnsi="Wingdings" w:cs="Wingdings"/>
                <w:b/>
                <w:lang w:val="en-GB"/>
              </w:rPr>
              <w:sym w:font="Wingdings" w:char="F0FC"/>
            </w:r>
          </w:p>
        </w:tc>
        <w:tc>
          <w:tcPr>
            <w:tcW w:w="677" w:type="dxa"/>
          </w:tcPr>
          <w:p w14:paraId="01014732" w14:textId="77777777" w:rsidR="00C002FA" w:rsidRPr="00C002FA" w:rsidRDefault="00C002FA" w:rsidP="0005079F">
            <w:pPr>
              <w:keepNext/>
              <w:spacing w:line="240" w:lineRule="auto"/>
              <w:ind w:left="0"/>
              <w:cnfStyle w:val="000000000000" w:firstRow="0" w:lastRow="0" w:firstColumn="0" w:lastColumn="0" w:oddVBand="0" w:evenVBand="0" w:oddHBand="0" w:evenHBand="0" w:firstRowFirstColumn="0" w:firstRowLastColumn="0" w:lastRowFirstColumn="0" w:lastRowLastColumn="0"/>
              <w:rPr>
                <w:b/>
                <w:bCs/>
                <w:lang w:val="en-GB"/>
              </w:rPr>
            </w:pPr>
          </w:p>
        </w:tc>
        <w:tc>
          <w:tcPr>
            <w:tcW w:w="677" w:type="dxa"/>
          </w:tcPr>
          <w:p w14:paraId="41F55BAA" w14:textId="5C66193F" w:rsidR="00E66B9F" w:rsidRPr="00C002FA" w:rsidRDefault="00E66B9F" w:rsidP="0005079F">
            <w:pPr>
              <w:keepNext/>
              <w:spacing w:line="240" w:lineRule="auto"/>
              <w:ind w:left="0"/>
              <w:cnfStyle w:val="000000000000" w:firstRow="0" w:lastRow="0" w:firstColumn="0" w:lastColumn="0" w:oddVBand="0" w:evenVBand="0" w:oddHBand="0" w:evenHBand="0" w:firstRowFirstColumn="0" w:firstRowLastColumn="0" w:lastRowFirstColumn="0" w:lastRowLastColumn="0"/>
              <w:rPr>
                <w:b/>
                <w:bCs/>
                <w:lang w:val="en-GB"/>
              </w:rPr>
            </w:pPr>
            <w:r w:rsidRPr="00C002FA">
              <w:rPr>
                <w:rFonts w:ascii="Wingdings" w:eastAsia="Wingdings" w:hAnsi="Wingdings" w:cs="Wingdings"/>
                <w:b/>
                <w:lang w:val="en-GB"/>
              </w:rPr>
              <w:sym w:font="Wingdings" w:char="F0FC"/>
            </w:r>
          </w:p>
        </w:tc>
        <w:tc>
          <w:tcPr>
            <w:tcW w:w="677" w:type="dxa"/>
          </w:tcPr>
          <w:p w14:paraId="4C4C4CB1" w14:textId="40CB1E9C" w:rsidR="00E66B9F" w:rsidRPr="00C002FA" w:rsidRDefault="00E66B9F" w:rsidP="0005079F">
            <w:pPr>
              <w:keepNext/>
              <w:spacing w:line="240" w:lineRule="auto"/>
              <w:ind w:left="0"/>
              <w:cnfStyle w:val="000000000000" w:firstRow="0" w:lastRow="0" w:firstColumn="0" w:lastColumn="0" w:oddVBand="0" w:evenVBand="0" w:oddHBand="0" w:evenHBand="0" w:firstRowFirstColumn="0" w:firstRowLastColumn="0" w:lastRowFirstColumn="0" w:lastRowLastColumn="0"/>
              <w:rPr>
                <w:b/>
                <w:bCs/>
                <w:lang w:val="en-GB"/>
              </w:rPr>
            </w:pPr>
            <w:r w:rsidRPr="00C002FA">
              <w:rPr>
                <w:rFonts w:ascii="Wingdings" w:eastAsia="Wingdings" w:hAnsi="Wingdings" w:cs="Wingdings"/>
                <w:b/>
                <w:lang w:val="en-GB"/>
              </w:rPr>
              <w:sym w:font="Wingdings" w:char="F0FC"/>
            </w:r>
          </w:p>
        </w:tc>
      </w:tr>
      <w:tr w:rsidR="00C002FA" w:rsidRPr="00945E3B" w14:paraId="54892861" w14:textId="5660409B" w:rsidTr="00E66B9F">
        <w:trPr>
          <w:trHeight w:val="300"/>
        </w:trPr>
        <w:tc>
          <w:tcPr>
            <w:cnfStyle w:val="001000000000" w:firstRow="0" w:lastRow="0" w:firstColumn="1" w:lastColumn="0" w:oddVBand="0" w:evenVBand="0" w:oddHBand="0" w:evenHBand="0" w:firstRowFirstColumn="0" w:firstRowLastColumn="0" w:lastRowFirstColumn="0" w:lastRowLastColumn="0"/>
            <w:tcW w:w="1445" w:type="dxa"/>
            <w:vMerge/>
          </w:tcPr>
          <w:p w14:paraId="19EC0D76" w14:textId="77777777" w:rsidR="00C002FA" w:rsidRPr="00163523" w:rsidRDefault="00C002FA" w:rsidP="0005079F">
            <w:pPr>
              <w:keepNext/>
              <w:spacing w:line="240" w:lineRule="auto"/>
              <w:ind w:left="0"/>
              <w:rPr>
                <w:b/>
                <w:lang w:val="en-GB"/>
              </w:rPr>
            </w:pPr>
          </w:p>
        </w:tc>
        <w:tc>
          <w:tcPr>
            <w:tcW w:w="4649" w:type="dxa"/>
            <w:noWrap/>
            <w:vAlign w:val="top"/>
          </w:tcPr>
          <w:p w14:paraId="0FCD1B6C" w14:textId="6CEE8633" w:rsidR="00C002FA" w:rsidRPr="00641F1A" w:rsidRDefault="00C002FA" w:rsidP="0005079F">
            <w:pPr>
              <w:keepNext/>
              <w:spacing w:line="240" w:lineRule="auto"/>
              <w:ind w:left="0"/>
              <w:jc w:val="left"/>
              <w:cnfStyle w:val="000000000000" w:firstRow="0" w:lastRow="0" w:firstColumn="0" w:lastColumn="0" w:oddVBand="0" w:evenVBand="0" w:oddHBand="0" w:evenHBand="0" w:firstRowFirstColumn="0" w:firstRowLastColumn="0" w:lastRowFirstColumn="0" w:lastRowLastColumn="0"/>
              <w:rPr>
                <w:rFonts w:cs="Times New Roman"/>
                <w:lang w:val="en-GB"/>
              </w:rPr>
            </w:pPr>
            <w:r>
              <w:rPr>
                <w:rFonts w:cs="Times New Roman"/>
                <w:lang w:val="en-GB"/>
              </w:rPr>
              <w:t>Extreme weather</w:t>
            </w:r>
          </w:p>
        </w:tc>
        <w:tc>
          <w:tcPr>
            <w:tcW w:w="677" w:type="dxa"/>
          </w:tcPr>
          <w:p w14:paraId="4AA1B083" w14:textId="229FA1F9" w:rsidR="00C002FA" w:rsidRPr="00C002FA" w:rsidRDefault="00C002FA" w:rsidP="0005079F">
            <w:pPr>
              <w:keepNext/>
              <w:spacing w:line="240" w:lineRule="auto"/>
              <w:ind w:left="0"/>
              <w:cnfStyle w:val="000000000000" w:firstRow="0" w:lastRow="0" w:firstColumn="0" w:lastColumn="0" w:oddVBand="0" w:evenVBand="0" w:oddHBand="0" w:evenHBand="0" w:firstRowFirstColumn="0" w:firstRowLastColumn="0" w:lastRowFirstColumn="0" w:lastRowLastColumn="0"/>
              <w:rPr>
                <w:b/>
                <w:bCs/>
                <w:lang w:val="en-GB"/>
              </w:rPr>
            </w:pPr>
            <w:r w:rsidRPr="00C002FA">
              <w:rPr>
                <w:rFonts w:ascii="Wingdings" w:eastAsia="Wingdings" w:hAnsi="Wingdings" w:cs="Wingdings"/>
                <w:b/>
                <w:lang w:val="en-GB"/>
              </w:rPr>
              <w:sym w:font="Wingdings" w:char="F0FC"/>
            </w:r>
          </w:p>
        </w:tc>
        <w:tc>
          <w:tcPr>
            <w:tcW w:w="677" w:type="dxa"/>
          </w:tcPr>
          <w:p w14:paraId="37FD66DC" w14:textId="77777777" w:rsidR="00C002FA" w:rsidRPr="00C002FA" w:rsidRDefault="00C002FA" w:rsidP="0005079F">
            <w:pPr>
              <w:keepNext/>
              <w:spacing w:line="240" w:lineRule="auto"/>
              <w:ind w:left="0"/>
              <w:cnfStyle w:val="000000000000" w:firstRow="0" w:lastRow="0" w:firstColumn="0" w:lastColumn="0" w:oddVBand="0" w:evenVBand="0" w:oddHBand="0" w:evenHBand="0" w:firstRowFirstColumn="0" w:firstRowLastColumn="0" w:lastRowFirstColumn="0" w:lastRowLastColumn="0"/>
              <w:rPr>
                <w:b/>
                <w:bCs/>
                <w:lang w:val="en-GB"/>
              </w:rPr>
            </w:pPr>
          </w:p>
        </w:tc>
        <w:tc>
          <w:tcPr>
            <w:tcW w:w="677" w:type="dxa"/>
          </w:tcPr>
          <w:p w14:paraId="0F5FD486" w14:textId="77777777" w:rsidR="00C002FA" w:rsidRPr="00C002FA" w:rsidRDefault="00C002FA" w:rsidP="0005079F">
            <w:pPr>
              <w:keepNext/>
              <w:spacing w:line="240" w:lineRule="auto"/>
              <w:ind w:left="0"/>
              <w:cnfStyle w:val="000000000000" w:firstRow="0" w:lastRow="0" w:firstColumn="0" w:lastColumn="0" w:oddVBand="0" w:evenVBand="0" w:oddHBand="0" w:evenHBand="0" w:firstRowFirstColumn="0" w:firstRowLastColumn="0" w:lastRowFirstColumn="0" w:lastRowLastColumn="0"/>
              <w:rPr>
                <w:b/>
                <w:bCs/>
                <w:lang w:val="en-GB"/>
              </w:rPr>
            </w:pPr>
          </w:p>
        </w:tc>
        <w:tc>
          <w:tcPr>
            <w:tcW w:w="677" w:type="dxa"/>
          </w:tcPr>
          <w:p w14:paraId="6A68E0E9" w14:textId="77777777" w:rsidR="00C002FA" w:rsidRPr="00C002FA" w:rsidRDefault="00C002FA" w:rsidP="0005079F">
            <w:pPr>
              <w:keepNext/>
              <w:spacing w:line="240" w:lineRule="auto"/>
              <w:ind w:left="0"/>
              <w:cnfStyle w:val="000000000000" w:firstRow="0" w:lastRow="0" w:firstColumn="0" w:lastColumn="0" w:oddVBand="0" w:evenVBand="0" w:oddHBand="0" w:evenHBand="0" w:firstRowFirstColumn="0" w:firstRowLastColumn="0" w:lastRowFirstColumn="0" w:lastRowLastColumn="0"/>
              <w:rPr>
                <w:b/>
                <w:bCs/>
                <w:lang w:val="en-GB"/>
              </w:rPr>
            </w:pPr>
          </w:p>
        </w:tc>
        <w:tc>
          <w:tcPr>
            <w:tcW w:w="677" w:type="dxa"/>
          </w:tcPr>
          <w:p w14:paraId="4A04B7B4" w14:textId="77777777" w:rsidR="00E66B9F" w:rsidRPr="00C002FA" w:rsidRDefault="00E66B9F" w:rsidP="0005079F">
            <w:pPr>
              <w:keepNext/>
              <w:spacing w:line="240" w:lineRule="auto"/>
              <w:ind w:left="0"/>
              <w:cnfStyle w:val="000000000000" w:firstRow="0" w:lastRow="0" w:firstColumn="0" w:lastColumn="0" w:oddVBand="0" w:evenVBand="0" w:oddHBand="0" w:evenHBand="0" w:firstRowFirstColumn="0" w:firstRowLastColumn="0" w:lastRowFirstColumn="0" w:lastRowLastColumn="0"/>
              <w:rPr>
                <w:b/>
                <w:bCs/>
                <w:lang w:val="en-GB"/>
              </w:rPr>
            </w:pPr>
          </w:p>
        </w:tc>
        <w:tc>
          <w:tcPr>
            <w:tcW w:w="677" w:type="dxa"/>
          </w:tcPr>
          <w:p w14:paraId="405D4B8C" w14:textId="77777777" w:rsidR="00E66B9F" w:rsidRPr="00C002FA" w:rsidRDefault="00E66B9F" w:rsidP="0005079F">
            <w:pPr>
              <w:keepNext/>
              <w:spacing w:line="240" w:lineRule="auto"/>
              <w:ind w:left="0"/>
              <w:cnfStyle w:val="000000000000" w:firstRow="0" w:lastRow="0" w:firstColumn="0" w:lastColumn="0" w:oddVBand="0" w:evenVBand="0" w:oddHBand="0" w:evenHBand="0" w:firstRowFirstColumn="0" w:firstRowLastColumn="0" w:lastRowFirstColumn="0" w:lastRowLastColumn="0"/>
              <w:rPr>
                <w:b/>
                <w:bCs/>
                <w:lang w:val="en-GB"/>
              </w:rPr>
            </w:pPr>
          </w:p>
        </w:tc>
      </w:tr>
      <w:tr w:rsidR="00C002FA" w:rsidRPr="00945E3B" w14:paraId="2F831D52" w14:textId="3E0824AA" w:rsidTr="00E66B9F">
        <w:trPr>
          <w:trHeight w:val="300"/>
        </w:trPr>
        <w:tc>
          <w:tcPr>
            <w:cnfStyle w:val="001000000000" w:firstRow="0" w:lastRow="0" w:firstColumn="1" w:lastColumn="0" w:oddVBand="0" w:evenVBand="0" w:oddHBand="0" w:evenHBand="0" w:firstRowFirstColumn="0" w:firstRowLastColumn="0" w:lastRowFirstColumn="0" w:lastRowLastColumn="0"/>
            <w:tcW w:w="1445" w:type="dxa"/>
            <w:vMerge/>
          </w:tcPr>
          <w:p w14:paraId="5306BFC3" w14:textId="77777777" w:rsidR="00C002FA" w:rsidRPr="00163523" w:rsidRDefault="00C002FA" w:rsidP="0005079F">
            <w:pPr>
              <w:keepNext/>
              <w:spacing w:line="240" w:lineRule="auto"/>
              <w:ind w:left="0"/>
              <w:rPr>
                <w:b/>
                <w:lang w:val="en-GB"/>
              </w:rPr>
            </w:pPr>
          </w:p>
        </w:tc>
        <w:tc>
          <w:tcPr>
            <w:tcW w:w="4649" w:type="dxa"/>
            <w:noWrap/>
            <w:vAlign w:val="top"/>
          </w:tcPr>
          <w:p w14:paraId="44F77B00" w14:textId="6EA9B813" w:rsidR="00C002FA" w:rsidRDefault="00C002FA" w:rsidP="0005079F">
            <w:pPr>
              <w:keepNext/>
              <w:spacing w:line="240" w:lineRule="auto"/>
              <w:ind w:left="0"/>
              <w:jc w:val="left"/>
              <w:cnfStyle w:val="000000000000" w:firstRow="0" w:lastRow="0" w:firstColumn="0" w:lastColumn="0" w:oddVBand="0" w:evenVBand="0" w:oddHBand="0" w:evenHBand="0" w:firstRowFirstColumn="0" w:firstRowLastColumn="0" w:lastRowFirstColumn="0" w:lastRowLastColumn="0"/>
              <w:rPr>
                <w:rFonts w:cs="Times New Roman"/>
                <w:lang w:val="en-GB"/>
              </w:rPr>
            </w:pPr>
            <w:r>
              <w:rPr>
                <w:rFonts w:cs="Times New Roman"/>
                <w:lang w:val="en-GB"/>
              </w:rPr>
              <w:t>Biodiversity loss</w:t>
            </w:r>
          </w:p>
        </w:tc>
        <w:tc>
          <w:tcPr>
            <w:tcW w:w="677" w:type="dxa"/>
          </w:tcPr>
          <w:p w14:paraId="65367CB3" w14:textId="61158CD8" w:rsidR="00C002FA" w:rsidRPr="00C002FA" w:rsidRDefault="00C002FA" w:rsidP="0005079F">
            <w:pPr>
              <w:keepNext/>
              <w:spacing w:line="240" w:lineRule="auto"/>
              <w:ind w:left="0"/>
              <w:cnfStyle w:val="000000000000" w:firstRow="0" w:lastRow="0" w:firstColumn="0" w:lastColumn="0" w:oddVBand="0" w:evenVBand="0" w:oddHBand="0" w:evenHBand="0" w:firstRowFirstColumn="0" w:firstRowLastColumn="0" w:lastRowFirstColumn="0" w:lastRowLastColumn="0"/>
              <w:rPr>
                <w:b/>
                <w:bCs/>
                <w:lang w:val="en-GB"/>
              </w:rPr>
            </w:pPr>
            <w:r w:rsidRPr="00C002FA">
              <w:rPr>
                <w:rFonts w:ascii="Wingdings" w:eastAsia="Wingdings" w:hAnsi="Wingdings" w:cs="Wingdings"/>
                <w:b/>
                <w:lang w:val="en-GB"/>
              </w:rPr>
              <w:sym w:font="Wingdings" w:char="F0FC"/>
            </w:r>
          </w:p>
        </w:tc>
        <w:tc>
          <w:tcPr>
            <w:tcW w:w="677" w:type="dxa"/>
          </w:tcPr>
          <w:p w14:paraId="765AC6BA" w14:textId="77777777" w:rsidR="00C002FA" w:rsidRPr="00C002FA" w:rsidRDefault="00C002FA" w:rsidP="0005079F">
            <w:pPr>
              <w:keepNext/>
              <w:spacing w:line="240" w:lineRule="auto"/>
              <w:ind w:left="0"/>
              <w:cnfStyle w:val="000000000000" w:firstRow="0" w:lastRow="0" w:firstColumn="0" w:lastColumn="0" w:oddVBand="0" w:evenVBand="0" w:oddHBand="0" w:evenHBand="0" w:firstRowFirstColumn="0" w:firstRowLastColumn="0" w:lastRowFirstColumn="0" w:lastRowLastColumn="0"/>
              <w:rPr>
                <w:b/>
                <w:bCs/>
                <w:lang w:val="en-GB"/>
              </w:rPr>
            </w:pPr>
          </w:p>
        </w:tc>
        <w:tc>
          <w:tcPr>
            <w:tcW w:w="677" w:type="dxa"/>
          </w:tcPr>
          <w:p w14:paraId="1386B666" w14:textId="77777777" w:rsidR="00C002FA" w:rsidRPr="00C002FA" w:rsidRDefault="00C002FA" w:rsidP="0005079F">
            <w:pPr>
              <w:keepNext/>
              <w:spacing w:line="240" w:lineRule="auto"/>
              <w:ind w:left="0"/>
              <w:cnfStyle w:val="000000000000" w:firstRow="0" w:lastRow="0" w:firstColumn="0" w:lastColumn="0" w:oddVBand="0" w:evenVBand="0" w:oddHBand="0" w:evenHBand="0" w:firstRowFirstColumn="0" w:firstRowLastColumn="0" w:lastRowFirstColumn="0" w:lastRowLastColumn="0"/>
              <w:rPr>
                <w:b/>
                <w:bCs/>
                <w:lang w:val="en-GB"/>
              </w:rPr>
            </w:pPr>
          </w:p>
        </w:tc>
        <w:tc>
          <w:tcPr>
            <w:tcW w:w="677" w:type="dxa"/>
          </w:tcPr>
          <w:p w14:paraId="32101F07" w14:textId="77777777" w:rsidR="00C002FA" w:rsidRPr="00C002FA" w:rsidRDefault="00C002FA" w:rsidP="0005079F">
            <w:pPr>
              <w:keepNext/>
              <w:spacing w:line="240" w:lineRule="auto"/>
              <w:ind w:left="0"/>
              <w:cnfStyle w:val="000000000000" w:firstRow="0" w:lastRow="0" w:firstColumn="0" w:lastColumn="0" w:oddVBand="0" w:evenVBand="0" w:oddHBand="0" w:evenHBand="0" w:firstRowFirstColumn="0" w:firstRowLastColumn="0" w:lastRowFirstColumn="0" w:lastRowLastColumn="0"/>
              <w:rPr>
                <w:b/>
                <w:bCs/>
                <w:lang w:val="en-GB"/>
              </w:rPr>
            </w:pPr>
          </w:p>
        </w:tc>
        <w:tc>
          <w:tcPr>
            <w:tcW w:w="677" w:type="dxa"/>
          </w:tcPr>
          <w:p w14:paraId="7E19295E" w14:textId="77777777" w:rsidR="00E66B9F" w:rsidRPr="00C002FA" w:rsidRDefault="00E66B9F" w:rsidP="0005079F">
            <w:pPr>
              <w:keepNext/>
              <w:spacing w:line="240" w:lineRule="auto"/>
              <w:ind w:left="0"/>
              <w:cnfStyle w:val="000000000000" w:firstRow="0" w:lastRow="0" w:firstColumn="0" w:lastColumn="0" w:oddVBand="0" w:evenVBand="0" w:oddHBand="0" w:evenHBand="0" w:firstRowFirstColumn="0" w:firstRowLastColumn="0" w:lastRowFirstColumn="0" w:lastRowLastColumn="0"/>
              <w:rPr>
                <w:b/>
                <w:bCs/>
                <w:lang w:val="en-GB"/>
              </w:rPr>
            </w:pPr>
          </w:p>
        </w:tc>
        <w:tc>
          <w:tcPr>
            <w:tcW w:w="677" w:type="dxa"/>
          </w:tcPr>
          <w:p w14:paraId="09ECC722" w14:textId="77777777" w:rsidR="00E66B9F" w:rsidRPr="00C002FA" w:rsidRDefault="00E66B9F" w:rsidP="0005079F">
            <w:pPr>
              <w:keepNext/>
              <w:spacing w:line="240" w:lineRule="auto"/>
              <w:ind w:left="0"/>
              <w:cnfStyle w:val="000000000000" w:firstRow="0" w:lastRow="0" w:firstColumn="0" w:lastColumn="0" w:oddVBand="0" w:evenVBand="0" w:oddHBand="0" w:evenHBand="0" w:firstRowFirstColumn="0" w:firstRowLastColumn="0" w:lastRowFirstColumn="0" w:lastRowLastColumn="0"/>
              <w:rPr>
                <w:b/>
                <w:bCs/>
                <w:lang w:val="en-GB"/>
              </w:rPr>
            </w:pPr>
          </w:p>
        </w:tc>
      </w:tr>
      <w:tr w:rsidR="00C002FA" w:rsidRPr="00945E3B" w14:paraId="7502C905" w14:textId="691E7E6A" w:rsidTr="00E66B9F">
        <w:trPr>
          <w:trHeight w:val="300"/>
        </w:trPr>
        <w:tc>
          <w:tcPr>
            <w:cnfStyle w:val="001000000000" w:firstRow="0" w:lastRow="0" w:firstColumn="1" w:lastColumn="0" w:oddVBand="0" w:evenVBand="0" w:oddHBand="0" w:evenHBand="0" w:firstRowFirstColumn="0" w:firstRowLastColumn="0" w:lastRowFirstColumn="0" w:lastRowLastColumn="0"/>
            <w:tcW w:w="1445" w:type="dxa"/>
            <w:vMerge/>
          </w:tcPr>
          <w:p w14:paraId="679C0FD3" w14:textId="77777777" w:rsidR="00C002FA" w:rsidRPr="00163523" w:rsidRDefault="00C002FA" w:rsidP="0005079F">
            <w:pPr>
              <w:keepNext/>
              <w:spacing w:line="240" w:lineRule="auto"/>
              <w:ind w:left="0"/>
              <w:rPr>
                <w:b/>
                <w:lang w:val="en-GB"/>
              </w:rPr>
            </w:pPr>
          </w:p>
        </w:tc>
        <w:tc>
          <w:tcPr>
            <w:tcW w:w="4649" w:type="dxa"/>
            <w:noWrap/>
            <w:vAlign w:val="top"/>
          </w:tcPr>
          <w:p w14:paraId="6917F59B" w14:textId="15766D00" w:rsidR="00C002FA" w:rsidRDefault="00C002FA" w:rsidP="0005079F">
            <w:pPr>
              <w:keepNext/>
              <w:spacing w:line="240" w:lineRule="auto"/>
              <w:ind w:left="0"/>
              <w:jc w:val="left"/>
              <w:cnfStyle w:val="000000000000" w:firstRow="0" w:lastRow="0" w:firstColumn="0" w:lastColumn="0" w:oddVBand="0" w:evenVBand="0" w:oddHBand="0" w:evenHBand="0" w:firstRowFirstColumn="0" w:firstRowLastColumn="0" w:lastRowFirstColumn="0" w:lastRowLastColumn="0"/>
              <w:rPr>
                <w:rFonts w:cs="Times New Roman"/>
                <w:lang w:val="en-GB"/>
              </w:rPr>
            </w:pPr>
            <w:r>
              <w:rPr>
                <w:rFonts w:cs="Times New Roman"/>
                <w:lang w:val="en-GB"/>
              </w:rPr>
              <w:t>Climate action failure</w:t>
            </w:r>
          </w:p>
        </w:tc>
        <w:tc>
          <w:tcPr>
            <w:tcW w:w="677" w:type="dxa"/>
          </w:tcPr>
          <w:p w14:paraId="573620FC" w14:textId="46272897" w:rsidR="00C002FA" w:rsidRPr="00C002FA" w:rsidRDefault="00C002FA" w:rsidP="0005079F">
            <w:pPr>
              <w:keepNext/>
              <w:spacing w:line="240" w:lineRule="auto"/>
              <w:ind w:left="0"/>
              <w:cnfStyle w:val="000000000000" w:firstRow="0" w:lastRow="0" w:firstColumn="0" w:lastColumn="0" w:oddVBand="0" w:evenVBand="0" w:oddHBand="0" w:evenHBand="0" w:firstRowFirstColumn="0" w:firstRowLastColumn="0" w:lastRowFirstColumn="0" w:lastRowLastColumn="0"/>
              <w:rPr>
                <w:b/>
                <w:bCs/>
                <w:lang w:val="en-GB"/>
              </w:rPr>
            </w:pPr>
            <w:r w:rsidRPr="00C002FA">
              <w:rPr>
                <w:rFonts w:ascii="Wingdings" w:eastAsia="Wingdings" w:hAnsi="Wingdings" w:cs="Wingdings"/>
                <w:b/>
                <w:lang w:val="en-GB"/>
              </w:rPr>
              <w:sym w:font="Wingdings" w:char="F0FC"/>
            </w:r>
          </w:p>
        </w:tc>
        <w:tc>
          <w:tcPr>
            <w:tcW w:w="677" w:type="dxa"/>
          </w:tcPr>
          <w:p w14:paraId="529C500B" w14:textId="77777777" w:rsidR="00C002FA" w:rsidRPr="00C002FA" w:rsidRDefault="00C002FA" w:rsidP="0005079F">
            <w:pPr>
              <w:keepNext/>
              <w:spacing w:line="240" w:lineRule="auto"/>
              <w:ind w:left="0"/>
              <w:cnfStyle w:val="000000000000" w:firstRow="0" w:lastRow="0" w:firstColumn="0" w:lastColumn="0" w:oddVBand="0" w:evenVBand="0" w:oddHBand="0" w:evenHBand="0" w:firstRowFirstColumn="0" w:firstRowLastColumn="0" w:lastRowFirstColumn="0" w:lastRowLastColumn="0"/>
              <w:rPr>
                <w:b/>
                <w:bCs/>
                <w:lang w:val="en-GB"/>
              </w:rPr>
            </w:pPr>
          </w:p>
        </w:tc>
        <w:tc>
          <w:tcPr>
            <w:tcW w:w="677" w:type="dxa"/>
          </w:tcPr>
          <w:p w14:paraId="51B7906F" w14:textId="77777777" w:rsidR="00C002FA" w:rsidRPr="00C002FA" w:rsidRDefault="00C002FA" w:rsidP="0005079F">
            <w:pPr>
              <w:keepNext/>
              <w:spacing w:line="240" w:lineRule="auto"/>
              <w:ind w:left="0"/>
              <w:cnfStyle w:val="000000000000" w:firstRow="0" w:lastRow="0" w:firstColumn="0" w:lastColumn="0" w:oddVBand="0" w:evenVBand="0" w:oddHBand="0" w:evenHBand="0" w:firstRowFirstColumn="0" w:firstRowLastColumn="0" w:lastRowFirstColumn="0" w:lastRowLastColumn="0"/>
              <w:rPr>
                <w:b/>
                <w:bCs/>
                <w:lang w:val="en-GB"/>
              </w:rPr>
            </w:pPr>
          </w:p>
        </w:tc>
        <w:tc>
          <w:tcPr>
            <w:tcW w:w="677" w:type="dxa"/>
          </w:tcPr>
          <w:p w14:paraId="0A2CD562" w14:textId="77777777" w:rsidR="00C002FA" w:rsidRPr="00C002FA" w:rsidRDefault="00C002FA" w:rsidP="0005079F">
            <w:pPr>
              <w:keepNext/>
              <w:spacing w:line="240" w:lineRule="auto"/>
              <w:ind w:left="0"/>
              <w:cnfStyle w:val="000000000000" w:firstRow="0" w:lastRow="0" w:firstColumn="0" w:lastColumn="0" w:oddVBand="0" w:evenVBand="0" w:oddHBand="0" w:evenHBand="0" w:firstRowFirstColumn="0" w:firstRowLastColumn="0" w:lastRowFirstColumn="0" w:lastRowLastColumn="0"/>
              <w:rPr>
                <w:b/>
                <w:bCs/>
                <w:lang w:val="en-GB"/>
              </w:rPr>
            </w:pPr>
          </w:p>
        </w:tc>
        <w:tc>
          <w:tcPr>
            <w:tcW w:w="677" w:type="dxa"/>
          </w:tcPr>
          <w:p w14:paraId="380EA06B" w14:textId="77777777" w:rsidR="00E66B9F" w:rsidRPr="00C002FA" w:rsidRDefault="00E66B9F" w:rsidP="0005079F">
            <w:pPr>
              <w:keepNext/>
              <w:spacing w:line="240" w:lineRule="auto"/>
              <w:ind w:left="0"/>
              <w:cnfStyle w:val="000000000000" w:firstRow="0" w:lastRow="0" w:firstColumn="0" w:lastColumn="0" w:oddVBand="0" w:evenVBand="0" w:oddHBand="0" w:evenHBand="0" w:firstRowFirstColumn="0" w:firstRowLastColumn="0" w:lastRowFirstColumn="0" w:lastRowLastColumn="0"/>
              <w:rPr>
                <w:b/>
                <w:bCs/>
                <w:lang w:val="en-GB"/>
              </w:rPr>
            </w:pPr>
          </w:p>
        </w:tc>
        <w:tc>
          <w:tcPr>
            <w:tcW w:w="677" w:type="dxa"/>
          </w:tcPr>
          <w:p w14:paraId="6EF2C5A1" w14:textId="77777777" w:rsidR="00E66B9F" w:rsidRPr="00C002FA" w:rsidRDefault="00E66B9F" w:rsidP="0005079F">
            <w:pPr>
              <w:keepNext/>
              <w:spacing w:line="240" w:lineRule="auto"/>
              <w:ind w:left="0"/>
              <w:cnfStyle w:val="000000000000" w:firstRow="0" w:lastRow="0" w:firstColumn="0" w:lastColumn="0" w:oddVBand="0" w:evenVBand="0" w:oddHBand="0" w:evenHBand="0" w:firstRowFirstColumn="0" w:firstRowLastColumn="0" w:lastRowFirstColumn="0" w:lastRowLastColumn="0"/>
              <w:rPr>
                <w:b/>
                <w:bCs/>
                <w:lang w:val="en-GB"/>
              </w:rPr>
            </w:pPr>
          </w:p>
        </w:tc>
      </w:tr>
      <w:tr w:rsidR="00E66B9F" w:rsidRPr="00945E3B" w14:paraId="1B071501" w14:textId="77777777" w:rsidTr="00E66B9F">
        <w:trPr>
          <w:trHeight w:val="300"/>
        </w:trPr>
        <w:tc>
          <w:tcPr>
            <w:cnfStyle w:val="001000000000" w:firstRow="0" w:lastRow="0" w:firstColumn="1" w:lastColumn="0" w:oddVBand="0" w:evenVBand="0" w:oddHBand="0" w:evenHBand="0" w:firstRowFirstColumn="0" w:firstRowLastColumn="0" w:lastRowFirstColumn="0" w:lastRowLastColumn="0"/>
            <w:tcW w:w="1445" w:type="dxa"/>
            <w:vMerge/>
          </w:tcPr>
          <w:p w14:paraId="4F622C70" w14:textId="77777777" w:rsidR="00E66B9F" w:rsidRPr="00163523" w:rsidRDefault="00E66B9F" w:rsidP="0005079F">
            <w:pPr>
              <w:keepNext/>
              <w:spacing w:line="240" w:lineRule="auto"/>
              <w:ind w:left="0"/>
              <w:rPr>
                <w:b/>
                <w:lang w:val="en-GB"/>
              </w:rPr>
            </w:pPr>
          </w:p>
        </w:tc>
        <w:tc>
          <w:tcPr>
            <w:tcW w:w="4649" w:type="dxa"/>
            <w:noWrap/>
            <w:vAlign w:val="top"/>
          </w:tcPr>
          <w:p w14:paraId="044F9697" w14:textId="4508E76A" w:rsidR="00E66B9F" w:rsidRDefault="00E66B9F" w:rsidP="00E66B9F">
            <w:pPr>
              <w:keepNext/>
              <w:spacing w:line="240" w:lineRule="auto"/>
              <w:ind w:left="0"/>
              <w:jc w:val="left"/>
              <w:cnfStyle w:val="000000000000" w:firstRow="0" w:lastRow="0" w:firstColumn="0" w:lastColumn="0" w:oddVBand="0" w:evenVBand="0" w:oddHBand="0" w:evenHBand="0" w:firstRowFirstColumn="0" w:firstRowLastColumn="0" w:lastRowFirstColumn="0" w:lastRowLastColumn="0"/>
              <w:rPr>
                <w:rFonts w:cs="Times New Roman"/>
                <w:lang w:val="en-GB"/>
              </w:rPr>
            </w:pPr>
            <w:r>
              <w:rPr>
                <w:lang w:val="en-GB"/>
              </w:rPr>
              <w:t>Infectious diseases</w:t>
            </w:r>
          </w:p>
        </w:tc>
        <w:tc>
          <w:tcPr>
            <w:tcW w:w="677" w:type="dxa"/>
          </w:tcPr>
          <w:p w14:paraId="7C50C06C" w14:textId="7CA72082" w:rsidR="00E66B9F" w:rsidRPr="00C002FA" w:rsidRDefault="00E66B9F" w:rsidP="0005079F">
            <w:pPr>
              <w:keepNext/>
              <w:spacing w:line="240" w:lineRule="auto"/>
              <w:ind w:left="0"/>
              <w:cnfStyle w:val="000000000000" w:firstRow="0" w:lastRow="0" w:firstColumn="0" w:lastColumn="0" w:oddVBand="0" w:evenVBand="0" w:oddHBand="0" w:evenHBand="0" w:firstRowFirstColumn="0" w:firstRowLastColumn="0" w:lastRowFirstColumn="0" w:lastRowLastColumn="0"/>
              <w:rPr>
                <w:b/>
                <w:bCs/>
                <w:lang w:val="en-GB"/>
              </w:rPr>
            </w:pPr>
            <w:r w:rsidRPr="00C002FA">
              <w:rPr>
                <w:rFonts w:ascii="Wingdings" w:eastAsia="Wingdings" w:hAnsi="Wingdings" w:cs="Wingdings"/>
                <w:b/>
                <w:lang w:val="en-GB"/>
              </w:rPr>
              <w:sym w:font="Wingdings" w:char="F0FC"/>
            </w:r>
          </w:p>
        </w:tc>
        <w:tc>
          <w:tcPr>
            <w:tcW w:w="677" w:type="dxa"/>
          </w:tcPr>
          <w:p w14:paraId="40F2D776" w14:textId="77777777" w:rsidR="00E66B9F" w:rsidRPr="00C002FA" w:rsidRDefault="00E66B9F" w:rsidP="0005079F">
            <w:pPr>
              <w:keepNext/>
              <w:spacing w:line="240" w:lineRule="auto"/>
              <w:ind w:left="0"/>
              <w:cnfStyle w:val="000000000000" w:firstRow="0" w:lastRow="0" w:firstColumn="0" w:lastColumn="0" w:oddVBand="0" w:evenVBand="0" w:oddHBand="0" w:evenHBand="0" w:firstRowFirstColumn="0" w:firstRowLastColumn="0" w:lastRowFirstColumn="0" w:lastRowLastColumn="0"/>
              <w:rPr>
                <w:b/>
                <w:bCs/>
                <w:lang w:val="en-GB"/>
              </w:rPr>
            </w:pPr>
          </w:p>
        </w:tc>
        <w:tc>
          <w:tcPr>
            <w:tcW w:w="677" w:type="dxa"/>
          </w:tcPr>
          <w:p w14:paraId="3F4096D2" w14:textId="77777777" w:rsidR="00E66B9F" w:rsidRPr="00C002FA" w:rsidRDefault="00E66B9F" w:rsidP="0005079F">
            <w:pPr>
              <w:keepNext/>
              <w:spacing w:line="240" w:lineRule="auto"/>
              <w:ind w:left="0"/>
              <w:cnfStyle w:val="000000000000" w:firstRow="0" w:lastRow="0" w:firstColumn="0" w:lastColumn="0" w:oddVBand="0" w:evenVBand="0" w:oddHBand="0" w:evenHBand="0" w:firstRowFirstColumn="0" w:firstRowLastColumn="0" w:lastRowFirstColumn="0" w:lastRowLastColumn="0"/>
              <w:rPr>
                <w:b/>
                <w:bCs/>
                <w:lang w:val="en-GB"/>
              </w:rPr>
            </w:pPr>
          </w:p>
        </w:tc>
        <w:tc>
          <w:tcPr>
            <w:tcW w:w="677" w:type="dxa"/>
          </w:tcPr>
          <w:p w14:paraId="2BE6BEAC" w14:textId="77777777" w:rsidR="00E66B9F" w:rsidRPr="00C002FA" w:rsidRDefault="00E66B9F" w:rsidP="0005079F">
            <w:pPr>
              <w:keepNext/>
              <w:spacing w:line="240" w:lineRule="auto"/>
              <w:ind w:left="0"/>
              <w:cnfStyle w:val="000000000000" w:firstRow="0" w:lastRow="0" w:firstColumn="0" w:lastColumn="0" w:oddVBand="0" w:evenVBand="0" w:oddHBand="0" w:evenHBand="0" w:firstRowFirstColumn="0" w:firstRowLastColumn="0" w:lastRowFirstColumn="0" w:lastRowLastColumn="0"/>
              <w:rPr>
                <w:b/>
                <w:bCs/>
                <w:lang w:val="en-GB"/>
              </w:rPr>
            </w:pPr>
          </w:p>
        </w:tc>
        <w:tc>
          <w:tcPr>
            <w:tcW w:w="677" w:type="dxa"/>
          </w:tcPr>
          <w:p w14:paraId="4E2D91CB" w14:textId="77777777" w:rsidR="00E66B9F" w:rsidRPr="00C002FA" w:rsidRDefault="00E66B9F" w:rsidP="0005079F">
            <w:pPr>
              <w:keepNext/>
              <w:spacing w:line="240" w:lineRule="auto"/>
              <w:ind w:left="0"/>
              <w:cnfStyle w:val="000000000000" w:firstRow="0" w:lastRow="0" w:firstColumn="0" w:lastColumn="0" w:oddVBand="0" w:evenVBand="0" w:oddHBand="0" w:evenHBand="0" w:firstRowFirstColumn="0" w:firstRowLastColumn="0" w:lastRowFirstColumn="0" w:lastRowLastColumn="0"/>
              <w:rPr>
                <w:b/>
                <w:bCs/>
                <w:lang w:val="en-GB"/>
              </w:rPr>
            </w:pPr>
          </w:p>
        </w:tc>
        <w:tc>
          <w:tcPr>
            <w:tcW w:w="677" w:type="dxa"/>
          </w:tcPr>
          <w:p w14:paraId="453EF342" w14:textId="77777777" w:rsidR="00E66B9F" w:rsidRPr="00C002FA" w:rsidRDefault="00E66B9F" w:rsidP="0005079F">
            <w:pPr>
              <w:keepNext/>
              <w:spacing w:line="240" w:lineRule="auto"/>
              <w:ind w:left="0"/>
              <w:cnfStyle w:val="000000000000" w:firstRow="0" w:lastRow="0" w:firstColumn="0" w:lastColumn="0" w:oddVBand="0" w:evenVBand="0" w:oddHBand="0" w:evenHBand="0" w:firstRowFirstColumn="0" w:firstRowLastColumn="0" w:lastRowFirstColumn="0" w:lastRowLastColumn="0"/>
              <w:rPr>
                <w:b/>
                <w:bCs/>
                <w:lang w:val="en-GB"/>
              </w:rPr>
            </w:pPr>
          </w:p>
        </w:tc>
      </w:tr>
      <w:tr w:rsidR="00C002FA" w:rsidRPr="00945E3B" w14:paraId="446B95A1" w14:textId="002A2B59" w:rsidTr="00E66B9F">
        <w:trPr>
          <w:trHeight w:val="300"/>
        </w:trPr>
        <w:tc>
          <w:tcPr>
            <w:cnfStyle w:val="001000000000" w:firstRow="0" w:lastRow="0" w:firstColumn="1" w:lastColumn="0" w:oddVBand="0" w:evenVBand="0" w:oddHBand="0" w:evenHBand="0" w:firstRowFirstColumn="0" w:firstRowLastColumn="0" w:lastRowFirstColumn="0" w:lastRowLastColumn="0"/>
            <w:tcW w:w="1445" w:type="dxa"/>
            <w:vMerge w:val="restart"/>
          </w:tcPr>
          <w:p w14:paraId="629C4106" w14:textId="77777777" w:rsidR="00C002FA" w:rsidRPr="00163523" w:rsidRDefault="00C002FA" w:rsidP="0005079F">
            <w:pPr>
              <w:keepNext/>
              <w:spacing w:line="240" w:lineRule="auto"/>
              <w:ind w:left="0"/>
              <w:rPr>
                <w:b/>
                <w:lang w:val="en-GB"/>
              </w:rPr>
            </w:pPr>
            <w:r w:rsidRPr="00163523">
              <w:rPr>
                <w:b/>
                <w:lang w:val="en-GB"/>
              </w:rPr>
              <w:t>Technological</w:t>
            </w:r>
          </w:p>
        </w:tc>
        <w:tc>
          <w:tcPr>
            <w:tcW w:w="4649" w:type="dxa"/>
            <w:noWrap/>
            <w:vAlign w:val="top"/>
          </w:tcPr>
          <w:p w14:paraId="1F777260" w14:textId="395FEACA" w:rsidR="00C002FA" w:rsidRPr="00CE2B86" w:rsidRDefault="00C002FA" w:rsidP="0005079F">
            <w:pPr>
              <w:keepNext/>
              <w:spacing w:line="240" w:lineRule="auto"/>
              <w:ind w:left="0"/>
              <w:jc w:val="left"/>
              <w:cnfStyle w:val="000000000000" w:firstRow="0" w:lastRow="0" w:firstColumn="0" w:lastColumn="0" w:oddVBand="0" w:evenVBand="0" w:oddHBand="0" w:evenHBand="0" w:firstRowFirstColumn="0" w:firstRowLastColumn="0" w:lastRowFirstColumn="0" w:lastRowLastColumn="0"/>
              <w:rPr>
                <w:lang w:val="en-GB"/>
              </w:rPr>
            </w:pPr>
            <w:r w:rsidRPr="00163523">
              <w:rPr>
                <w:lang w:val="en-GB"/>
              </w:rPr>
              <w:t>Delayed</w:t>
            </w:r>
            <w:r w:rsidR="00733627" w:rsidRPr="00163523">
              <w:rPr>
                <w:lang w:val="en-GB"/>
              </w:rPr>
              <w:t>/different pace of</w:t>
            </w:r>
            <w:r w:rsidRPr="00163523">
              <w:rPr>
                <w:lang w:val="en-GB"/>
              </w:rPr>
              <w:t xml:space="preserve"> technological development of key decarbonisation technologies</w:t>
            </w:r>
          </w:p>
        </w:tc>
        <w:tc>
          <w:tcPr>
            <w:tcW w:w="677" w:type="dxa"/>
          </w:tcPr>
          <w:p w14:paraId="1F9C5A00" w14:textId="77777777" w:rsidR="00C002FA" w:rsidRPr="00C002FA" w:rsidRDefault="00C002FA" w:rsidP="0005079F">
            <w:pPr>
              <w:keepNext/>
              <w:spacing w:line="240" w:lineRule="auto"/>
              <w:ind w:left="0"/>
              <w:cnfStyle w:val="000000000000" w:firstRow="0" w:lastRow="0" w:firstColumn="0" w:lastColumn="0" w:oddVBand="0" w:evenVBand="0" w:oddHBand="0" w:evenHBand="0" w:firstRowFirstColumn="0" w:firstRowLastColumn="0" w:lastRowFirstColumn="0" w:lastRowLastColumn="0"/>
              <w:rPr>
                <w:b/>
                <w:bCs/>
                <w:lang w:val="en-GB"/>
              </w:rPr>
            </w:pPr>
          </w:p>
        </w:tc>
        <w:tc>
          <w:tcPr>
            <w:tcW w:w="677" w:type="dxa"/>
          </w:tcPr>
          <w:p w14:paraId="5B4936F8" w14:textId="04C3AA7E" w:rsidR="00C002FA" w:rsidRPr="00C002FA" w:rsidRDefault="00C002FA" w:rsidP="0005079F">
            <w:pPr>
              <w:keepNext/>
              <w:spacing w:line="240" w:lineRule="auto"/>
              <w:ind w:left="0"/>
              <w:cnfStyle w:val="000000000000" w:firstRow="0" w:lastRow="0" w:firstColumn="0" w:lastColumn="0" w:oddVBand="0" w:evenVBand="0" w:oddHBand="0" w:evenHBand="0" w:firstRowFirstColumn="0" w:firstRowLastColumn="0" w:lastRowFirstColumn="0" w:lastRowLastColumn="0"/>
              <w:rPr>
                <w:b/>
                <w:bCs/>
                <w:lang w:val="en-GB"/>
              </w:rPr>
            </w:pPr>
            <w:r w:rsidRPr="00C002FA">
              <w:rPr>
                <w:rFonts w:ascii="Wingdings" w:eastAsia="Wingdings" w:hAnsi="Wingdings" w:cs="Wingdings"/>
                <w:b/>
                <w:lang w:val="en-GB"/>
              </w:rPr>
              <w:sym w:font="Wingdings" w:char="F0FC"/>
            </w:r>
          </w:p>
        </w:tc>
        <w:tc>
          <w:tcPr>
            <w:tcW w:w="677" w:type="dxa"/>
          </w:tcPr>
          <w:p w14:paraId="0D51EF2E" w14:textId="29BC3B55" w:rsidR="00C002FA" w:rsidRPr="00C002FA" w:rsidRDefault="00C002FA" w:rsidP="0005079F">
            <w:pPr>
              <w:keepNext/>
              <w:spacing w:line="240" w:lineRule="auto"/>
              <w:ind w:left="0"/>
              <w:cnfStyle w:val="000000000000" w:firstRow="0" w:lastRow="0" w:firstColumn="0" w:lastColumn="0" w:oddVBand="0" w:evenVBand="0" w:oddHBand="0" w:evenHBand="0" w:firstRowFirstColumn="0" w:firstRowLastColumn="0" w:lastRowFirstColumn="0" w:lastRowLastColumn="0"/>
              <w:rPr>
                <w:b/>
                <w:bCs/>
                <w:lang w:val="en-GB"/>
              </w:rPr>
            </w:pPr>
            <w:r w:rsidRPr="00C002FA">
              <w:rPr>
                <w:rFonts w:ascii="Wingdings" w:eastAsia="Wingdings" w:hAnsi="Wingdings" w:cs="Wingdings"/>
                <w:b/>
                <w:lang w:val="en-GB"/>
              </w:rPr>
              <w:sym w:font="Wingdings" w:char="F0FC"/>
            </w:r>
          </w:p>
        </w:tc>
        <w:tc>
          <w:tcPr>
            <w:tcW w:w="677" w:type="dxa"/>
          </w:tcPr>
          <w:p w14:paraId="05B51102" w14:textId="77777777" w:rsidR="00C002FA" w:rsidRPr="00C002FA" w:rsidRDefault="00C002FA" w:rsidP="0005079F">
            <w:pPr>
              <w:keepNext/>
              <w:spacing w:line="240" w:lineRule="auto"/>
              <w:ind w:left="0"/>
              <w:cnfStyle w:val="000000000000" w:firstRow="0" w:lastRow="0" w:firstColumn="0" w:lastColumn="0" w:oddVBand="0" w:evenVBand="0" w:oddHBand="0" w:evenHBand="0" w:firstRowFirstColumn="0" w:firstRowLastColumn="0" w:lastRowFirstColumn="0" w:lastRowLastColumn="0"/>
              <w:rPr>
                <w:b/>
                <w:bCs/>
                <w:lang w:val="en-GB"/>
              </w:rPr>
            </w:pPr>
          </w:p>
        </w:tc>
        <w:tc>
          <w:tcPr>
            <w:tcW w:w="677" w:type="dxa"/>
          </w:tcPr>
          <w:p w14:paraId="77790A17" w14:textId="77777777" w:rsidR="00F37E33" w:rsidRPr="00C002FA" w:rsidRDefault="00F37E33" w:rsidP="0005079F">
            <w:pPr>
              <w:keepNext/>
              <w:spacing w:line="240" w:lineRule="auto"/>
              <w:ind w:left="0"/>
              <w:cnfStyle w:val="000000000000" w:firstRow="0" w:lastRow="0" w:firstColumn="0" w:lastColumn="0" w:oddVBand="0" w:evenVBand="0" w:oddHBand="0" w:evenHBand="0" w:firstRowFirstColumn="0" w:firstRowLastColumn="0" w:lastRowFirstColumn="0" w:lastRowLastColumn="0"/>
              <w:rPr>
                <w:b/>
                <w:bCs/>
                <w:lang w:val="en-GB"/>
              </w:rPr>
            </w:pPr>
          </w:p>
        </w:tc>
        <w:tc>
          <w:tcPr>
            <w:tcW w:w="677" w:type="dxa"/>
          </w:tcPr>
          <w:p w14:paraId="56F3BDA2" w14:textId="0F336A4C" w:rsidR="00733627" w:rsidRPr="00C002FA" w:rsidRDefault="00733627" w:rsidP="0005079F">
            <w:pPr>
              <w:keepNext/>
              <w:spacing w:line="240" w:lineRule="auto"/>
              <w:ind w:left="0"/>
              <w:cnfStyle w:val="000000000000" w:firstRow="0" w:lastRow="0" w:firstColumn="0" w:lastColumn="0" w:oddVBand="0" w:evenVBand="0" w:oddHBand="0" w:evenHBand="0" w:firstRowFirstColumn="0" w:firstRowLastColumn="0" w:lastRowFirstColumn="0" w:lastRowLastColumn="0"/>
              <w:rPr>
                <w:b/>
                <w:bCs/>
                <w:lang w:val="en-GB"/>
              </w:rPr>
            </w:pPr>
            <w:r w:rsidRPr="00C002FA">
              <w:rPr>
                <w:rFonts w:ascii="Wingdings" w:eastAsia="Wingdings" w:hAnsi="Wingdings" w:cs="Wingdings"/>
                <w:b/>
                <w:lang w:val="en-GB"/>
              </w:rPr>
              <w:sym w:font="Wingdings" w:char="F0FC"/>
            </w:r>
          </w:p>
        </w:tc>
      </w:tr>
      <w:tr w:rsidR="00C002FA" w:rsidRPr="00945E3B" w14:paraId="7D9DB21E" w14:textId="19D95E47" w:rsidTr="00E66B9F">
        <w:trPr>
          <w:trHeight w:val="300"/>
        </w:trPr>
        <w:tc>
          <w:tcPr>
            <w:cnfStyle w:val="001000000000" w:firstRow="0" w:lastRow="0" w:firstColumn="1" w:lastColumn="0" w:oddVBand="0" w:evenVBand="0" w:oddHBand="0" w:evenHBand="0" w:firstRowFirstColumn="0" w:firstRowLastColumn="0" w:lastRowFirstColumn="0" w:lastRowLastColumn="0"/>
            <w:tcW w:w="1445" w:type="dxa"/>
            <w:vMerge/>
          </w:tcPr>
          <w:p w14:paraId="31863E44" w14:textId="3E860B44" w:rsidR="00C002FA" w:rsidRPr="00163523" w:rsidRDefault="00C002FA" w:rsidP="0005079F">
            <w:pPr>
              <w:keepNext/>
              <w:spacing w:line="240" w:lineRule="auto"/>
              <w:ind w:left="0"/>
              <w:rPr>
                <w:b/>
                <w:lang w:val="en-GB"/>
              </w:rPr>
            </w:pPr>
          </w:p>
        </w:tc>
        <w:tc>
          <w:tcPr>
            <w:tcW w:w="4649" w:type="dxa"/>
            <w:noWrap/>
            <w:vAlign w:val="top"/>
          </w:tcPr>
          <w:p w14:paraId="060F71D3" w14:textId="082FDB4F" w:rsidR="00C002FA" w:rsidRPr="00CE2B86" w:rsidRDefault="00C002FA" w:rsidP="0005079F">
            <w:pPr>
              <w:keepNext/>
              <w:spacing w:line="240" w:lineRule="auto"/>
              <w:ind w:left="0"/>
              <w:jc w:val="left"/>
              <w:cnfStyle w:val="000000000000" w:firstRow="0" w:lastRow="0" w:firstColumn="0" w:lastColumn="0" w:oddVBand="0" w:evenVBand="0" w:oddHBand="0" w:evenHBand="0" w:firstRowFirstColumn="0" w:firstRowLastColumn="0" w:lastRowFirstColumn="0" w:lastRowLastColumn="0"/>
              <w:rPr>
                <w:lang w:val="en-GB"/>
              </w:rPr>
            </w:pPr>
            <w:r w:rsidRPr="00163523">
              <w:rPr>
                <w:lang w:val="en-GB"/>
              </w:rPr>
              <w:t>Key decarbonisation technologies do not reach economies of scale, such that their costs remain higher than projected</w:t>
            </w:r>
          </w:p>
        </w:tc>
        <w:tc>
          <w:tcPr>
            <w:tcW w:w="677" w:type="dxa"/>
          </w:tcPr>
          <w:p w14:paraId="198E6B32" w14:textId="77777777" w:rsidR="00C002FA" w:rsidRPr="00C002FA" w:rsidRDefault="00C002FA" w:rsidP="0005079F">
            <w:pPr>
              <w:keepNext/>
              <w:spacing w:line="240" w:lineRule="auto"/>
              <w:ind w:left="0"/>
              <w:cnfStyle w:val="000000000000" w:firstRow="0" w:lastRow="0" w:firstColumn="0" w:lastColumn="0" w:oddVBand="0" w:evenVBand="0" w:oddHBand="0" w:evenHBand="0" w:firstRowFirstColumn="0" w:firstRowLastColumn="0" w:lastRowFirstColumn="0" w:lastRowLastColumn="0"/>
              <w:rPr>
                <w:b/>
                <w:bCs/>
                <w:lang w:val="en-GB"/>
              </w:rPr>
            </w:pPr>
          </w:p>
        </w:tc>
        <w:tc>
          <w:tcPr>
            <w:tcW w:w="677" w:type="dxa"/>
          </w:tcPr>
          <w:p w14:paraId="07B311D8" w14:textId="61705B12" w:rsidR="00C002FA" w:rsidRPr="00C002FA" w:rsidRDefault="00C002FA" w:rsidP="0005079F">
            <w:pPr>
              <w:keepNext/>
              <w:spacing w:line="240" w:lineRule="auto"/>
              <w:ind w:left="0"/>
              <w:cnfStyle w:val="000000000000" w:firstRow="0" w:lastRow="0" w:firstColumn="0" w:lastColumn="0" w:oddVBand="0" w:evenVBand="0" w:oddHBand="0" w:evenHBand="0" w:firstRowFirstColumn="0" w:firstRowLastColumn="0" w:lastRowFirstColumn="0" w:lastRowLastColumn="0"/>
              <w:rPr>
                <w:b/>
                <w:bCs/>
                <w:lang w:val="en-GB"/>
              </w:rPr>
            </w:pPr>
            <w:r w:rsidRPr="00C002FA">
              <w:rPr>
                <w:rFonts w:ascii="Wingdings" w:eastAsia="Wingdings" w:hAnsi="Wingdings" w:cs="Wingdings"/>
                <w:b/>
                <w:lang w:val="en-GB"/>
              </w:rPr>
              <w:sym w:font="Wingdings" w:char="F0FC"/>
            </w:r>
          </w:p>
        </w:tc>
        <w:tc>
          <w:tcPr>
            <w:tcW w:w="677" w:type="dxa"/>
          </w:tcPr>
          <w:p w14:paraId="7BC0332D" w14:textId="353CFEFA" w:rsidR="00C002FA" w:rsidRPr="00C002FA" w:rsidRDefault="00C002FA" w:rsidP="0005079F">
            <w:pPr>
              <w:keepNext/>
              <w:spacing w:line="240" w:lineRule="auto"/>
              <w:ind w:left="0"/>
              <w:cnfStyle w:val="000000000000" w:firstRow="0" w:lastRow="0" w:firstColumn="0" w:lastColumn="0" w:oddVBand="0" w:evenVBand="0" w:oddHBand="0" w:evenHBand="0" w:firstRowFirstColumn="0" w:firstRowLastColumn="0" w:lastRowFirstColumn="0" w:lastRowLastColumn="0"/>
              <w:rPr>
                <w:b/>
                <w:bCs/>
                <w:lang w:val="en-GB"/>
              </w:rPr>
            </w:pPr>
            <w:r w:rsidRPr="00C002FA">
              <w:rPr>
                <w:rFonts w:ascii="Wingdings" w:eastAsia="Wingdings" w:hAnsi="Wingdings" w:cs="Wingdings"/>
                <w:b/>
                <w:lang w:val="en-GB"/>
              </w:rPr>
              <w:sym w:font="Wingdings" w:char="F0FC"/>
            </w:r>
          </w:p>
        </w:tc>
        <w:tc>
          <w:tcPr>
            <w:tcW w:w="677" w:type="dxa"/>
          </w:tcPr>
          <w:p w14:paraId="17784FE5" w14:textId="77777777" w:rsidR="00C002FA" w:rsidRPr="00C002FA" w:rsidRDefault="00C002FA" w:rsidP="0005079F">
            <w:pPr>
              <w:keepNext/>
              <w:spacing w:line="240" w:lineRule="auto"/>
              <w:ind w:left="0"/>
              <w:cnfStyle w:val="000000000000" w:firstRow="0" w:lastRow="0" w:firstColumn="0" w:lastColumn="0" w:oddVBand="0" w:evenVBand="0" w:oddHBand="0" w:evenHBand="0" w:firstRowFirstColumn="0" w:firstRowLastColumn="0" w:lastRowFirstColumn="0" w:lastRowLastColumn="0"/>
              <w:rPr>
                <w:b/>
                <w:bCs/>
                <w:lang w:val="en-GB"/>
              </w:rPr>
            </w:pPr>
          </w:p>
        </w:tc>
        <w:tc>
          <w:tcPr>
            <w:tcW w:w="677" w:type="dxa"/>
          </w:tcPr>
          <w:p w14:paraId="066F5D21" w14:textId="77777777" w:rsidR="00F37E33" w:rsidRPr="00C002FA" w:rsidRDefault="00F37E33" w:rsidP="0005079F">
            <w:pPr>
              <w:keepNext/>
              <w:spacing w:line="240" w:lineRule="auto"/>
              <w:ind w:left="0"/>
              <w:cnfStyle w:val="000000000000" w:firstRow="0" w:lastRow="0" w:firstColumn="0" w:lastColumn="0" w:oddVBand="0" w:evenVBand="0" w:oddHBand="0" w:evenHBand="0" w:firstRowFirstColumn="0" w:firstRowLastColumn="0" w:lastRowFirstColumn="0" w:lastRowLastColumn="0"/>
              <w:rPr>
                <w:b/>
                <w:bCs/>
                <w:lang w:val="en-GB"/>
              </w:rPr>
            </w:pPr>
          </w:p>
        </w:tc>
        <w:tc>
          <w:tcPr>
            <w:tcW w:w="677" w:type="dxa"/>
          </w:tcPr>
          <w:p w14:paraId="3626EA5D" w14:textId="77777777" w:rsidR="00F37E33" w:rsidRPr="00C002FA" w:rsidRDefault="00F37E33" w:rsidP="0005079F">
            <w:pPr>
              <w:keepNext/>
              <w:spacing w:line="240" w:lineRule="auto"/>
              <w:ind w:left="0"/>
              <w:cnfStyle w:val="000000000000" w:firstRow="0" w:lastRow="0" w:firstColumn="0" w:lastColumn="0" w:oddVBand="0" w:evenVBand="0" w:oddHBand="0" w:evenHBand="0" w:firstRowFirstColumn="0" w:firstRowLastColumn="0" w:lastRowFirstColumn="0" w:lastRowLastColumn="0"/>
              <w:rPr>
                <w:b/>
                <w:bCs/>
                <w:lang w:val="en-GB"/>
              </w:rPr>
            </w:pPr>
          </w:p>
        </w:tc>
      </w:tr>
      <w:tr w:rsidR="00C002FA" w:rsidRPr="00945E3B" w14:paraId="11BC6946" w14:textId="74646DE1" w:rsidTr="00E66B9F">
        <w:trPr>
          <w:trHeight w:val="300"/>
        </w:trPr>
        <w:tc>
          <w:tcPr>
            <w:cnfStyle w:val="001000000000" w:firstRow="0" w:lastRow="0" w:firstColumn="1" w:lastColumn="0" w:oddVBand="0" w:evenVBand="0" w:oddHBand="0" w:evenHBand="0" w:firstRowFirstColumn="0" w:firstRowLastColumn="0" w:lastRowFirstColumn="0" w:lastRowLastColumn="0"/>
            <w:tcW w:w="1445" w:type="dxa"/>
            <w:vMerge/>
          </w:tcPr>
          <w:p w14:paraId="47CC7104" w14:textId="376B05F2" w:rsidR="00C002FA" w:rsidRPr="00163523" w:rsidRDefault="00C002FA" w:rsidP="0005079F">
            <w:pPr>
              <w:keepNext/>
              <w:spacing w:line="240" w:lineRule="auto"/>
              <w:ind w:left="0"/>
              <w:rPr>
                <w:b/>
                <w:lang w:val="en-GB"/>
              </w:rPr>
            </w:pPr>
          </w:p>
        </w:tc>
        <w:tc>
          <w:tcPr>
            <w:tcW w:w="4649" w:type="dxa"/>
            <w:noWrap/>
            <w:vAlign w:val="top"/>
          </w:tcPr>
          <w:p w14:paraId="09187222" w14:textId="2EFD19ED" w:rsidR="00C002FA" w:rsidRPr="00CE2B86" w:rsidRDefault="00C002FA" w:rsidP="0005079F">
            <w:pPr>
              <w:keepNext/>
              <w:spacing w:line="240" w:lineRule="auto"/>
              <w:ind w:left="0"/>
              <w:jc w:val="left"/>
              <w:cnfStyle w:val="000000000000" w:firstRow="0" w:lastRow="0" w:firstColumn="0" w:lastColumn="0" w:oddVBand="0" w:evenVBand="0" w:oddHBand="0" w:evenHBand="0" w:firstRowFirstColumn="0" w:firstRowLastColumn="0" w:lastRowFirstColumn="0" w:lastRowLastColumn="0"/>
              <w:rPr>
                <w:lang w:val="en-GB"/>
              </w:rPr>
            </w:pPr>
            <w:r w:rsidRPr="00163523">
              <w:rPr>
                <w:lang w:val="en-GB"/>
              </w:rPr>
              <w:t>Delayed infrastructural development, preventing integration of key decarbonisation technologies</w:t>
            </w:r>
          </w:p>
        </w:tc>
        <w:tc>
          <w:tcPr>
            <w:tcW w:w="677" w:type="dxa"/>
          </w:tcPr>
          <w:p w14:paraId="09DF475D" w14:textId="77777777" w:rsidR="00C002FA" w:rsidRPr="00C002FA" w:rsidRDefault="00C002FA" w:rsidP="0005079F">
            <w:pPr>
              <w:keepNext/>
              <w:spacing w:line="240" w:lineRule="auto"/>
              <w:ind w:left="0"/>
              <w:cnfStyle w:val="000000000000" w:firstRow="0" w:lastRow="0" w:firstColumn="0" w:lastColumn="0" w:oddVBand="0" w:evenVBand="0" w:oddHBand="0" w:evenHBand="0" w:firstRowFirstColumn="0" w:firstRowLastColumn="0" w:lastRowFirstColumn="0" w:lastRowLastColumn="0"/>
              <w:rPr>
                <w:b/>
                <w:bCs/>
                <w:lang w:val="en-GB"/>
              </w:rPr>
            </w:pPr>
          </w:p>
        </w:tc>
        <w:tc>
          <w:tcPr>
            <w:tcW w:w="677" w:type="dxa"/>
          </w:tcPr>
          <w:p w14:paraId="55C1796D" w14:textId="2E629D54" w:rsidR="00C002FA" w:rsidRPr="00C002FA" w:rsidRDefault="00C002FA" w:rsidP="0005079F">
            <w:pPr>
              <w:keepNext/>
              <w:spacing w:line="240" w:lineRule="auto"/>
              <w:ind w:left="0"/>
              <w:cnfStyle w:val="000000000000" w:firstRow="0" w:lastRow="0" w:firstColumn="0" w:lastColumn="0" w:oddVBand="0" w:evenVBand="0" w:oddHBand="0" w:evenHBand="0" w:firstRowFirstColumn="0" w:firstRowLastColumn="0" w:lastRowFirstColumn="0" w:lastRowLastColumn="0"/>
              <w:rPr>
                <w:b/>
                <w:bCs/>
                <w:lang w:val="en-GB"/>
              </w:rPr>
            </w:pPr>
            <w:r w:rsidRPr="00C002FA">
              <w:rPr>
                <w:rFonts w:ascii="Wingdings" w:eastAsia="Wingdings" w:hAnsi="Wingdings" w:cs="Wingdings"/>
                <w:b/>
                <w:lang w:val="en-GB"/>
              </w:rPr>
              <w:sym w:font="Wingdings" w:char="F0FC"/>
            </w:r>
          </w:p>
        </w:tc>
        <w:tc>
          <w:tcPr>
            <w:tcW w:w="677" w:type="dxa"/>
          </w:tcPr>
          <w:p w14:paraId="7A5C1EBD" w14:textId="000E8129" w:rsidR="00C002FA" w:rsidRPr="00C002FA" w:rsidRDefault="00C002FA" w:rsidP="0005079F">
            <w:pPr>
              <w:keepNext/>
              <w:spacing w:line="240" w:lineRule="auto"/>
              <w:ind w:left="0"/>
              <w:cnfStyle w:val="000000000000" w:firstRow="0" w:lastRow="0" w:firstColumn="0" w:lastColumn="0" w:oddVBand="0" w:evenVBand="0" w:oddHBand="0" w:evenHBand="0" w:firstRowFirstColumn="0" w:firstRowLastColumn="0" w:lastRowFirstColumn="0" w:lastRowLastColumn="0"/>
              <w:rPr>
                <w:b/>
                <w:bCs/>
                <w:lang w:val="en-GB"/>
              </w:rPr>
            </w:pPr>
            <w:r w:rsidRPr="00C002FA">
              <w:rPr>
                <w:rFonts w:ascii="Wingdings" w:eastAsia="Wingdings" w:hAnsi="Wingdings" w:cs="Wingdings"/>
                <w:b/>
                <w:lang w:val="en-GB"/>
              </w:rPr>
              <w:sym w:font="Wingdings" w:char="F0FC"/>
            </w:r>
          </w:p>
        </w:tc>
        <w:tc>
          <w:tcPr>
            <w:tcW w:w="677" w:type="dxa"/>
          </w:tcPr>
          <w:p w14:paraId="3B143830" w14:textId="77777777" w:rsidR="00C002FA" w:rsidRPr="00C002FA" w:rsidRDefault="00C002FA" w:rsidP="0005079F">
            <w:pPr>
              <w:keepNext/>
              <w:spacing w:line="240" w:lineRule="auto"/>
              <w:ind w:left="0"/>
              <w:cnfStyle w:val="000000000000" w:firstRow="0" w:lastRow="0" w:firstColumn="0" w:lastColumn="0" w:oddVBand="0" w:evenVBand="0" w:oddHBand="0" w:evenHBand="0" w:firstRowFirstColumn="0" w:firstRowLastColumn="0" w:lastRowFirstColumn="0" w:lastRowLastColumn="0"/>
              <w:rPr>
                <w:b/>
                <w:bCs/>
                <w:lang w:val="en-GB"/>
              </w:rPr>
            </w:pPr>
          </w:p>
        </w:tc>
        <w:tc>
          <w:tcPr>
            <w:tcW w:w="677" w:type="dxa"/>
          </w:tcPr>
          <w:p w14:paraId="13522104" w14:textId="77777777" w:rsidR="00F37E33" w:rsidRPr="00C002FA" w:rsidRDefault="00F37E33" w:rsidP="0005079F">
            <w:pPr>
              <w:keepNext/>
              <w:spacing w:line="240" w:lineRule="auto"/>
              <w:ind w:left="0"/>
              <w:cnfStyle w:val="000000000000" w:firstRow="0" w:lastRow="0" w:firstColumn="0" w:lastColumn="0" w:oddVBand="0" w:evenVBand="0" w:oddHBand="0" w:evenHBand="0" w:firstRowFirstColumn="0" w:firstRowLastColumn="0" w:lastRowFirstColumn="0" w:lastRowLastColumn="0"/>
              <w:rPr>
                <w:b/>
                <w:bCs/>
                <w:lang w:val="en-GB"/>
              </w:rPr>
            </w:pPr>
          </w:p>
        </w:tc>
        <w:tc>
          <w:tcPr>
            <w:tcW w:w="677" w:type="dxa"/>
          </w:tcPr>
          <w:p w14:paraId="0710A578" w14:textId="77777777" w:rsidR="00F37E33" w:rsidRPr="00C002FA" w:rsidRDefault="00F37E33" w:rsidP="0005079F">
            <w:pPr>
              <w:keepNext/>
              <w:spacing w:line="240" w:lineRule="auto"/>
              <w:ind w:left="0"/>
              <w:cnfStyle w:val="000000000000" w:firstRow="0" w:lastRow="0" w:firstColumn="0" w:lastColumn="0" w:oddVBand="0" w:evenVBand="0" w:oddHBand="0" w:evenHBand="0" w:firstRowFirstColumn="0" w:firstRowLastColumn="0" w:lastRowFirstColumn="0" w:lastRowLastColumn="0"/>
              <w:rPr>
                <w:b/>
                <w:bCs/>
                <w:lang w:val="en-GB"/>
              </w:rPr>
            </w:pPr>
          </w:p>
        </w:tc>
      </w:tr>
      <w:tr w:rsidR="00C002FA" w:rsidRPr="00945E3B" w14:paraId="056A33A6" w14:textId="29DB022D" w:rsidTr="00E66B9F">
        <w:trPr>
          <w:trHeight w:val="300"/>
        </w:trPr>
        <w:tc>
          <w:tcPr>
            <w:cnfStyle w:val="001000000000" w:firstRow="0" w:lastRow="0" w:firstColumn="1" w:lastColumn="0" w:oddVBand="0" w:evenVBand="0" w:oddHBand="0" w:evenHBand="0" w:firstRowFirstColumn="0" w:firstRowLastColumn="0" w:lastRowFirstColumn="0" w:lastRowLastColumn="0"/>
            <w:tcW w:w="1445" w:type="dxa"/>
            <w:vMerge/>
          </w:tcPr>
          <w:p w14:paraId="686D4514" w14:textId="77777777" w:rsidR="00C002FA" w:rsidRPr="00163523" w:rsidRDefault="00C002FA" w:rsidP="0005079F">
            <w:pPr>
              <w:keepNext/>
              <w:spacing w:line="240" w:lineRule="auto"/>
              <w:ind w:left="0"/>
              <w:rPr>
                <w:b/>
                <w:lang w:val="en-GB"/>
              </w:rPr>
            </w:pPr>
          </w:p>
        </w:tc>
        <w:tc>
          <w:tcPr>
            <w:tcW w:w="4649" w:type="dxa"/>
            <w:noWrap/>
          </w:tcPr>
          <w:p w14:paraId="42FFEBE7" w14:textId="60CEEBE3" w:rsidR="00C002FA" w:rsidRPr="00CE2B86" w:rsidRDefault="00C002FA" w:rsidP="0005079F">
            <w:pPr>
              <w:keepNext/>
              <w:spacing w:line="240" w:lineRule="auto"/>
              <w:ind w:left="0"/>
              <w:jc w:val="left"/>
              <w:cnfStyle w:val="000000000000" w:firstRow="0" w:lastRow="0" w:firstColumn="0" w:lastColumn="0" w:oddVBand="0" w:evenVBand="0" w:oddHBand="0" w:evenHBand="0" w:firstRowFirstColumn="0" w:firstRowLastColumn="0" w:lastRowFirstColumn="0" w:lastRowLastColumn="0"/>
              <w:rPr>
                <w:lang w:val="en-GB"/>
              </w:rPr>
            </w:pPr>
            <w:r>
              <w:rPr>
                <w:lang w:val="en-GB"/>
              </w:rPr>
              <w:t>Cyber</w:t>
            </w:r>
            <w:r w:rsidR="008F0855">
              <w:rPr>
                <w:lang w:val="en-GB"/>
              </w:rPr>
              <w:t>-</w:t>
            </w:r>
            <w:r>
              <w:rPr>
                <w:lang w:val="en-GB"/>
              </w:rPr>
              <w:t>attacks</w:t>
            </w:r>
          </w:p>
        </w:tc>
        <w:tc>
          <w:tcPr>
            <w:tcW w:w="677" w:type="dxa"/>
          </w:tcPr>
          <w:p w14:paraId="6F09DC60" w14:textId="77777777" w:rsidR="00C002FA" w:rsidRPr="00C002FA" w:rsidRDefault="00C002FA" w:rsidP="0005079F">
            <w:pPr>
              <w:keepNext/>
              <w:spacing w:line="240" w:lineRule="auto"/>
              <w:ind w:left="0"/>
              <w:cnfStyle w:val="000000000000" w:firstRow="0" w:lastRow="0" w:firstColumn="0" w:lastColumn="0" w:oddVBand="0" w:evenVBand="0" w:oddHBand="0" w:evenHBand="0" w:firstRowFirstColumn="0" w:firstRowLastColumn="0" w:lastRowFirstColumn="0" w:lastRowLastColumn="0"/>
              <w:rPr>
                <w:b/>
                <w:bCs/>
                <w:lang w:val="en-GB"/>
              </w:rPr>
            </w:pPr>
          </w:p>
        </w:tc>
        <w:tc>
          <w:tcPr>
            <w:tcW w:w="677" w:type="dxa"/>
          </w:tcPr>
          <w:p w14:paraId="68583872" w14:textId="77777777" w:rsidR="00C002FA" w:rsidRPr="00C002FA" w:rsidRDefault="00C002FA" w:rsidP="0005079F">
            <w:pPr>
              <w:keepNext/>
              <w:spacing w:line="240" w:lineRule="auto"/>
              <w:ind w:left="0"/>
              <w:cnfStyle w:val="000000000000" w:firstRow="0" w:lastRow="0" w:firstColumn="0" w:lastColumn="0" w:oddVBand="0" w:evenVBand="0" w:oddHBand="0" w:evenHBand="0" w:firstRowFirstColumn="0" w:firstRowLastColumn="0" w:lastRowFirstColumn="0" w:lastRowLastColumn="0"/>
              <w:rPr>
                <w:b/>
                <w:bCs/>
                <w:lang w:val="en-GB"/>
              </w:rPr>
            </w:pPr>
          </w:p>
        </w:tc>
        <w:tc>
          <w:tcPr>
            <w:tcW w:w="677" w:type="dxa"/>
          </w:tcPr>
          <w:p w14:paraId="1B7A6B12" w14:textId="77777777" w:rsidR="00C002FA" w:rsidRPr="00C002FA" w:rsidRDefault="00C002FA" w:rsidP="0005079F">
            <w:pPr>
              <w:keepNext/>
              <w:spacing w:line="240" w:lineRule="auto"/>
              <w:ind w:left="0"/>
              <w:cnfStyle w:val="000000000000" w:firstRow="0" w:lastRow="0" w:firstColumn="0" w:lastColumn="0" w:oddVBand="0" w:evenVBand="0" w:oddHBand="0" w:evenHBand="0" w:firstRowFirstColumn="0" w:firstRowLastColumn="0" w:lastRowFirstColumn="0" w:lastRowLastColumn="0"/>
              <w:rPr>
                <w:b/>
                <w:bCs/>
                <w:lang w:val="en-GB"/>
              </w:rPr>
            </w:pPr>
          </w:p>
        </w:tc>
        <w:tc>
          <w:tcPr>
            <w:tcW w:w="677" w:type="dxa"/>
          </w:tcPr>
          <w:p w14:paraId="426A5C78" w14:textId="4B714372" w:rsidR="00C002FA" w:rsidRPr="00C002FA" w:rsidRDefault="00C002FA" w:rsidP="0005079F">
            <w:pPr>
              <w:keepNext/>
              <w:spacing w:line="240" w:lineRule="auto"/>
              <w:ind w:left="0"/>
              <w:cnfStyle w:val="000000000000" w:firstRow="0" w:lastRow="0" w:firstColumn="0" w:lastColumn="0" w:oddVBand="0" w:evenVBand="0" w:oddHBand="0" w:evenHBand="0" w:firstRowFirstColumn="0" w:firstRowLastColumn="0" w:lastRowFirstColumn="0" w:lastRowLastColumn="0"/>
              <w:rPr>
                <w:b/>
                <w:bCs/>
                <w:lang w:val="en-GB"/>
              </w:rPr>
            </w:pPr>
            <w:r w:rsidRPr="00C002FA">
              <w:rPr>
                <w:rFonts w:ascii="Wingdings" w:eastAsia="Wingdings" w:hAnsi="Wingdings" w:cs="Wingdings"/>
                <w:b/>
                <w:lang w:val="en-GB"/>
              </w:rPr>
              <w:sym w:font="Wingdings" w:char="F0FC"/>
            </w:r>
          </w:p>
        </w:tc>
        <w:tc>
          <w:tcPr>
            <w:tcW w:w="677" w:type="dxa"/>
          </w:tcPr>
          <w:p w14:paraId="10EEB24D" w14:textId="77777777" w:rsidR="00F37E33" w:rsidRPr="00C002FA" w:rsidRDefault="00F37E33" w:rsidP="0005079F">
            <w:pPr>
              <w:keepNext/>
              <w:spacing w:line="240" w:lineRule="auto"/>
              <w:ind w:left="0"/>
              <w:cnfStyle w:val="000000000000" w:firstRow="0" w:lastRow="0" w:firstColumn="0" w:lastColumn="0" w:oddVBand="0" w:evenVBand="0" w:oddHBand="0" w:evenHBand="0" w:firstRowFirstColumn="0" w:firstRowLastColumn="0" w:lastRowFirstColumn="0" w:lastRowLastColumn="0"/>
              <w:rPr>
                <w:b/>
                <w:bCs/>
                <w:lang w:val="en-GB"/>
              </w:rPr>
            </w:pPr>
          </w:p>
        </w:tc>
        <w:tc>
          <w:tcPr>
            <w:tcW w:w="677" w:type="dxa"/>
          </w:tcPr>
          <w:p w14:paraId="3CB17DE8" w14:textId="77777777" w:rsidR="00F37E33" w:rsidRPr="00C002FA" w:rsidRDefault="00F37E33" w:rsidP="0005079F">
            <w:pPr>
              <w:keepNext/>
              <w:spacing w:line="240" w:lineRule="auto"/>
              <w:ind w:left="0"/>
              <w:cnfStyle w:val="000000000000" w:firstRow="0" w:lastRow="0" w:firstColumn="0" w:lastColumn="0" w:oddVBand="0" w:evenVBand="0" w:oddHBand="0" w:evenHBand="0" w:firstRowFirstColumn="0" w:firstRowLastColumn="0" w:lastRowFirstColumn="0" w:lastRowLastColumn="0"/>
              <w:rPr>
                <w:b/>
                <w:bCs/>
                <w:lang w:val="en-GB"/>
              </w:rPr>
            </w:pPr>
          </w:p>
        </w:tc>
      </w:tr>
      <w:tr w:rsidR="00C002FA" w:rsidRPr="00945E3B" w14:paraId="53640705" w14:textId="5A32221B" w:rsidTr="00E66B9F">
        <w:trPr>
          <w:trHeight w:val="300"/>
        </w:trPr>
        <w:tc>
          <w:tcPr>
            <w:cnfStyle w:val="001000000000" w:firstRow="0" w:lastRow="0" w:firstColumn="1" w:lastColumn="0" w:oddVBand="0" w:evenVBand="0" w:oddHBand="0" w:evenHBand="0" w:firstRowFirstColumn="0" w:firstRowLastColumn="0" w:lastRowFirstColumn="0" w:lastRowLastColumn="0"/>
            <w:tcW w:w="1445" w:type="dxa"/>
          </w:tcPr>
          <w:p w14:paraId="6E5829A3" w14:textId="77777777" w:rsidR="005E36D8" w:rsidRPr="00E47EEA" w:rsidRDefault="005E36D8" w:rsidP="0005079F">
            <w:pPr>
              <w:spacing w:line="240" w:lineRule="auto"/>
              <w:ind w:left="0"/>
              <w:rPr>
                <w:b/>
                <w:bCs/>
                <w:lang w:val="en-GB"/>
              </w:rPr>
            </w:pPr>
            <w:r w:rsidRPr="00E47EEA">
              <w:rPr>
                <w:b/>
                <w:bCs/>
                <w:lang w:val="en-GB"/>
              </w:rPr>
              <w:t>Geopolitical</w:t>
            </w:r>
          </w:p>
        </w:tc>
        <w:tc>
          <w:tcPr>
            <w:tcW w:w="4649" w:type="dxa"/>
            <w:noWrap/>
          </w:tcPr>
          <w:p w14:paraId="47423E7C" w14:textId="711A914E" w:rsidR="005E36D8" w:rsidRPr="00CE2B86" w:rsidRDefault="00641F1A" w:rsidP="0005079F">
            <w:pPr>
              <w:spacing w:line="240" w:lineRule="auto"/>
              <w:ind w:left="0"/>
              <w:jc w:val="left"/>
              <w:cnfStyle w:val="000000000000" w:firstRow="0" w:lastRow="0" w:firstColumn="0" w:lastColumn="0" w:oddVBand="0" w:evenVBand="0" w:oddHBand="0" w:evenHBand="0" w:firstRowFirstColumn="0" w:firstRowLastColumn="0" w:lastRowFirstColumn="0" w:lastRowLastColumn="0"/>
              <w:rPr>
                <w:lang w:val="en-GB"/>
              </w:rPr>
            </w:pPr>
            <w:r>
              <w:rPr>
                <w:lang w:val="en-GB"/>
              </w:rPr>
              <w:t>Geoeconomic confrontation</w:t>
            </w:r>
          </w:p>
        </w:tc>
        <w:tc>
          <w:tcPr>
            <w:tcW w:w="677" w:type="dxa"/>
          </w:tcPr>
          <w:p w14:paraId="182671EF" w14:textId="23455646" w:rsidR="005E36D8" w:rsidRPr="00C002FA" w:rsidRDefault="00641F1A" w:rsidP="0005079F">
            <w:pPr>
              <w:spacing w:line="240" w:lineRule="auto"/>
              <w:ind w:left="0"/>
              <w:cnfStyle w:val="000000000000" w:firstRow="0" w:lastRow="0" w:firstColumn="0" w:lastColumn="0" w:oddVBand="0" w:evenVBand="0" w:oddHBand="0" w:evenHBand="0" w:firstRowFirstColumn="0" w:firstRowLastColumn="0" w:lastRowFirstColumn="0" w:lastRowLastColumn="0"/>
              <w:rPr>
                <w:b/>
                <w:bCs/>
                <w:lang w:val="en-GB"/>
              </w:rPr>
            </w:pPr>
            <w:r w:rsidRPr="00C002FA">
              <w:rPr>
                <w:rFonts w:ascii="Wingdings" w:eastAsia="Wingdings" w:hAnsi="Wingdings" w:cs="Wingdings"/>
                <w:b/>
                <w:lang w:val="en-GB"/>
              </w:rPr>
              <w:sym w:font="Wingdings" w:char="F0FC"/>
            </w:r>
          </w:p>
        </w:tc>
        <w:tc>
          <w:tcPr>
            <w:tcW w:w="677" w:type="dxa"/>
          </w:tcPr>
          <w:p w14:paraId="443DFF77" w14:textId="77777777" w:rsidR="005E36D8" w:rsidRPr="00C002FA" w:rsidRDefault="005E36D8" w:rsidP="0005079F">
            <w:pPr>
              <w:spacing w:line="240" w:lineRule="auto"/>
              <w:ind w:left="0"/>
              <w:cnfStyle w:val="000000000000" w:firstRow="0" w:lastRow="0" w:firstColumn="0" w:lastColumn="0" w:oddVBand="0" w:evenVBand="0" w:oddHBand="0" w:evenHBand="0" w:firstRowFirstColumn="0" w:firstRowLastColumn="0" w:lastRowFirstColumn="0" w:lastRowLastColumn="0"/>
              <w:rPr>
                <w:b/>
                <w:bCs/>
                <w:lang w:val="en-GB"/>
              </w:rPr>
            </w:pPr>
          </w:p>
        </w:tc>
        <w:tc>
          <w:tcPr>
            <w:tcW w:w="677" w:type="dxa"/>
          </w:tcPr>
          <w:p w14:paraId="56488768" w14:textId="77777777" w:rsidR="005E36D8" w:rsidRPr="00C002FA" w:rsidRDefault="005E36D8" w:rsidP="0005079F">
            <w:pPr>
              <w:spacing w:line="240" w:lineRule="auto"/>
              <w:ind w:left="0"/>
              <w:cnfStyle w:val="000000000000" w:firstRow="0" w:lastRow="0" w:firstColumn="0" w:lastColumn="0" w:oddVBand="0" w:evenVBand="0" w:oddHBand="0" w:evenHBand="0" w:firstRowFirstColumn="0" w:firstRowLastColumn="0" w:lastRowFirstColumn="0" w:lastRowLastColumn="0"/>
              <w:rPr>
                <w:b/>
                <w:bCs/>
                <w:lang w:val="en-GB"/>
              </w:rPr>
            </w:pPr>
          </w:p>
        </w:tc>
        <w:tc>
          <w:tcPr>
            <w:tcW w:w="677" w:type="dxa"/>
          </w:tcPr>
          <w:p w14:paraId="7D39F172" w14:textId="2115FA89" w:rsidR="005E36D8" w:rsidRPr="00C002FA" w:rsidRDefault="00CA33CE" w:rsidP="0005079F">
            <w:pPr>
              <w:spacing w:line="240" w:lineRule="auto"/>
              <w:ind w:left="0"/>
              <w:cnfStyle w:val="000000000000" w:firstRow="0" w:lastRow="0" w:firstColumn="0" w:lastColumn="0" w:oddVBand="0" w:evenVBand="0" w:oddHBand="0" w:evenHBand="0" w:firstRowFirstColumn="0" w:firstRowLastColumn="0" w:lastRowFirstColumn="0" w:lastRowLastColumn="0"/>
              <w:rPr>
                <w:b/>
                <w:bCs/>
                <w:lang w:val="en-GB"/>
              </w:rPr>
            </w:pPr>
            <w:r w:rsidRPr="00C002FA">
              <w:rPr>
                <w:rFonts w:ascii="Wingdings" w:eastAsia="Wingdings" w:hAnsi="Wingdings" w:cs="Wingdings"/>
                <w:b/>
                <w:lang w:val="en-GB"/>
              </w:rPr>
              <w:sym w:font="Wingdings" w:char="F0FC"/>
            </w:r>
          </w:p>
        </w:tc>
        <w:tc>
          <w:tcPr>
            <w:tcW w:w="677" w:type="dxa"/>
          </w:tcPr>
          <w:p w14:paraId="5E8DD67C" w14:textId="162C8478" w:rsidR="00F37E33" w:rsidRPr="00C002FA" w:rsidRDefault="00F37E33" w:rsidP="0005079F">
            <w:pPr>
              <w:spacing w:line="240" w:lineRule="auto"/>
              <w:ind w:left="0"/>
              <w:cnfStyle w:val="000000000000" w:firstRow="0" w:lastRow="0" w:firstColumn="0" w:lastColumn="0" w:oddVBand="0" w:evenVBand="0" w:oddHBand="0" w:evenHBand="0" w:firstRowFirstColumn="0" w:firstRowLastColumn="0" w:lastRowFirstColumn="0" w:lastRowLastColumn="0"/>
              <w:rPr>
                <w:b/>
                <w:bCs/>
                <w:lang w:val="en-GB"/>
              </w:rPr>
            </w:pPr>
            <w:r w:rsidRPr="00C002FA">
              <w:rPr>
                <w:rFonts w:ascii="Wingdings" w:eastAsia="Wingdings" w:hAnsi="Wingdings" w:cs="Wingdings"/>
                <w:b/>
                <w:lang w:val="en-GB"/>
              </w:rPr>
              <w:sym w:font="Wingdings" w:char="F0FC"/>
            </w:r>
          </w:p>
        </w:tc>
        <w:tc>
          <w:tcPr>
            <w:tcW w:w="677" w:type="dxa"/>
          </w:tcPr>
          <w:p w14:paraId="77DBEDB5" w14:textId="77777777" w:rsidR="00F37E33" w:rsidRPr="00C002FA" w:rsidRDefault="00F37E33" w:rsidP="0005079F">
            <w:pPr>
              <w:spacing w:line="240" w:lineRule="auto"/>
              <w:ind w:left="0"/>
              <w:cnfStyle w:val="000000000000" w:firstRow="0" w:lastRow="0" w:firstColumn="0" w:lastColumn="0" w:oddVBand="0" w:evenVBand="0" w:oddHBand="0" w:evenHBand="0" w:firstRowFirstColumn="0" w:firstRowLastColumn="0" w:lastRowFirstColumn="0" w:lastRowLastColumn="0"/>
              <w:rPr>
                <w:b/>
                <w:bCs/>
                <w:lang w:val="en-GB"/>
              </w:rPr>
            </w:pPr>
          </w:p>
        </w:tc>
      </w:tr>
    </w:tbl>
    <w:p w14:paraId="51D8A2AB" w14:textId="3E8259A9" w:rsidR="0024510B" w:rsidRPr="00163523" w:rsidRDefault="0024510B" w:rsidP="00572A67">
      <w:pPr>
        <w:rPr>
          <w:lang w:val="en-GB"/>
        </w:rPr>
      </w:pPr>
    </w:p>
    <w:p w14:paraId="2AA6106D" w14:textId="22E1F7EC" w:rsidR="000D4AB9" w:rsidRPr="00163523" w:rsidRDefault="00D2401A" w:rsidP="00D2401A">
      <w:pPr>
        <w:rPr>
          <w:lang w:val="en-GB"/>
        </w:rPr>
      </w:pPr>
      <w:r>
        <w:rPr>
          <w:lang w:val="en-GB"/>
        </w:rPr>
        <w:t xml:space="preserve">A tailored list of risks </w:t>
      </w:r>
      <w:r w:rsidR="0068266B">
        <w:rPr>
          <w:lang w:val="en-GB"/>
        </w:rPr>
        <w:t>related to</w:t>
      </w:r>
      <w:r w:rsidR="00E94C52">
        <w:rPr>
          <w:lang w:val="en-GB"/>
        </w:rPr>
        <w:t xml:space="preserve"> the decarbonisation of the </w:t>
      </w:r>
      <w:r w:rsidR="00214F81">
        <w:rPr>
          <w:lang w:val="en-GB"/>
        </w:rPr>
        <w:t xml:space="preserve">Baltic regional </w:t>
      </w:r>
      <w:r w:rsidR="00E94C52">
        <w:rPr>
          <w:lang w:val="en-GB"/>
        </w:rPr>
        <w:t xml:space="preserve">gas </w:t>
      </w:r>
      <w:r w:rsidR="00513D18">
        <w:rPr>
          <w:lang w:val="en-GB"/>
        </w:rPr>
        <w:t>market</w:t>
      </w:r>
      <w:r w:rsidR="00E94C52">
        <w:rPr>
          <w:lang w:val="en-GB"/>
        </w:rPr>
        <w:t xml:space="preserve"> is presented</w:t>
      </w:r>
      <w:r w:rsidR="00A032A0" w:rsidRPr="00163523">
        <w:rPr>
          <w:lang w:val="en-GB"/>
        </w:rPr>
        <w:t xml:space="preserve"> based on the list above</w:t>
      </w:r>
      <w:r w:rsidR="00951372" w:rsidRPr="00163523">
        <w:rPr>
          <w:lang w:val="en-GB"/>
        </w:rPr>
        <w:t xml:space="preserve">, </w:t>
      </w:r>
      <w:r w:rsidR="00163523" w:rsidRPr="00163523">
        <w:rPr>
          <w:lang w:val="en-GB"/>
        </w:rPr>
        <w:t xml:space="preserve">also </w:t>
      </w:r>
      <w:r w:rsidR="00951372" w:rsidRPr="00163523">
        <w:rPr>
          <w:lang w:val="en-GB"/>
        </w:rPr>
        <w:t>considering the following points:</w:t>
      </w:r>
    </w:p>
    <w:p w14:paraId="645064F0" w14:textId="69AFCAB3" w:rsidR="00A032A0" w:rsidRDefault="00F47F4C" w:rsidP="00307CBD">
      <w:pPr>
        <w:pStyle w:val="Lijstalinea"/>
        <w:numPr>
          <w:ilvl w:val="0"/>
          <w:numId w:val="12"/>
        </w:numPr>
      </w:pPr>
      <w:r>
        <w:t>Some</w:t>
      </w:r>
      <w:r w:rsidR="00A032A0">
        <w:t xml:space="preserve"> of the risks above </w:t>
      </w:r>
      <w:r>
        <w:t>have been adapted as they originally f</w:t>
      </w:r>
      <w:r w:rsidR="00A032A0">
        <w:t>ocused on the electricity or heating &amp; cooling sectors</w:t>
      </w:r>
      <w:r w:rsidR="008A32F0">
        <w:t>;</w:t>
      </w:r>
    </w:p>
    <w:p w14:paraId="0AA35F8E" w14:textId="767261B3" w:rsidR="00A032A0" w:rsidRDefault="00FA27D6" w:rsidP="00307CBD">
      <w:pPr>
        <w:pStyle w:val="Lijstalinea"/>
        <w:numPr>
          <w:ilvl w:val="0"/>
          <w:numId w:val="12"/>
        </w:numPr>
      </w:pPr>
      <w:r>
        <w:t xml:space="preserve">Given </w:t>
      </w:r>
      <w:r w:rsidR="00191A96">
        <w:t xml:space="preserve">the </w:t>
      </w:r>
      <w:r w:rsidR="00FA1C70">
        <w:t>recent developments following the Russian aggression against Ukraine</w:t>
      </w:r>
      <w:r w:rsidR="00E94C52">
        <w:t xml:space="preserve"> and the </w:t>
      </w:r>
      <w:r w:rsidR="007C1D0A">
        <w:t xml:space="preserve">past dependence of the </w:t>
      </w:r>
      <w:r w:rsidR="00D0424C">
        <w:t xml:space="preserve">Baltic </w:t>
      </w:r>
      <w:r w:rsidR="007C1D0A">
        <w:t>region on Russian gas</w:t>
      </w:r>
      <w:r w:rsidR="00FA1C70">
        <w:t xml:space="preserve">, </w:t>
      </w:r>
      <w:r w:rsidR="007B3D9F">
        <w:t xml:space="preserve">a specific </w:t>
      </w:r>
      <w:r w:rsidR="007C1D0A">
        <w:t>geopolitical risk is included</w:t>
      </w:r>
      <w:r w:rsidR="00F47F4C">
        <w:t xml:space="preserve"> to consider the overall impacts on the economy and policy priorities. A</w:t>
      </w:r>
      <w:r w:rsidR="003716E2">
        <w:t xml:space="preserve"> specific</w:t>
      </w:r>
      <w:r w:rsidR="00F47F4C">
        <w:t xml:space="preserve"> energy markets </w:t>
      </w:r>
      <w:r w:rsidR="00F47F4C">
        <w:lastRenderedPageBreak/>
        <w:t>and infrastructure risk is also added focused on the external energy dependence risks to security of supply</w:t>
      </w:r>
      <w:r w:rsidR="008A32F0">
        <w:t>;</w:t>
      </w:r>
    </w:p>
    <w:p w14:paraId="5D0BD648" w14:textId="32F42F99" w:rsidR="007C1D0A" w:rsidRDefault="00536E61" w:rsidP="00307CBD">
      <w:pPr>
        <w:pStyle w:val="Lijstalinea"/>
        <w:numPr>
          <w:ilvl w:val="0"/>
          <w:numId w:val="12"/>
        </w:numPr>
      </w:pPr>
      <w:r>
        <w:t>Supply</w:t>
      </w:r>
      <w:r w:rsidR="00A51297">
        <w:t xml:space="preserve"> chain bottlenecks</w:t>
      </w:r>
      <w:r>
        <w:t xml:space="preserve"> impacting the prices of </w:t>
      </w:r>
      <w:r w:rsidR="005D4588">
        <w:t>commodities and e.g. semiconductors</w:t>
      </w:r>
      <w:r w:rsidR="00A51297">
        <w:t xml:space="preserve"> </w:t>
      </w:r>
      <w:r w:rsidR="003716E2">
        <w:t xml:space="preserve">have </w:t>
      </w:r>
      <w:r w:rsidR="00A51297">
        <w:t xml:space="preserve">recently </w:t>
      </w:r>
      <w:r>
        <w:t xml:space="preserve">increased </w:t>
      </w:r>
      <w:r w:rsidR="00A51297">
        <w:t>the costs for</w:t>
      </w:r>
      <w:r>
        <w:t xml:space="preserve"> a number of</w:t>
      </w:r>
      <w:r w:rsidR="00A51297">
        <w:t xml:space="preserve"> energy technologies</w:t>
      </w:r>
      <w:r w:rsidR="005D4588">
        <w:t>.</w:t>
      </w:r>
      <w:r w:rsidR="005D4588">
        <w:rPr>
          <w:rStyle w:val="Voetnootmarkering"/>
        </w:rPr>
        <w:footnoteReference w:id="11"/>
      </w:r>
      <w:r w:rsidR="005D4588">
        <w:t xml:space="preserve"> As future renewable-based energy systems </w:t>
      </w:r>
      <w:r w:rsidR="00B22AFD">
        <w:t xml:space="preserve">will </w:t>
      </w:r>
      <w:r w:rsidR="00582A1E">
        <w:t xml:space="preserve">increasingly </w:t>
      </w:r>
      <w:r w:rsidR="005D4588">
        <w:t>shift from being OPEX to CAPEX-intensive</w:t>
      </w:r>
      <w:r w:rsidR="00582A1E">
        <w:t>,</w:t>
      </w:r>
      <w:r w:rsidR="00B22AFD">
        <w:t xml:space="preserve"> </w:t>
      </w:r>
      <w:r w:rsidR="00FF1B6D">
        <w:t xml:space="preserve">supply </w:t>
      </w:r>
      <w:r w:rsidR="00B22AFD">
        <w:t xml:space="preserve">dependencies </w:t>
      </w:r>
      <w:r w:rsidR="00FF1B6D">
        <w:t>related to</w:t>
      </w:r>
      <w:r w:rsidR="00582A1E">
        <w:t xml:space="preserve"> energy technologies </w:t>
      </w:r>
      <w:r w:rsidR="00B22AFD">
        <w:t>will increas</w:t>
      </w:r>
      <w:r w:rsidR="000C02AE">
        <w:t>e</w:t>
      </w:r>
      <w:r w:rsidR="00582A1E">
        <w:t>. Hence, a risk related to supply chains is added</w:t>
      </w:r>
      <w:r w:rsidR="00FF1B6D">
        <w:t>;</w:t>
      </w:r>
    </w:p>
    <w:p w14:paraId="54BACF85" w14:textId="754CEB56" w:rsidR="000B2C61" w:rsidRPr="000D4AB9" w:rsidRDefault="000B2C61" w:rsidP="00307CBD">
      <w:pPr>
        <w:pStyle w:val="Lijstalinea"/>
        <w:numPr>
          <w:ilvl w:val="0"/>
          <w:numId w:val="12"/>
        </w:numPr>
      </w:pPr>
      <w:r>
        <w:t>Some risks have been combined in order to maintain the total number manageable</w:t>
      </w:r>
      <w:r w:rsidR="00C462A6">
        <w:t>;</w:t>
      </w:r>
      <w:r>
        <w:t xml:space="preserve"> </w:t>
      </w:r>
      <w:r w:rsidR="00FF79B9">
        <w:t xml:space="preserve">considering </w:t>
      </w:r>
      <w:r w:rsidR="00405811">
        <w:t>too many indi</w:t>
      </w:r>
      <w:r w:rsidR="00C70C31">
        <w:t xml:space="preserve">vidual </w:t>
      </w:r>
      <w:r>
        <w:t xml:space="preserve">risks </w:t>
      </w:r>
      <w:r w:rsidR="00FF79B9">
        <w:t xml:space="preserve">would not be feasible </w:t>
      </w:r>
      <w:r w:rsidR="00DC2868">
        <w:t>due to resource and cognitive limitations</w:t>
      </w:r>
      <w:r w:rsidR="000C02AE">
        <w:t>.</w:t>
      </w:r>
    </w:p>
    <w:p w14:paraId="016F9DF5" w14:textId="77777777" w:rsidR="00CE2B86" w:rsidRPr="00163523" w:rsidRDefault="00CE2B86" w:rsidP="000D63CF">
      <w:pPr>
        <w:rPr>
          <w:lang w:val="en-GB"/>
        </w:rPr>
      </w:pPr>
    </w:p>
    <w:p w14:paraId="79F7C1E7" w14:textId="47F952E7" w:rsidR="000D4AB9" w:rsidRPr="000D4AB9" w:rsidRDefault="000D4AB9" w:rsidP="000D4AB9">
      <w:pPr>
        <w:pStyle w:val="Bijschrift"/>
        <w:rPr>
          <w:lang w:val="en-GB"/>
        </w:rPr>
      </w:pPr>
      <w:r w:rsidRPr="00163523">
        <w:rPr>
          <w:lang w:val="en-GB"/>
        </w:rPr>
        <w:t xml:space="preserve">Table </w:t>
      </w:r>
      <w:r w:rsidR="008962EB" w:rsidRPr="00163523">
        <w:rPr>
          <w:lang w:val="en-GB"/>
        </w:rPr>
        <w:fldChar w:fldCharType="begin"/>
      </w:r>
      <w:r w:rsidR="008962EB" w:rsidRPr="00163523">
        <w:rPr>
          <w:lang w:val="en-GB"/>
        </w:rPr>
        <w:instrText xml:space="preserve"> STYLEREF 1 \s </w:instrText>
      </w:r>
      <w:r w:rsidR="008962EB" w:rsidRPr="00163523">
        <w:rPr>
          <w:lang w:val="en-GB"/>
        </w:rPr>
        <w:fldChar w:fldCharType="separate"/>
      </w:r>
      <w:r w:rsidR="008962EB" w:rsidRPr="00163523">
        <w:rPr>
          <w:lang w:val="en-GB"/>
        </w:rPr>
        <w:t>2</w:t>
      </w:r>
      <w:r w:rsidR="008962EB" w:rsidRPr="00163523">
        <w:rPr>
          <w:lang w:val="en-GB"/>
        </w:rPr>
        <w:fldChar w:fldCharType="end"/>
      </w:r>
      <w:r w:rsidR="008962EB" w:rsidRPr="00163523">
        <w:rPr>
          <w:lang w:val="en-GB"/>
        </w:rPr>
        <w:noBreakHyphen/>
      </w:r>
      <w:r w:rsidR="008962EB" w:rsidRPr="00163523">
        <w:rPr>
          <w:lang w:val="en-GB"/>
        </w:rPr>
        <w:fldChar w:fldCharType="begin"/>
      </w:r>
      <w:r w:rsidR="008962EB" w:rsidRPr="00163523">
        <w:rPr>
          <w:lang w:val="en-GB"/>
        </w:rPr>
        <w:instrText xml:space="preserve"> SEQ Table \* ARABIC \s 1 </w:instrText>
      </w:r>
      <w:r w:rsidR="008962EB" w:rsidRPr="00163523">
        <w:rPr>
          <w:lang w:val="en-GB"/>
        </w:rPr>
        <w:fldChar w:fldCharType="separate"/>
      </w:r>
      <w:r w:rsidR="008962EB" w:rsidRPr="00163523">
        <w:rPr>
          <w:lang w:val="en-GB"/>
        </w:rPr>
        <w:t>4</w:t>
      </w:r>
      <w:r w:rsidR="008962EB" w:rsidRPr="00163523">
        <w:rPr>
          <w:lang w:val="en-GB"/>
        </w:rPr>
        <w:fldChar w:fldCharType="end"/>
      </w:r>
      <w:r>
        <w:rPr>
          <w:lang w:val="en-GB"/>
        </w:rPr>
        <w:t xml:space="preserve"> Final list of risks </w:t>
      </w:r>
      <w:r w:rsidR="00965F5F">
        <w:rPr>
          <w:lang w:val="en-GB"/>
        </w:rPr>
        <w:t>related to</w:t>
      </w:r>
      <w:r>
        <w:rPr>
          <w:lang w:val="en-GB"/>
        </w:rPr>
        <w:t xml:space="preserve"> the decarbonisation of the </w:t>
      </w:r>
      <w:bookmarkStart w:id="23" w:name="_Hlk134623212"/>
      <w:r w:rsidR="00560B9B">
        <w:rPr>
          <w:lang w:val="en-GB"/>
        </w:rPr>
        <w:t xml:space="preserve">Baltic </w:t>
      </w:r>
      <w:r w:rsidR="004B3B44">
        <w:rPr>
          <w:lang w:val="en-GB"/>
        </w:rPr>
        <w:t>r</w:t>
      </w:r>
      <w:r w:rsidR="00560B9B">
        <w:rPr>
          <w:lang w:val="en-GB"/>
        </w:rPr>
        <w:t xml:space="preserve">egional </w:t>
      </w:r>
      <w:r w:rsidR="004B3B44">
        <w:rPr>
          <w:lang w:val="en-GB"/>
        </w:rPr>
        <w:t>g</w:t>
      </w:r>
      <w:r w:rsidR="00560B9B">
        <w:rPr>
          <w:lang w:val="en-GB"/>
        </w:rPr>
        <w:t xml:space="preserve">as </w:t>
      </w:r>
      <w:r w:rsidR="004B3B44">
        <w:rPr>
          <w:lang w:val="en-GB"/>
        </w:rPr>
        <w:t>system</w:t>
      </w:r>
      <w:bookmarkEnd w:id="23"/>
    </w:p>
    <w:tbl>
      <w:tblPr>
        <w:tblStyle w:val="Table1"/>
        <w:tblW w:w="4637" w:type="pct"/>
        <w:tblLook w:val="04A0" w:firstRow="1" w:lastRow="0" w:firstColumn="1" w:lastColumn="0" w:noHBand="0" w:noVBand="1"/>
      </w:tblPr>
      <w:tblGrid>
        <w:gridCol w:w="1445"/>
        <w:gridCol w:w="837"/>
        <w:gridCol w:w="6079"/>
      </w:tblGrid>
      <w:tr w:rsidR="000D09B6" w:rsidRPr="00A91236" w14:paraId="555D66F9" w14:textId="6E6A5E2E" w:rsidTr="000F3DCF">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64" w:type="pct"/>
            <w:hideMark/>
          </w:tcPr>
          <w:p w14:paraId="75C8B70C" w14:textId="77777777" w:rsidR="0054748E" w:rsidRPr="00163523" w:rsidRDefault="0054748E" w:rsidP="00A91236">
            <w:pPr>
              <w:spacing w:line="240" w:lineRule="auto"/>
              <w:ind w:left="0"/>
              <w:rPr>
                <w:lang w:val="en-GB"/>
              </w:rPr>
            </w:pPr>
            <w:r w:rsidRPr="00A91236">
              <w:rPr>
                <w:bCs/>
                <w:lang w:val="en-GB"/>
              </w:rPr>
              <w:t>Category</w:t>
            </w:r>
          </w:p>
        </w:tc>
        <w:tc>
          <w:tcPr>
            <w:tcW w:w="500" w:type="pct"/>
          </w:tcPr>
          <w:p w14:paraId="22D586DB" w14:textId="12CE2250" w:rsidR="0054748E" w:rsidRPr="00A91236" w:rsidRDefault="000D09B6" w:rsidP="00A91236">
            <w:pPr>
              <w:spacing w:line="240" w:lineRule="auto"/>
              <w:ind w:left="0"/>
              <w:cnfStyle w:val="100000000000" w:firstRow="1" w:lastRow="0" w:firstColumn="0" w:lastColumn="0" w:oddVBand="0" w:evenVBand="0" w:oddHBand="0" w:evenHBand="0" w:firstRowFirstColumn="0" w:firstRowLastColumn="0" w:lastRowFirstColumn="0" w:lastRowLastColumn="0"/>
              <w:rPr>
                <w:bCs/>
                <w:lang w:val="en-GB"/>
              </w:rPr>
            </w:pPr>
            <w:r>
              <w:rPr>
                <w:bCs/>
                <w:lang w:val="en-GB"/>
              </w:rPr>
              <w:t>Section</w:t>
            </w:r>
          </w:p>
        </w:tc>
        <w:tc>
          <w:tcPr>
            <w:tcW w:w="3635" w:type="pct"/>
            <w:hideMark/>
          </w:tcPr>
          <w:p w14:paraId="30234D68" w14:textId="6C917229" w:rsidR="0054748E" w:rsidRPr="00163523" w:rsidRDefault="0054748E" w:rsidP="00A91236">
            <w:pPr>
              <w:spacing w:line="240" w:lineRule="auto"/>
              <w:ind w:left="0"/>
              <w:cnfStyle w:val="100000000000" w:firstRow="1" w:lastRow="0" w:firstColumn="0" w:lastColumn="0" w:oddVBand="0" w:evenVBand="0" w:oddHBand="0" w:evenHBand="0" w:firstRowFirstColumn="0" w:firstRowLastColumn="0" w:lastRowFirstColumn="0" w:lastRowLastColumn="0"/>
              <w:rPr>
                <w:lang w:val="en-GB"/>
              </w:rPr>
            </w:pPr>
            <w:r w:rsidRPr="00A91236">
              <w:rPr>
                <w:bCs/>
                <w:lang w:val="en-GB"/>
              </w:rPr>
              <w:t>Risk</w:t>
            </w:r>
          </w:p>
        </w:tc>
      </w:tr>
      <w:tr w:rsidR="000D09B6" w:rsidRPr="009E69A2" w14:paraId="613A9A51" w14:textId="01F4E857" w:rsidTr="000F3DCF">
        <w:trPr>
          <w:trHeight w:val="397"/>
        </w:trPr>
        <w:tc>
          <w:tcPr>
            <w:cnfStyle w:val="001000000000" w:firstRow="0" w:lastRow="0" w:firstColumn="1" w:lastColumn="0" w:oddVBand="0" w:evenVBand="0" w:oddHBand="0" w:evenHBand="0" w:firstRowFirstColumn="0" w:firstRowLastColumn="0" w:lastRowFirstColumn="0" w:lastRowLastColumn="0"/>
            <w:tcW w:w="864" w:type="pct"/>
            <w:vMerge w:val="restart"/>
            <w:hideMark/>
          </w:tcPr>
          <w:p w14:paraId="7B443047" w14:textId="77777777" w:rsidR="0054748E" w:rsidRPr="00163523" w:rsidRDefault="0054748E" w:rsidP="00A91236">
            <w:pPr>
              <w:spacing w:line="240" w:lineRule="auto"/>
              <w:ind w:left="0"/>
              <w:rPr>
                <w:lang w:val="en-GB"/>
              </w:rPr>
            </w:pPr>
            <w:r w:rsidRPr="00A91236">
              <w:rPr>
                <w:b/>
                <w:bCs/>
                <w:lang w:val="en-GB"/>
              </w:rPr>
              <w:t>Economic</w:t>
            </w:r>
          </w:p>
        </w:tc>
        <w:tc>
          <w:tcPr>
            <w:tcW w:w="500" w:type="pct"/>
          </w:tcPr>
          <w:p w14:paraId="6F10F6B8" w14:textId="17A0A7E0" w:rsidR="0054748E" w:rsidRPr="00A91236" w:rsidRDefault="000D09B6" w:rsidP="00A91236">
            <w:pPr>
              <w:spacing w:line="240" w:lineRule="auto"/>
              <w:ind w:left="0"/>
              <w:cnfStyle w:val="000000000000" w:firstRow="0" w:lastRow="0" w:firstColumn="0" w:lastColumn="0" w:oddVBand="0" w:evenVBand="0" w:oddHBand="0" w:evenHBand="0" w:firstRowFirstColumn="0" w:firstRowLastColumn="0" w:lastRowFirstColumn="0" w:lastRowLastColumn="0"/>
              <w:rPr>
                <w:lang w:val="en-GB"/>
              </w:rPr>
            </w:pPr>
            <w:r>
              <w:rPr>
                <w:lang w:val="en-GB"/>
              </w:rPr>
              <w:fldChar w:fldCharType="begin"/>
            </w:r>
            <w:r>
              <w:rPr>
                <w:lang w:val="en-GB"/>
              </w:rPr>
              <w:instrText xml:space="preserve"> REF _Ref137116827 \r \h </w:instrText>
            </w:r>
            <w:r>
              <w:rPr>
                <w:lang w:val="en-GB"/>
              </w:rPr>
            </w:r>
            <w:r>
              <w:rPr>
                <w:lang w:val="en-GB"/>
              </w:rPr>
              <w:fldChar w:fldCharType="separate"/>
            </w:r>
            <w:r w:rsidR="00393121">
              <w:rPr>
                <w:lang w:val="en-GB"/>
              </w:rPr>
              <w:t>3.1</w:t>
            </w:r>
            <w:r>
              <w:rPr>
                <w:lang w:val="en-GB"/>
              </w:rPr>
              <w:fldChar w:fldCharType="end"/>
            </w:r>
          </w:p>
        </w:tc>
        <w:tc>
          <w:tcPr>
            <w:tcW w:w="3635" w:type="pct"/>
            <w:hideMark/>
          </w:tcPr>
          <w:p w14:paraId="01FCFB20" w14:textId="44503FDE" w:rsidR="0054748E" w:rsidRPr="00163523" w:rsidRDefault="00A8065A" w:rsidP="00A91236">
            <w:pPr>
              <w:spacing w:line="240" w:lineRule="auto"/>
              <w:ind w:left="0"/>
              <w:jc w:val="left"/>
              <w:cnfStyle w:val="000000000000" w:firstRow="0" w:lastRow="0" w:firstColumn="0" w:lastColumn="0" w:oddVBand="0" w:evenVBand="0" w:oddHBand="0" w:evenHBand="0" w:firstRowFirstColumn="0" w:firstRowLastColumn="0" w:lastRowFirstColumn="0" w:lastRowLastColumn="0"/>
              <w:rPr>
                <w:lang w:val="en-GB"/>
              </w:rPr>
            </w:pPr>
            <w:r>
              <w:rPr>
                <w:lang w:val="en-GB"/>
              </w:rPr>
              <w:t>E</w:t>
            </w:r>
            <w:r w:rsidR="0054748E" w:rsidRPr="00A91236">
              <w:rPr>
                <w:lang w:val="en-GB"/>
              </w:rPr>
              <w:t xml:space="preserve">conomic </w:t>
            </w:r>
            <w:r w:rsidR="00725A71">
              <w:rPr>
                <w:lang w:val="en-GB"/>
              </w:rPr>
              <w:t>turndown</w:t>
            </w:r>
            <w:r w:rsidR="00EB63FB">
              <w:rPr>
                <w:lang w:val="en-GB"/>
              </w:rPr>
              <w:t xml:space="preserve"> </w:t>
            </w:r>
            <w:r w:rsidR="00BE265C">
              <w:rPr>
                <w:lang w:val="en-GB"/>
              </w:rPr>
              <w:t xml:space="preserve">and instability </w:t>
            </w:r>
            <w:r w:rsidR="0054748E" w:rsidRPr="00A91236">
              <w:rPr>
                <w:lang w:val="en-GB"/>
              </w:rPr>
              <w:t xml:space="preserve">can limit ability </w:t>
            </w:r>
            <w:r w:rsidR="00F63E15" w:rsidRPr="00F63E15">
              <w:rPr>
                <w:lang w:val="en-GB"/>
              </w:rPr>
              <w:t xml:space="preserve">local </w:t>
            </w:r>
            <w:r w:rsidR="00F63E15">
              <w:rPr>
                <w:lang w:val="en-GB"/>
              </w:rPr>
              <w:t xml:space="preserve">of </w:t>
            </w:r>
            <w:r w:rsidR="00F63E15" w:rsidRPr="00F63E15">
              <w:rPr>
                <w:lang w:val="en-GB"/>
              </w:rPr>
              <w:t xml:space="preserve">gas producers, users, network operators and authorities </w:t>
            </w:r>
            <w:r w:rsidR="0054748E" w:rsidRPr="00A91236">
              <w:rPr>
                <w:lang w:val="en-GB"/>
              </w:rPr>
              <w:t xml:space="preserve">to invest in </w:t>
            </w:r>
            <w:r w:rsidR="00136513">
              <w:rPr>
                <w:lang w:val="en-GB"/>
              </w:rPr>
              <w:t xml:space="preserve">gas </w:t>
            </w:r>
            <w:r w:rsidR="0054748E" w:rsidRPr="00A91236">
              <w:rPr>
                <w:lang w:val="en-GB"/>
              </w:rPr>
              <w:t>decarbonisation measures</w:t>
            </w:r>
          </w:p>
        </w:tc>
      </w:tr>
      <w:tr w:rsidR="000D09B6" w:rsidRPr="009E69A2" w14:paraId="6884B4DF" w14:textId="146C5757" w:rsidTr="000F3DCF">
        <w:trPr>
          <w:trHeight w:val="397"/>
        </w:trPr>
        <w:tc>
          <w:tcPr>
            <w:cnfStyle w:val="001000000000" w:firstRow="0" w:lastRow="0" w:firstColumn="1" w:lastColumn="0" w:oddVBand="0" w:evenVBand="0" w:oddHBand="0" w:evenHBand="0" w:firstRowFirstColumn="0" w:firstRowLastColumn="0" w:lastRowFirstColumn="0" w:lastRowLastColumn="0"/>
            <w:tcW w:w="864" w:type="pct"/>
            <w:vMerge/>
            <w:hideMark/>
          </w:tcPr>
          <w:p w14:paraId="203F0F44" w14:textId="77777777" w:rsidR="0054748E" w:rsidRPr="00163523" w:rsidRDefault="0054748E" w:rsidP="00A91236">
            <w:pPr>
              <w:spacing w:line="240" w:lineRule="auto"/>
              <w:ind w:left="0"/>
              <w:rPr>
                <w:lang w:val="en-GB"/>
              </w:rPr>
            </w:pPr>
          </w:p>
        </w:tc>
        <w:tc>
          <w:tcPr>
            <w:tcW w:w="500" w:type="pct"/>
          </w:tcPr>
          <w:p w14:paraId="15CEB47B" w14:textId="1B59E62C" w:rsidR="0054748E" w:rsidRPr="00A91236" w:rsidRDefault="000D09B6" w:rsidP="00A91236">
            <w:pPr>
              <w:spacing w:line="240" w:lineRule="auto"/>
              <w:ind w:left="0"/>
              <w:cnfStyle w:val="000000000000" w:firstRow="0" w:lastRow="0" w:firstColumn="0" w:lastColumn="0" w:oddVBand="0" w:evenVBand="0" w:oddHBand="0" w:evenHBand="0" w:firstRowFirstColumn="0" w:firstRowLastColumn="0" w:lastRowFirstColumn="0" w:lastRowLastColumn="0"/>
              <w:rPr>
                <w:lang w:val="en-GB"/>
              </w:rPr>
            </w:pPr>
            <w:r>
              <w:rPr>
                <w:lang w:val="en-GB"/>
              </w:rPr>
              <w:fldChar w:fldCharType="begin"/>
            </w:r>
            <w:r>
              <w:rPr>
                <w:lang w:val="en-GB"/>
              </w:rPr>
              <w:instrText xml:space="preserve"> REF _Ref137116829 \r \h </w:instrText>
            </w:r>
            <w:r>
              <w:rPr>
                <w:lang w:val="en-GB"/>
              </w:rPr>
            </w:r>
            <w:r>
              <w:rPr>
                <w:lang w:val="en-GB"/>
              </w:rPr>
              <w:fldChar w:fldCharType="separate"/>
            </w:r>
            <w:r w:rsidR="00393121">
              <w:rPr>
                <w:lang w:val="en-GB"/>
              </w:rPr>
              <w:t>3.2</w:t>
            </w:r>
            <w:r>
              <w:rPr>
                <w:lang w:val="en-GB"/>
              </w:rPr>
              <w:fldChar w:fldCharType="end"/>
            </w:r>
          </w:p>
        </w:tc>
        <w:tc>
          <w:tcPr>
            <w:tcW w:w="3635" w:type="pct"/>
            <w:hideMark/>
          </w:tcPr>
          <w:p w14:paraId="2E395528" w14:textId="728B3BB8" w:rsidR="0054748E" w:rsidRPr="00163523" w:rsidRDefault="0054748E" w:rsidP="00A91236">
            <w:pPr>
              <w:spacing w:line="240" w:lineRule="auto"/>
              <w:ind w:left="0"/>
              <w:jc w:val="left"/>
              <w:cnfStyle w:val="000000000000" w:firstRow="0" w:lastRow="0" w:firstColumn="0" w:lastColumn="0" w:oddVBand="0" w:evenVBand="0" w:oddHBand="0" w:evenHBand="0" w:firstRowFirstColumn="0" w:firstRowLastColumn="0" w:lastRowFirstColumn="0" w:lastRowLastColumn="0"/>
              <w:rPr>
                <w:lang w:val="en-GB"/>
              </w:rPr>
            </w:pPr>
            <w:r w:rsidRPr="00A91236">
              <w:rPr>
                <w:lang w:val="en-GB"/>
              </w:rPr>
              <w:t xml:space="preserve">Supply </w:t>
            </w:r>
            <w:r w:rsidR="00700EDA">
              <w:rPr>
                <w:lang w:val="en-GB"/>
              </w:rPr>
              <w:t xml:space="preserve">dependence </w:t>
            </w:r>
            <w:r w:rsidR="00595FB7">
              <w:rPr>
                <w:lang w:val="en-GB"/>
              </w:rPr>
              <w:t xml:space="preserve">and </w:t>
            </w:r>
            <w:r w:rsidRPr="00A91236">
              <w:rPr>
                <w:lang w:val="en-GB"/>
              </w:rPr>
              <w:t>bottlenecks for energy technologies can increase costs/slow down transition</w:t>
            </w:r>
          </w:p>
        </w:tc>
      </w:tr>
      <w:tr w:rsidR="000D09B6" w:rsidRPr="009E69A2" w14:paraId="0901464B" w14:textId="373760D7" w:rsidTr="000F3DCF">
        <w:trPr>
          <w:trHeight w:val="397"/>
        </w:trPr>
        <w:tc>
          <w:tcPr>
            <w:cnfStyle w:val="001000000000" w:firstRow="0" w:lastRow="0" w:firstColumn="1" w:lastColumn="0" w:oddVBand="0" w:evenVBand="0" w:oddHBand="0" w:evenHBand="0" w:firstRowFirstColumn="0" w:firstRowLastColumn="0" w:lastRowFirstColumn="0" w:lastRowLastColumn="0"/>
            <w:tcW w:w="864" w:type="pct"/>
            <w:vMerge/>
            <w:hideMark/>
          </w:tcPr>
          <w:p w14:paraId="461BCAF1" w14:textId="108857F3" w:rsidR="0054748E" w:rsidRPr="00163523" w:rsidRDefault="0054748E" w:rsidP="00A91236">
            <w:pPr>
              <w:spacing w:line="240" w:lineRule="auto"/>
              <w:ind w:left="0"/>
              <w:rPr>
                <w:lang w:val="en-GB"/>
              </w:rPr>
            </w:pPr>
          </w:p>
        </w:tc>
        <w:tc>
          <w:tcPr>
            <w:tcW w:w="500" w:type="pct"/>
          </w:tcPr>
          <w:p w14:paraId="5ED7ACE8" w14:textId="4041BA11" w:rsidR="0054748E" w:rsidRPr="00A91236" w:rsidRDefault="000D09B6" w:rsidP="00A91236">
            <w:pPr>
              <w:spacing w:line="240" w:lineRule="auto"/>
              <w:ind w:left="0"/>
              <w:cnfStyle w:val="000000000000" w:firstRow="0" w:lastRow="0" w:firstColumn="0" w:lastColumn="0" w:oddVBand="0" w:evenVBand="0" w:oddHBand="0" w:evenHBand="0" w:firstRowFirstColumn="0" w:firstRowLastColumn="0" w:lastRowFirstColumn="0" w:lastRowLastColumn="0"/>
              <w:rPr>
                <w:lang w:val="en-GB"/>
              </w:rPr>
            </w:pPr>
            <w:r>
              <w:rPr>
                <w:lang w:val="en-GB"/>
              </w:rPr>
              <w:fldChar w:fldCharType="begin"/>
            </w:r>
            <w:r>
              <w:rPr>
                <w:lang w:val="en-GB"/>
              </w:rPr>
              <w:instrText xml:space="preserve"> REF _Ref137116832 \r \h </w:instrText>
            </w:r>
            <w:r>
              <w:rPr>
                <w:lang w:val="en-GB"/>
              </w:rPr>
            </w:r>
            <w:r>
              <w:rPr>
                <w:lang w:val="en-GB"/>
              </w:rPr>
              <w:fldChar w:fldCharType="separate"/>
            </w:r>
            <w:r w:rsidR="00393121">
              <w:rPr>
                <w:lang w:val="en-GB"/>
              </w:rPr>
              <w:t>3.3</w:t>
            </w:r>
            <w:r>
              <w:rPr>
                <w:lang w:val="en-GB"/>
              </w:rPr>
              <w:fldChar w:fldCharType="end"/>
            </w:r>
          </w:p>
        </w:tc>
        <w:tc>
          <w:tcPr>
            <w:tcW w:w="3635" w:type="pct"/>
            <w:hideMark/>
          </w:tcPr>
          <w:p w14:paraId="33456A06" w14:textId="03974FA9" w:rsidR="0054748E" w:rsidRPr="00163523" w:rsidRDefault="0054748E" w:rsidP="00A91236">
            <w:pPr>
              <w:spacing w:line="240" w:lineRule="auto"/>
              <w:ind w:left="0"/>
              <w:jc w:val="left"/>
              <w:cnfStyle w:val="000000000000" w:firstRow="0" w:lastRow="0" w:firstColumn="0" w:lastColumn="0" w:oddVBand="0" w:evenVBand="0" w:oddHBand="0" w:evenHBand="0" w:firstRowFirstColumn="0" w:firstRowLastColumn="0" w:lastRowFirstColumn="0" w:lastRowLastColumn="0"/>
              <w:rPr>
                <w:lang w:val="en-GB"/>
              </w:rPr>
            </w:pPr>
            <w:r w:rsidRPr="00A91236">
              <w:rPr>
                <w:lang w:val="en-GB"/>
              </w:rPr>
              <w:t>Fossil gas decarbonisation can negatively affect competitiveness of industrial users</w:t>
            </w:r>
          </w:p>
        </w:tc>
      </w:tr>
      <w:tr w:rsidR="000D09B6" w:rsidRPr="009E69A2" w14:paraId="60E44941" w14:textId="00FF98BA" w:rsidTr="000F3DCF">
        <w:trPr>
          <w:trHeight w:val="397"/>
        </w:trPr>
        <w:tc>
          <w:tcPr>
            <w:cnfStyle w:val="001000000000" w:firstRow="0" w:lastRow="0" w:firstColumn="1" w:lastColumn="0" w:oddVBand="0" w:evenVBand="0" w:oddHBand="0" w:evenHBand="0" w:firstRowFirstColumn="0" w:firstRowLastColumn="0" w:lastRowFirstColumn="0" w:lastRowLastColumn="0"/>
            <w:tcW w:w="864" w:type="pct"/>
            <w:vMerge w:val="restart"/>
            <w:hideMark/>
          </w:tcPr>
          <w:p w14:paraId="10F2641F" w14:textId="77777777" w:rsidR="0054748E" w:rsidRPr="00163523" w:rsidRDefault="0054748E" w:rsidP="00A91236">
            <w:pPr>
              <w:spacing w:line="240" w:lineRule="auto"/>
              <w:ind w:left="0"/>
              <w:rPr>
                <w:lang w:val="en-GB"/>
              </w:rPr>
            </w:pPr>
            <w:r w:rsidRPr="00A91236">
              <w:rPr>
                <w:b/>
                <w:bCs/>
                <w:lang w:val="en-GB"/>
              </w:rPr>
              <w:t>Energy markets</w:t>
            </w:r>
          </w:p>
        </w:tc>
        <w:tc>
          <w:tcPr>
            <w:tcW w:w="500" w:type="pct"/>
          </w:tcPr>
          <w:p w14:paraId="72EA3BEB" w14:textId="7743B3CE" w:rsidR="0054748E" w:rsidRPr="00A91236" w:rsidRDefault="000D09B6" w:rsidP="00A91236">
            <w:pPr>
              <w:spacing w:line="240" w:lineRule="auto"/>
              <w:ind w:left="0"/>
              <w:cnfStyle w:val="000000000000" w:firstRow="0" w:lastRow="0" w:firstColumn="0" w:lastColumn="0" w:oddVBand="0" w:evenVBand="0" w:oddHBand="0" w:evenHBand="0" w:firstRowFirstColumn="0" w:firstRowLastColumn="0" w:lastRowFirstColumn="0" w:lastRowLastColumn="0"/>
              <w:rPr>
                <w:lang w:val="en-GB"/>
              </w:rPr>
            </w:pPr>
            <w:r>
              <w:rPr>
                <w:lang w:val="en-GB"/>
              </w:rPr>
              <w:fldChar w:fldCharType="begin"/>
            </w:r>
            <w:r>
              <w:rPr>
                <w:lang w:val="en-GB"/>
              </w:rPr>
              <w:instrText xml:space="preserve"> REF _Ref137116834 \r \h </w:instrText>
            </w:r>
            <w:r>
              <w:rPr>
                <w:lang w:val="en-GB"/>
              </w:rPr>
            </w:r>
            <w:r>
              <w:rPr>
                <w:lang w:val="en-GB"/>
              </w:rPr>
              <w:fldChar w:fldCharType="separate"/>
            </w:r>
            <w:r w:rsidR="00393121">
              <w:rPr>
                <w:lang w:val="en-GB"/>
              </w:rPr>
              <w:t>3.4</w:t>
            </w:r>
            <w:r>
              <w:rPr>
                <w:lang w:val="en-GB"/>
              </w:rPr>
              <w:fldChar w:fldCharType="end"/>
            </w:r>
          </w:p>
        </w:tc>
        <w:tc>
          <w:tcPr>
            <w:tcW w:w="3635" w:type="pct"/>
            <w:hideMark/>
          </w:tcPr>
          <w:p w14:paraId="3DF7A791" w14:textId="0485E5BA" w:rsidR="0054748E" w:rsidRPr="00163523" w:rsidRDefault="0054748E" w:rsidP="00A91236">
            <w:pPr>
              <w:spacing w:line="240" w:lineRule="auto"/>
              <w:ind w:left="0"/>
              <w:jc w:val="left"/>
              <w:cnfStyle w:val="000000000000" w:firstRow="0" w:lastRow="0" w:firstColumn="0" w:lastColumn="0" w:oddVBand="0" w:evenVBand="0" w:oddHBand="0" w:evenHBand="0" w:firstRowFirstColumn="0" w:firstRowLastColumn="0" w:lastRowFirstColumn="0" w:lastRowLastColumn="0"/>
              <w:rPr>
                <w:lang w:val="en-GB"/>
              </w:rPr>
            </w:pPr>
            <w:r w:rsidRPr="00A91236">
              <w:rPr>
                <w:lang w:val="en-GB"/>
              </w:rPr>
              <w:t xml:space="preserve">Developments in global energy markets </w:t>
            </w:r>
            <w:r w:rsidR="00AA77F1">
              <w:rPr>
                <w:lang w:val="en-GB"/>
              </w:rPr>
              <w:t>impact competitiveness of gas decarbonisation solutions</w:t>
            </w:r>
          </w:p>
        </w:tc>
      </w:tr>
      <w:tr w:rsidR="000D09B6" w:rsidRPr="009E69A2" w14:paraId="237724FF" w14:textId="246AB7C0" w:rsidTr="000F3DCF">
        <w:trPr>
          <w:trHeight w:val="397"/>
        </w:trPr>
        <w:tc>
          <w:tcPr>
            <w:cnfStyle w:val="001000000000" w:firstRow="0" w:lastRow="0" w:firstColumn="1" w:lastColumn="0" w:oddVBand="0" w:evenVBand="0" w:oddHBand="0" w:evenHBand="0" w:firstRowFirstColumn="0" w:firstRowLastColumn="0" w:lastRowFirstColumn="0" w:lastRowLastColumn="0"/>
            <w:tcW w:w="864" w:type="pct"/>
            <w:vMerge/>
          </w:tcPr>
          <w:p w14:paraId="61C4F968" w14:textId="77777777" w:rsidR="00AA77F1" w:rsidRPr="00163523" w:rsidRDefault="00AA77F1" w:rsidP="00AA77F1">
            <w:pPr>
              <w:spacing w:line="240" w:lineRule="auto"/>
              <w:ind w:left="0"/>
              <w:rPr>
                <w:lang w:val="en-GB"/>
              </w:rPr>
            </w:pPr>
          </w:p>
        </w:tc>
        <w:tc>
          <w:tcPr>
            <w:tcW w:w="500" w:type="pct"/>
          </w:tcPr>
          <w:p w14:paraId="5CA0FE78" w14:textId="2883C986" w:rsidR="00AA77F1" w:rsidRDefault="000D09B6" w:rsidP="00AA77F1">
            <w:pPr>
              <w:spacing w:line="240" w:lineRule="auto"/>
              <w:ind w:left="0"/>
              <w:cnfStyle w:val="000000000000" w:firstRow="0" w:lastRow="0" w:firstColumn="0" w:lastColumn="0" w:oddVBand="0" w:evenVBand="0" w:oddHBand="0" w:evenHBand="0" w:firstRowFirstColumn="0" w:firstRowLastColumn="0" w:lastRowFirstColumn="0" w:lastRowLastColumn="0"/>
              <w:rPr>
                <w:lang w:val="en-GB"/>
              </w:rPr>
            </w:pPr>
            <w:r>
              <w:rPr>
                <w:lang w:val="en-GB"/>
              </w:rPr>
              <w:fldChar w:fldCharType="begin"/>
            </w:r>
            <w:r>
              <w:rPr>
                <w:lang w:val="en-GB"/>
              </w:rPr>
              <w:instrText xml:space="preserve"> REF _Ref137116836 \r \h </w:instrText>
            </w:r>
            <w:r>
              <w:rPr>
                <w:lang w:val="en-GB"/>
              </w:rPr>
            </w:r>
            <w:r>
              <w:rPr>
                <w:lang w:val="en-GB"/>
              </w:rPr>
              <w:fldChar w:fldCharType="separate"/>
            </w:r>
            <w:r w:rsidR="00393121">
              <w:rPr>
                <w:lang w:val="en-GB"/>
              </w:rPr>
              <w:t>3.5</w:t>
            </w:r>
            <w:r>
              <w:rPr>
                <w:lang w:val="en-GB"/>
              </w:rPr>
              <w:fldChar w:fldCharType="end"/>
            </w:r>
          </w:p>
        </w:tc>
        <w:tc>
          <w:tcPr>
            <w:tcW w:w="3635" w:type="pct"/>
          </w:tcPr>
          <w:p w14:paraId="274F2CD1" w14:textId="55CF8ADB" w:rsidR="00AA77F1" w:rsidRPr="00A91236" w:rsidRDefault="00AA77F1" w:rsidP="00AA77F1">
            <w:pPr>
              <w:spacing w:line="240" w:lineRule="auto"/>
              <w:ind w:left="0"/>
              <w:jc w:val="left"/>
              <w:cnfStyle w:val="000000000000" w:firstRow="0" w:lastRow="0" w:firstColumn="0" w:lastColumn="0" w:oddVBand="0" w:evenVBand="0" w:oddHBand="0" w:evenHBand="0" w:firstRowFirstColumn="0" w:firstRowLastColumn="0" w:lastRowFirstColumn="0" w:lastRowLastColumn="0"/>
              <w:rPr>
                <w:lang w:val="en-GB"/>
              </w:rPr>
            </w:pPr>
            <w:r>
              <w:rPr>
                <w:lang w:val="en-GB"/>
              </w:rPr>
              <w:t>Fragmentation of regional/national gas networks and markets</w:t>
            </w:r>
          </w:p>
        </w:tc>
      </w:tr>
      <w:tr w:rsidR="000D09B6" w:rsidRPr="009E69A2" w14:paraId="42CE538A" w14:textId="2D6848F3" w:rsidTr="000F3DCF">
        <w:trPr>
          <w:trHeight w:val="397"/>
        </w:trPr>
        <w:tc>
          <w:tcPr>
            <w:cnfStyle w:val="001000000000" w:firstRow="0" w:lastRow="0" w:firstColumn="1" w:lastColumn="0" w:oddVBand="0" w:evenVBand="0" w:oddHBand="0" w:evenHBand="0" w:firstRowFirstColumn="0" w:firstRowLastColumn="0" w:lastRowFirstColumn="0" w:lastRowLastColumn="0"/>
            <w:tcW w:w="864" w:type="pct"/>
            <w:vMerge/>
            <w:hideMark/>
          </w:tcPr>
          <w:p w14:paraId="30DB2BD0" w14:textId="77777777" w:rsidR="0054748E" w:rsidRPr="00163523" w:rsidRDefault="0054748E" w:rsidP="00A91236">
            <w:pPr>
              <w:spacing w:line="240" w:lineRule="auto"/>
              <w:ind w:left="0"/>
              <w:rPr>
                <w:lang w:val="en-GB"/>
              </w:rPr>
            </w:pPr>
          </w:p>
        </w:tc>
        <w:tc>
          <w:tcPr>
            <w:tcW w:w="500" w:type="pct"/>
          </w:tcPr>
          <w:p w14:paraId="2F90F08A" w14:textId="6846A9A5" w:rsidR="0054748E" w:rsidRPr="00A91236" w:rsidRDefault="000D09B6" w:rsidP="00A91236">
            <w:pPr>
              <w:spacing w:line="240" w:lineRule="auto"/>
              <w:ind w:left="0"/>
              <w:cnfStyle w:val="000000000000" w:firstRow="0" w:lastRow="0" w:firstColumn="0" w:lastColumn="0" w:oddVBand="0" w:evenVBand="0" w:oddHBand="0" w:evenHBand="0" w:firstRowFirstColumn="0" w:firstRowLastColumn="0" w:lastRowFirstColumn="0" w:lastRowLastColumn="0"/>
              <w:rPr>
                <w:lang w:val="en-GB"/>
              </w:rPr>
            </w:pPr>
            <w:r>
              <w:rPr>
                <w:lang w:val="en-GB"/>
              </w:rPr>
              <w:fldChar w:fldCharType="begin"/>
            </w:r>
            <w:r>
              <w:rPr>
                <w:lang w:val="en-GB"/>
              </w:rPr>
              <w:instrText xml:space="preserve"> REF _Ref137116838 \r \h </w:instrText>
            </w:r>
            <w:r>
              <w:rPr>
                <w:lang w:val="en-GB"/>
              </w:rPr>
            </w:r>
            <w:r>
              <w:rPr>
                <w:lang w:val="en-GB"/>
              </w:rPr>
              <w:fldChar w:fldCharType="separate"/>
            </w:r>
            <w:r w:rsidR="00393121">
              <w:rPr>
                <w:lang w:val="en-GB"/>
              </w:rPr>
              <w:t>3.6</w:t>
            </w:r>
            <w:r>
              <w:rPr>
                <w:lang w:val="en-GB"/>
              </w:rPr>
              <w:fldChar w:fldCharType="end"/>
            </w:r>
          </w:p>
        </w:tc>
        <w:tc>
          <w:tcPr>
            <w:tcW w:w="3635" w:type="pct"/>
            <w:hideMark/>
          </w:tcPr>
          <w:p w14:paraId="632CA54D" w14:textId="20E941E0" w:rsidR="0054748E" w:rsidRPr="00163523" w:rsidRDefault="0054748E" w:rsidP="00A91236">
            <w:pPr>
              <w:spacing w:line="240" w:lineRule="auto"/>
              <w:ind w:left="0"/>
              <w:jc w:val="left"/>
              <w:cnfStyle w:val="000000000000" w:firstRow="0" w:lastRow="0" w:firstColumn="0" w:lastColumn="0" w:oddVBand="0" w:evenVBand="0" w:oddHBand="0" w:evenHBand="0" w:firstRowFirstColumn="0" w:firstRowLastColumn="0" w:lastRowFirstColumn="0" w:lastRowLastColumn="0"/>
              <w:rPr>
                <w:lang w:val="en-GB"/>
              </w:rPr>
            </w:pPr>
            <w:r w:rsidRPr="00A91236">
              <w:rPr>
                <w:lang w:val="en-GB"/>
              </w:rPr>
              <w:t>Infrastructure cannot be adequately or timely developed, including repurposing or adaptation of natural gas infra</w:t>
            </w:r>
            <w:r>
              <w:rPr>
                <w:lang w:val="en-GB"/>
              </w:rPr>
              <w:t>structure</w:t>
            </w:r>
          </w:p>
        </w:tc>
      </w:tr>
      <w:tr w:rsidR="000D09B6" w:rsidRPr="009E69A2" w14:paraId="45D61038" w14:textId="4C733699" w:rsidTr="000F3DCF">
        <w:trPr>
          <w:trHeight w:val="397"/>
        </w:trPr>
        <w:tc>
          <w:tcPr>
            <w:cnfStyle w:val="001000000000" w:firstRow="0" w:lastRow="0" w:firstColumn="1" w:lastColumn="0" w:oddVBand="0" w:evenVBand="0" w:oddHBand="0" w:evenHBand="0" w:firstRowFirstColumn="0" w:firstRowLastColumn="0" w:lastRowFirstColumn="0" w:lastRowLastColumn="0"/>
            <w:tcW w:w="864" w:type="pct"/>
            <w:vMerge/>
            <w:hideMark/>
          </w:tcPr>
          <w:p w14:paraId="0067A370" w14:textId="77777777" w:rsidR="0054748E" w:rsidRPr="00163523" w:rsidRDefault="0054748E" w:rsidP="00A91236">
            <w:pPr>
              <w:spacing w:line="240" w:lineRule="auto"/>
              <w:ind w:left="0"/>
              <w:rPr>
                <w:lang w:val="en-GB"/>
              </w:rPr>
            </w:pPr>
          </w:p>
        </w:tc>
        <w:tc>
          <w:tcPr>
            <w:tcW w:w="500" w:type="pct"/>
          </w:tcPr>
          <w:p w14:paraId="6BE04BFF" w14:textId="315AEEDC" w:rsidR="0054748E" w:rsidRPr="00A91236" w:rsidRDefault="000D09B6" w:rsidP="00A91236">
            <w:pPr>
              <w:spacing w:line="240" w:lineRule="auto"/>
              <w:ind w:left="0"/>
              <w:cnfStyle w:val="000000000000" w:firstRow="0" w:lastRow="0" w:firstColumn="0" w:lastColumn="0" w:oddVBand="0" w:evenVBand="0" w:oddHBand="0" w:evenHBand="0" w:firstRowFirstColumn="0" w:firstRowLastColumn="0" w:lastRowFirstColumn="0" w:lastRowLastColumn="0"/>
              <w:rPr>
                <w:lang w:val="en-GB"/>
              </w:rPr>
            </w:pPr>
            <w:r>
              <w:rPr>
                <w:lang w:val="en-GB"/>
              </w:rPr>
              <w:fldChar w:fldCharType="begin"/>
            </w:r>
            <w:r>
              <w:rPr>
                <w:lang w:val="en-GB"/>
              </w:rPr>
              <w:instrText xml:space="preserve"> REF _Ref137116840 \r \h </w:instrText>
            </w:r>
            <w:r>
              <w:rPr>
                <w:lang w:val="en-GB"/>
              </w:rPr>
            </w:r>
            <w:r>
              <w:rPr>
                <w:lang w:val="en-GB"/>
              </w:rPr>
              <w:fldChar w:fldCharType="separate"/>
            </w:r>
            <w:r w:rsidR="00393121">
              <w:rPr>
                <w:lang w:val="en-GB"/>
              </w:rPr>
              <w:t>3.7</w:t>
            </w:r>
            <w:r>
              <w:rPr>
                <w:lang w:val="en-GB"/>
              </w:rPr>
              <w:fldChar w:fldCharType="end"/>
            </w:r>
          </w:p>
        </w:tc>
        <w:tc>
          <w:tcPr>
            <w:tcW w:w="3635" w:type="pct"/>
            <w:hideMark/>
          </w:tcPr>
          <w:p w14:paraId="22F5AC0C" w14:textId="431C48EB" w:rsidR="0054748E" w:rsidRPr="00163523" w:rsidRDefault="0054748E" w:rsidP="00A91236">
            <w:pPr>
              <w:spacing w:line="240" w:lineRule="auto"/>
              <w:ind w:left="0"/>
              <w:jc w:val="left"/>
              <w:cnfStyle w:val="000000000000" w:firstRow="0" w:lastRow="0" w:firstColumn="0" w:lastColumn="0" w:oddVBand="0" w:evenVBand="0" w:oddHBand="0" w:evenHBand="0" w:firstRowFirstColumn="0" w:firstRowLastColumn="0" w:lastRowFirstColumn="0" w:lastRowLastColumn="0"/>
              <w:rPr>
                <w:lang w:val="en-GB"/>
              </w:rPr>
            </w:pPr>
            <w:r w:rsidRPr="00A91236">
              <w:rPr>
                <w:lang w:val="en-GB"/>
              </w:rPr>
              <w:t>S</w:t>
            </w:r>
            <w:r w:rsidR="001D02D9">
              <w:rPr>
                <w:lang w:val="en-GB"/>
              </w:rPr>
              <w:t xml:space="preserve">ecurity of </w:t>
            </w:r>
            <w:r w:rsidR="00CF0A47">
              <w:rPr>
                <w:lang w:val="en-GB"/>
              </w:rPr>
              <w:t>gas</w:t>
            </w:r>
            <w:r w:rsidR="001D02D9">
              <w:rPr>
                <w:lang w:val="en-GB"/>
              </w:rPr>
              <w:t xml:space="preserve"> supply</w:t>
            </w:r>
            <w:r w:rsidRPr="00A91236">
              <w:rPr>
                <w:lang w:val="en-GB"/>
              </w:rPr>
              <w:t xml:space="preserve"> can be threatened due to adequacy</w:t>
            </w:r>
            <w:r w:rsidR="003563A2">
              <w:rPr>
                <w:lang w:val="en-GB"/>
              </w:rPr>
              <w:t>/flexibility</w:t>
            </w:r>
            <w:r w:rsidRPr="00A91236">
              <w:rPr>
                <w:lang w:val="en-GB"/>
              </w:rPr>
              <w:t xml:space="preserve"> issues of domestic/regional energy system</w:t>
            </w:r>
          </w:p>
        </w:tc>
      </w:tr>
      <w:tr w:rsidR="000D09B6" w:rsidRPr="009E69A2" w14:paraId="2F60F8F1" w14:textId="4CE470D2" w:rsidTr="000F3DCF">
        <w:trPr>
          <w:trHeight w:val="397"/>
        </w:trPr>
        <w:tc>
          <w:tcPr>
            <w:cnfStyle w:val="001000000000" w:firstRow="0" w:lastRow="0" w:firstColumn="1" w:lastColumn="0" w:oddVBand="0" w:evenVBand="0" w:oddHBand="0" w:evenHBand="0" w:firstRowFirstColumn="0" w:firstRowLastColumn="0" w:lastRowFirstColumn="0" w:lastRowLastColumn="0"/>
            <w:tcW w:w="864" w:type="pct"/>
            <w:vMerge/>
            <w:hideMark/>
          </w:tcPr>
          <w:p w14:paraId="4038FDA0" w14:textId="77777777" w:rsidR="0054748E" w:rsidRPr="00163523" w:rsidRDefault="0054748E" w:rsidP="00A91236">
            <w:pPr>
              <w:spacing w:line="240" w:lineRule="auto"/>
              <w:ind w:left="0"/>
              <w:rPr>
                <w:lang w:val="en-GB"/>
              </w:rPr>
            </w:pPr>
          </w:p>
        </w:tc>
        <w:tc>
          <w:tcPr>
            <w:tcW w:w="500" w:type="pct"/>
          </w:tcPr>
          <w:p w14:paraId="052F82AF" w14:textId="37890835" w:rsidR="0054748E" w:rsidRPr="00A91236" w:rsidRDefault="000D09B6" w:rsidP="00A91236">
            <w:pPr>
              <w:spacing w:line="240" w:lineRule="auto"/>
              <w:ind w:left="0"/>
              <w:cnfStyle w:val="000000000000" w:firstRow="0" w:lastRow="0" w:firstColumn="0" w:lastColumn="0" w:oddVBand="0" w:evenVBand="0" w:oddHBand="0" w:evenHBand="0" w:firstRowFirstColumn="0" w:firstRowLastColumn="0" w:lastRowFirstColumn="0" w:lastRowLastColumn="0"/>
              <w:rPr>
                <w:lang w:val="en-GB"/>
              </w:rPr>
            </w:pPr>
            <w:r>
              <w:rPr>
                <w:lang w:val="en-GB"/>
              </w:rPr>
              <w:fldChar w:fldCharType="begin"/>
            </w:r>
            <w:r>
              <w:rPr>
                <w:lang w:val="en-GB"/>
              </w:rPr>
              <w:instrText xml:space="preserve"> REF _Ref137116843 \r \h </w:instrText>
            </w:r>
            <w:r>
              <w:rPr>
                <w:lang w:val="en-GB"/>
              </w:rPr>
            </w:r>
            <w:r>
              <w:rPr>
                <w:lang w:val="en-GB"/>
              </w:rPr>
              <w:fldChar w:fldCharType="separate"/>
            </w:r>
            <w:r w:rsidR="00393121">
              <w:rPr>
                <w:lang w:val="en-GB"/>
              </w:rPr>
              <w:t>3.8</w:t>
            </w:r>
            <w:r>
              <w:rPr>
                <w:lang w:val="en-GB"/>
              </w:rPr>
              <w:fldChar w:fldCharType="end"/>
            </w:r>
          </w:p>
        </w:tc>
        <w:tc>
          <w:tcPr>
            <w:tcW w:w="3635" w:type="pct"/>
            <w:hideMark/>
          </w:tcPr>
          <w:p w14:paraId="6566AF53" w14:textId="44F704E2" w:rsidR="0054748E" w:rsidRPr="00163523" w:rsidRDefault="00BF4B10" w:rsidP="00A91236">
            <w:pPr>
              <w:spacing w:line="240" w:lineRule="auto"/>
              <w:ind w:left="0"/>
              <w:jc w:val="left"/>
              <w:cnfStyle w:val="000000000000" w:firstRow="0" w:lastRow="0" w:firstColumn="0" w:lastColumn="0" w:oddVBand="0" w:evenVBand="0" w:oddHBand="0" w:evenHBand="0" w:firstRowFirstColumn="0" w:firstRowLastColumn="0" w:lastRowFirstColumn="0" w:lastRowLastColumn="0"/>
              <w:rPr>
                <w:lang w:val="en-GB"/>
              </w:rPr>
            </w:pPr>
            <w:r w:rsidRPr="00A91236">
              <w:rPr>
                <w:lang w:val="en-GB"/>
              </w:rPr>
              <w:t>S</w:t>
            </w:r>
            <w:r>
              <w:rPr>
                <w:lang w:val="en-GB"/>
              </w:rPr>
              <w:t xml:space="preserve">ecurity of </w:t>
            </w:r>
            <w:r w:rsidR="00597E90">
              <w:rPr>
                <w:lang w:val="en-GB"/>
              </w:rPr>
              <w:t>gas</w:t>
            </w:r>
            <w:r>
              <w:rPr>
                <w:lang w:val="en-GB"/>
              </w:rPr>
              <w:t xml:space="preserve"> supply</w:t>
            </w:r>
            <w:r w:rsidRPr="00A91236">
              <w:rPr>
                <w:lang w:val="en-GB"/>
              </w:rPr>
              <w:t xml:space="preserve"> </w:t>
            </w:r>
            <w:r w:rsidR="0054748E" w:rsidRPr="00A91236">
              <w:rPr>
                <w:lang w:val="en-GB"/>
              </w:rPr>
              <w:t>can be threatened due to external energy dependence</w:t>
            </w:r>
          </w:p>
        </w:tc>
      </w:tr>
      <w:tr w:rsidR="000D09B6" w:rsidRPr="009E69A2" w14:paraId="4B42D831" w14:textId="3AD1E25C" w:rsidTr="000F3DCF">
        <w:trPr>
          <w:trHeight w:val="397"/>
        </w:trPr>
        <w:tc>
          <w:tcPr>
            <w:cnfStyle w:val="001000000000" w:firstRow="0" w:lastRow="0" w:firstColumn="1" w:lastColumn="0" w:oddVBand="0" w:evenVBand="0" w:oddHBand="0" w:evenHBand="0" w:firstRowFirstColumn="0" w:firstRowLastColumn="0" w:lastRowFirstColumn="0" w:lastRowLastColumn="0"/>
            <w:tcW w:w="864" w:type="pct"/>
            <w:vMerge/>
            <w:hideMark/>
          </w:tcPr>
          <w:p w14:paraId="363AFDB5" w14:textId="77777777" w:rsidR="0054748E" w:rsidRPr="00163523" w:rsidRDefault="0054748E" w:rsidP="00A91236">
            <w:pPr>
              <w:spacing w:line="240" w:lineRule="auto"/>
              <w:ind w:left="0"/>
              <w:rPr>
                <w:lang w:val="en-GB"/>
              </w:rPr>
            </w:pPr>
          </w:p>
        </w:tc>
        <w:tc>
          <w:tcPr>
            <w:tcW w:w="500" w:type="pct"/>
          </w:tcPr>
          <w:p w14:paraId="132A2959" w14:textId="45CF2AED" w:rsidR="0054748E" w:rsidRPr="00A91236" w:rsidRDefault="000D09B6" w:rsidP="00A91236">
            <w:pPr>
              <w:spacing w:line="240" w:lineRule="auto"/>
              <w:ind w:left="0"/>
              <w:cnfStyle w:val="000000000000" w:firstRow="0" w:lastRow="0" w:firstColumn="0" w:lastColumn="0" w:oddVBand="0" w:evenVBand="0" w:oddHBand="0" w:evenHBand="0" w:firstRowFirstColumn="0" w:firstRowLastColumn="0" w:lastRowFirstColumn="0" w:lastRowLastColumn="0"/>
              <w:rPr>
                <w:lang w:val="en-GB"/>
              </w:rPr>
            </w:pPr>
            <w:r>
              <w:rPr>
                <w:lang w:val="en-GB"/>
              </w:rPr>
              <w:fldChar w:fldCharType="begin"/>
            </w:r>
            <w:r>
              <w:rPr>
                <w:lang w:val="en-GB"/>
              </w:rPr>
              <w:instrText xml:space="preserve"> REF _Ref137116845 \r \h </w:instrText>
            </w:r>
            <w:r>
              <w:rPr>
                <w:lang w:val="en-GB"/>
              </w:rPr>
            </w:r>
            <w:r>
              <w:rPr>
                <w:lang w:val="en-GB"/>
              </w:rPr>
              <w:fldChar w:fldCharType="separate"/>
            </w:r>
            <w:r w:rsidR="00393121">
              <w:rPr>
                <w:lang w:val="en-GB"/>
              </w:rPr>
              <w:t>3.9</w:t>
            </w:r>
            <w:r>
              <w:rPr>
                <w:lang w:val="en-GB"/>
              </w:rPr>
              <w:fldChar w:fldCharType="end"/>
            </w:r>
          </w:p>
        </w:tc>
        <w:tc>
          <w:tcPr>
            <w:tcW w:w="3635" w:type="pct"/>
            <w:hideMark/>
          </w:tcPr>
          <w:p w14:paraId="1023DF86" w14:textId="4A216DED" w:rsidR="0054748E" w:rsidRPr="00163523" w:rsidRDefault="0054748E" w:rsidP="00A91236">
            <w:pPr>
              <w:spacing w:line="240" w:lineRule="auto"/>
              <w:ind w:left="0"/>
              <w:jc w:val="left"/>
              <w:cnfStyle w:val="000000000000" w:firstRow="0" w:lastRow="0" w:firstColumn="0" w:lastColumn="0" w:oddVBand="0" w:evenVBand="0" w:oddHBand="0" w:evenHBand="0" w:firstRowFirstColumn="0" w:firstRowLastColumn="0" w:lastRowFirstColumn="0" w:lastRowLastColumn="0"/>
              <w:rPr>
                <w:lang w:val="en-GB"/>
              </w:rPr>
            </w:pPr>
            <w:r w:rsidRPr="00A91236">
              <w:rPr>
                <w:lang w:val="en-GB"/>
              </w:rPr>
              <w:t xml:space="preserve">Available inputs for production of </w:t>
            </w:r>
            <w:r w:rsidR="0032636B">
              <w:rPr>
                <w:lang w:val="en-GB"/>
              </w:rPr>
              <w:t>renewable/low-carbon</w:t>
            </w:r>
            <w:r w:rsidRPr="00A91236">
              <w:rPr>
                <w:lang w:val="en-GB"/>
              </w:rPr>
              <w:t xml:space="preserve"> gases, e.g. renewable electricity or biomass can be insufficient</w:t>
            </w:r>
          </w:p>
        </w:tc>
      </w:tr>
      <w:tr w:rsidR="000D09B6" w:rsidRPr="009E69A2" w14:paraId="0D08F6AB" w14:textId="1E0DFC52" w:rsidTr="000F3DCF">
        <w:trPr>
          <w:trHeight w:val="397"/>
        </w:trPr>
        <w:tc>
          <w:tcPr>
            <w:cnfStyle w:val="001000000000" w:firstRow="0" w:lastRow="0" w:firstColumn="1" w:lastColumn="0" w:oddVBand="0" w:evenVBand="0" w:oddHBand="0" w:evenHBand="0" w:firstRowFirstColumn="0" w:firstRowLastColumn="0" w:lastRowFirstColumn="0" w:lastRowLastColumn="0"/>
            <w:tcW w:w="864" w:type="pct"/>
            <w:vMerge/>
            <w:hideMark/>
          </w:tcPr>
          <w:p w14:paraId="5E6CB8B3" w14:textId="77777777" w:rsidR="0054748E" w:rsidRPr="00163523" w:rsidRDefault="0054748E" w:rsidP="00A91236">
            <w:pPr>
              <w:spacing w:line="240" w:lineRule="auto"/>
              <w:ind w:left="0"/>
              <w:rPr>
                <w:lang w:val="en-GB"/>
              </w:rPr>
            </w:pPr>
          </w:p>
        </w:tc>
        <w:tc>
          <w:tcPr>
            <w:tcW w:w="500" w:type="pct"/>
          </w:tcPr>
          <w:p w14:paraId="3F989653" w14:textId="3F072535" w:rsidR="0054748E" w:rsidRPr="00A91236" w:rsidRDefault="000D09B6" w:rsidP="00A91236">
            <w:pPr>
              <w:spacing w:line="240" w:lineRule="auto"/>
              <w:ind w:left="0"/>
              <w:cnfStyle w:val="000000000000" w:firstRow="0" w:lastRow="0" w:firstColumn="0" w:lastColumn="0" w:oddVBand="0" w:evenVBand="0" w:oddHBand="0" w:evenHBand="0" w:firstRowFirstColumn="0" w:firstRowLastColumn="0" w:lastRowFirstColumn="0" w:lastRowLastColumn="0"/>
              <w:rPr>
                <w:lang w:val="en-GB"/>
              </w:rPr>
            </w:pPr>
            <w:r>
              <w:rPr>
                <w:lang w:val="en-GB"/>
              </w:rPr>
              <w:fldChar w:fldCharType="begin"/>
            </w:r>
            <w:r>
              <w:rPr>
                <w:lang w:val="en-GB"/>
              </w:rPr>
              <w:instrText xml:space="preserve"> REF _Ref137116849 \r \h  \* MERGEFORMAT </w:instrText>
            </w:r>
            <w:r>
              <w:rPr>
                <w:lang w:val="en-GB"/>
              </w:rPr>
            </w:r>
            <w:r>
              <w:rPr>
                <w:lang w:val="en-GB"/>
              </w:rPr>
              <w:fldChar w:fldCharType="separate"/>
            </w:r>
            <w:r w:rsidR="00393121">
              <w:rPr>
                <w:lang w:val="en-GB"/>
              </w:rPr>
              <w:t>3.10</w:t>
            </w:r>
            <w:r>
              <w:rPr>
                <w:lang w:val="en-GB"/>
              </w:rPr>
              <w:fldChar w:fldCharType="end"/>
            </w:r>
          </w:p>
        </w:tc>
        <w:tc>
          <w:tcPr>
            <w:tcW w:w="3635" w:type="pct"/>
            <w:hideMark/>
          </w:tcPr>
          <w:p w14:paraId="0BF69042" w14:textId="7068A47D" w:rsidR="0054748E" w:rsidRPr="00163523" w:rsidRDefault="0054748E" w:rsidP="00A91236">
            <w:pPr>
              <w:spacing w:line="240" w:lineRule="auto"/>
              <w:ind w:left="0"/>
              <w:jc w:val="left"/>
              <w:cnfStyle w:val="000000000000" w:firstRow="0" w:lastRow="0" w:firstColumn="0" w:lastColumn="0" w:oddVBand="0" w:evenVBand="0" w:oddHBand="0" w:evenHBand="0" w:firstRowFirstColumn="0" w:firstRowLastColumn="0" w:lastRowFirstColumn="0" w:lastRowLastColumn="0"/>
              <w:rPr>
                <w:lang w:val="en-GB"/>
              </w:rPr>
            </w:pPr>
            <w:r w:rsidRPr="00A91236">
              <w:rPr>
                <w:lang w:val="en-GB"/>
              </w:rPr>
              <w:t xml:space="preserve">Investments in </w:t>
            </w:r>
            <w:r w:rsidR="00D00A51">
              <w:rPr>
                <w:lang w:val="en-GB"/>
              </w:rPr>
              <w:t xml:space="preserve">methane </w:t>
            </w:r>
            <w:r w:rsidRPr="00A91236">
              <w:rPr>
                <w:lang w:val="en-GB"/>
              </w:rPr>
              <w:t>infrastructure can lead to lock-in on natural gas or asset stranding</w:t>
            </w:r>
          </w:p>
        </w:tc>
      </w:tr>
      <w:tr w:rsidR="000D09B6" w:rsidRPr="009E69A2" w14:paraId="23C3B84F" w14:textId="217DC7AD" w:rsidTr="000F3DCF">
        <w:trPr>
          <w:trHeight w:val="397"/>
        </w:trPr>
        <w:tc>
          <w:tcPr>
            <w:cnfStyle w:val="001000000000" w:firstRow="0" w:lastRow="0" w:firstColumn="1" w:lastColumn="0" w:oddVBand="0" w:evenVBand="0" w:oddHBand="0" w:evenHBand="0" w:firstRowFirstColumn="0" w:firstRowLastColumn="0" w:lastRowFirstColumn="0" w:lastRowLastColumn="0"/>
            <w:tcW w:w="864" w:type="pct"/>
            <w:hideMark/>
          </w:tcPr>
          <w:p w14:paraId="0A14E2C3" w14:textId="1319A02E" w:rsidR="0054748E" w:rsidRPr="00163523" w:rsidRDefault="0054748E" w:rsidP="001678D7">
            <w:pPr>
              <w:spacing w:line="240" w:lineRule="auto"/>
              <w:ind w:left="0"/>
              <w:rPr>
                <w:lang w:val="en-GB"/>
              </w:rPr>
            </w:pPr>
            <w:r w:rsidRPr="00A91236">
              <w:rPr>
                <w:b/>
                <w:bCs/>
                <w:lang w:val="en-GB"/>
              </w:rPr>
              <w:t>Regulatory</w:t>
            </w:r>
          </w:p>
        </w:tc>
        <w:tc>
          <w:tcPr>
            <w:tcW w:w="500" w:type="pct"/>
          </w:tcPr>
          <w:p w14:paraId="53AAF73B" w14:textId="65EC738B" w:rsidR="0054748E" w:rsidRPr="00A91236" w:rsidRDefault="000D09B6" w:rsidP="00A91236">
            <w:pPr>
              <w:spacing w:line="240" w:lineRule="auto"/>
              <w:ind w:left="0"/>
              <w:cnfStyle w:val="000000000000" w:firstRow="0" w:lastRow="0" w:firstColumn="0" w:lastColumn="0" w:oddVBand="0" w:evenVBand="0" w:oddHBand="0" w:evenHBand="0" w:firstRowFirstColumn="0" w:firstRowLastColumn="0" w:lastRowFirstColumn="0" w:lastRowLastColumn="0"/>
              <w:rPr>
                <w:lang w:val="en-GB"/>
              </w:rPr>
            </w:pPr>
            <w:r>
              <w:rPr>
                <w:lang w:val="en-GB"/>
              </w:rPr>
              <w:fldChar w:fldCharType="begin"/>
            </w:r>
            <w:r>
              <w:rPr>
                <w:lang w:val="en-GB"/>
              </w:rPr>
              <w:instrText xml:space="preserve"> REF _Ref137116851 \r \h  \* MERGEFORMAT </w:instrText>
            </w:r>
            <w:r>
              <w:rPr>
                <w:lang w:val="en-GB"/>
              </w:rPr>
            </w:r>
            <w:r>
              <w:rPr>
                <w:lang w:val="en-GB"/>
              </w:rPr>
              <w:fldChar w:fldCharType="separate"/>
            </w:r>
            <w:r w:rsidR="00393121">
              <w:rPr>
                <w:lang w:val="en-GB"/>
              </w:rPr>
              <w:t>3.11</w:t>
            </w:r>
            <w:r>
              <w:rPr>
                <w:lang w:val="en-GB"/>
              </w:rPr>
              <w:fldChar w:fldCharType="end"/>
            </w:r>
          </w:p>
        </w:tc>
        <w:tc>
          <w:tcPr>
            <w:tcW w:w="3635" w:type="pct"/>
            <w:hideMark/>
          </w:tcPr>
          <w:p w14:paraId="5E4BFA07" w14:textId="6D97625D" w:rsidR="0054748E" w:rsidRPr="00163523" w:rsidRDefault="005C2A06" w:rsidP="00A91236">
            <w:pPr>
              <w:spacing w:line="240" w:lineRule="auto"/>
              <w:ind w:left="0"/>
              <w:jc w:val="left"/>
              <w:cnfStyle w:val="000000000000" w:firstRow="0" w:lastRow="0" w:firstColumn="0" w:lastColumn="0" w:oddVBand="0" w:evenVBand="0" w:oddHBand="0" w:evenHBand="0" w:firstRowFirstColumn="0" w:firstRowLastColumn="0" w:lastRowFirstColumn="0" w:lastRowLastColumn="0"/>
              <w:rPr>
                <w:lang w:val="en-GB"/>
              </w:rPr>
            </w:pPr>
            <w:r>
              <w:rPr>
                <w:lang w:val="en-GB"/>
              </w:rPr>
              <w:t>Policies and regulations</w:t>
            </w:r>
            <w:r w:rsidR="0054748E" w:rsidRPr="00A91236">
              <w:rPr>
                <w:lang w:val="en-GB"/>
              </w:rPr>
              <w:t xml:space="preserve"> can present barriers to implementation of </w:t>
            </w:r>
            <w:r w:rsidR="002B0592">
              <w:rPr>
                <w:lang w:val="en-GB"/>
              </w:rPr>
              <w:t xml:space="preserve">gas </w:t>
            </w:r>
            <w:r w:rsidR="0054748E" w:rsidRPr="00A91236">
              <w:rPr>
                <w:lang w:val="en-GB"/>
              </w:rPr>
              <w:t>decarbonization actions</w:t>
            </w:r>
          </w:p>
        </w:tc>
      </w:tr>
      <w:tr w:rsidR="000D09B6" w:rsidRPr="009E69A2" w14:paraId="05DE3380" w14:textId="3F83ECB1" w:rsidTr="000F3DCF">
        <w:trPr>
          <w:trHeight w:val="397"/>
        </w:trPr>
        <w:tc>
          <w:tcPr>
            <w:cnfStyle w:val="001000000000" w:firstRow="0" w:lastRow="0" w:firstColumn="1" w:lastColumn="0" w:oddVBand="0" w:evenVBand="0" w:oddHBand="0" w:evenHBand="0" w:firstRowFirstColumn="0" w:firstRowLastColumn="0" w:lastRowFirstColumn="0" w:lastRowLastColumn="0"/>
            <w:tcW w:w="864" w:type="pct"/>
            <w:vMerge w:val="restart"/>
            <w:hideMark/>
          </w:tcPr>
          <w:p w14:paraId="78EC6D69" w14:textId="77777777" w:rsidR="0054748E" w:rsidRPr="00163523" w:rsidRDefault="0054748E" w:rsidP="00A91236">
            <w:pPr>
              <w:spacing w:line="240" w:lineRule="auto"/>
              <w:ind w:left="0"/>
              <w:rPr>
                <w:lang w:val="en-GB"/>
              </w:rPr>
            </w:pPr>
            <w:r w:rsidRPr="00A91236">
              <w:rPr>
                <w:b/>
                <w:bCs/>
                <w:lang w:val="en-GB"/>
              </w:rPr>
              <w:t>Social &amp; environmental</w:t>
            </w:r>
          </w:p>
        </w:tc>
        <w:tc>
          <w:tcPr>
            <w:tcW w:w="500" w:type="pct"/>
          </w:tcPr>
          <w:p w14:paraId="19D6C4D7" w14:textId="5E4F0C87" w:rsidR="0054748E" w:rsidRPr="00A91236" w:rsidRDefault="000D09B6" w:rsidP="00A91236">
            <w:pPr>
              <w:spacing w:line="240" w:lineRule="auto"/>
              <w:ind w:left="0"/>
              <w:cnfStyle w:val="000000000000" w:firstRow="0" w:lastRow="0" w:firstColumn="0" w:lastColumn="0" w:oddVBand="0" w:evenVBand="0" w:oddHBand="0" w:evenHBand="0" w:firstRowFirstColumn="0" w:firstRowLastColumn="0" w:lastRowFirstColumn="0" w:lastRowLastColumn="0"/>
              <w:rPr>
                <w:lang w:val="en-GB"/>
              </w:rPr>
            </w:pPr>
            <w:r>
              <w:rPr>
                <w:lang w:val="en-GB"/>
              </w:rPr>
              <w:fldChar w:fldCharType="begin"/>
            </w:r>
            <w:r>
              <w:rPr>
                <w:lang w:val="en-GB"/>
              </w:rPr>
              <w:instrText xml:space="preserve"> REF _Ref137116855 \r \h  \* MERGEFORMAT </w:instrText>
            </w:r>
            <w:r>
              <w:rPr>
                <w:lang w:val="en-GB"/>
              </w:rPr>
            </w:r>
            <w:r>
              <w:rPr>
                <w:lang w:val="en-GB"/>
              </w:rPr>
              <w:fldChar w:fldCharType="separate"/>
            </w:r>
            <w:r w:rsidR="00393121">
              <w:rPr>
                <w:lang w:val="en-GB"/>
              </w:rPr>
              <w:t>3.12</w:t>
            </w:r>
            <w:r>
              <w:rPr>
                <w:lang w:val="en-GB"/>
              </w:rPr>
              <w:fldChar w:fldCharType="end"/>
            </w:r>
          </w:p>
        </w:tc>
        <w:tc>
          <w:tcPr>
            <w:tcW w:w="3635" w:type="pct"/>
            <w:hideMark/>
          </w:tcPr>
          <w:p w14:paraId="212E3CC6" w14:textId="1CF63E93" w:rsidR="0054748E" w:rsidRPr="00163523" w:rsidRDefault="0054748E" w:rsidP="00A91236">
            <w:pPr>
              <w:spacing w:line="240" w:lineRule="auto"/>
              <w:ind w:left="0"/>
              <w:jc w:val="left"/>
              <w:cnfStyle w:val="000000000000" w:firstRow="0" w:lastRow="0" w:firstColumn="0" w:lastColumn="0" w:oddVBand="0" w:evenVBand="0" w:oddHBand="0" w:evenHBand="0" w:firstRowFirstColumn="0" w:firstRowLastColumn="0" w:lastRowFirstColumn="0" w:lastRowLastColumn="0"/>
              <w:rPr>
                <w:lang w:val="en-GB"/>
              </w:rPr>
            </w:pPr>
            <w:r w:rsidRPr="00A91236">
              <w:rPr>
                <w:lang w:val="en-GB"/>
              </w:rPr>
              <w:t xml:space="preserve">Some specific </w:t>
            </w:r>
            <w:r w:rsidR="003F6D35">
              <w:rPr>
                <w:lang w:val="en-GB"/>
              </w:rPr>
              <w:t xml:space="preserve">gas </w:t>
            </w:r>
            <w:r w:rsidRPr="00A91236">
              <w:rPr>
                <w:lang w:val="en-GB"/>
              </w:rPr>
              <w:t xml:space="preserve">decarbonisation actions can result in adverse environmental </w:t>
            </w:r>
            <w:r w:rsidR="00E2573A">
              <w:rPr>
                <w:lang w:val="en-GB"/>
              </w:rPr>
              <w:t xml:space="preserve">and climate </w:t>
            </w:r>
            <w:r w:rsidRPr="00A91236">
              <w:rPr>
                <w:lang w:val="en-GB"/>
              </w:rPr>
              <w:t>impacts</w:t>
            </w:r>
          </w:p>
        </w:tc>
      </w:tr>
      <w:tr w:rsidR="000D09B6" w:rsidRPr="009E69A2" w14:paraId="10572A89" w14:textId="0AFA3650" w:rsidTr="000F3DCF">
        <w:trPr>
          <w:trHeight w:val="397"/>
        </w:trPr>
        <w:tc>
          <w:tcPr>
            <w:cnfStyle w:val="001000000000" w:firstRow="0" w:lastRow="0" w:firstColumn="1" w:lastColumn="0" w:oddVBand="0" w:evenVBand="0" w:oddHBand="0" w:evenHBand="0" w:firstRowFirstColumn="0" w:firstRowLastColumn="0" w:lastRowFirstColumn="0" w:lastRowLastColumn="0"/>
            <w:tcW w:w="864" w:type="pct"/>
            <w:vMerge/>
            <w:hideMark/>
          </w:tcPr>
          <w:p w14:paraId="386A787D" w14:textId="77777777" w:rsidR="0054748E" w:rsidRPr="00163523" w:rsidRDefault="0054748E" w:rsidP="00A91236">
            <w:pPr>
              <w:spacing w:line="240" w:lineRule="auto"/>
              <w:ind w:left="0"/>
              <w:rPr>
                <w:lang w:val="en-GB"/>
              </w:rPr>
            </w:pPr>
          </w:p>
        </w:tc>
        <w:tc>
          <w:tcPr>
            <w:tcW w:w="500" w:type="pct"/>
          </w:tcPr>
          <w:p w14:paraId="51D4645E" w14:textId="3E9DF72A" w:rsidR="0054748E" w:rsidRPr="00A91236" w:rsidRDefault="000D09B6" w:rsidP="00A91236">
            <w:pPr>
              <w:spacing w:line="240" w:lineRule="auto"/>
              <w:ind w:left="0"/>
              <w:cnfStyle w:val="000000000000" w:firstRow="0" w:lastRow="0" w:firstColumn="0" w:lastColumn="0" w:oddVBand="0" w:evenVBand="0" w:oddHBand="0" w:evenHBand="0" w:firstRowFirstColumn="0" w:firstRowLastColumn="0" w:lastRowFirstColumn="0" w:lastRowLastColumn="0"/>
              <w:rPr>
                <w:lang w:val="en-GB"/>
              </w:rPr>
            </w:pPr>
            <w:r>
              <w:rPr>
                <w:lang w:val="en-GB"/>
              </w:rPr>
              <w:fldChar w:fldCharType="begin"/>
            </w:r>
            <w:r>
              <w:rPr>
                <w:lang w:val="en-GB"/>
              </w:rPr>
              <w:instrText xml:space="preserve"> REF _Ref137116857 \r \h  \* MERGEFORMAT </w:instrText>
            </w:r>
            <w:r>
              <w:rPr>
                <w:lang w:val="en-GB"/>
              </w:rPr>
            </w:r>
            <w:r>
              <w:rPr>
                <w:lang w:val="en-GB"/>
              </w:rPr>
              <w:fldChar w:fldCharType="separate"/>
            </w:r>
            <w:r w:rsidR="00393121">
              <w:rPr>
                <w:lang w:val="en-GB"/>
              </w:rPr>
              <w:t>3.13</w:t>
            </w:r>
            <w:r>
              <w:rPr>
                <w:lang w:val="en-GB"/>
              </w:rPr>
              <w:fldChar w:fldCharType="end"/>
            </w:r>
          </w:p>
        </w:tc>
        <w:tc>
          <w:tcPr>
            <w:tcW w:w="3635" w:type="pct"/>
            <w:hideMark/>
          </w:tcPr>
          <w:p w14:paraId="679D15B8" w14:textId="0D521C3D" w:rsidR="0054748E" w:rsidRPr="00163523" w:rsidRDefault="00790C18" w:rsidP="00A91236">
            <w:pPr>
              <w:spacing w:line="240" w:lineRule="auto"/>
              <w:ind w:left="0"/>
              <w:jc w:val="left"/>
              <w:cnfStyle w:val="000000000000" w:firstRow="0" w:lastRow="0" w:firstColumn="0" w:lastColumn="0" w:oddVBand="0" w:evenVBand="0" w:oddHBand="0" w:evenHBand="0" w:firstRowFirstColumn="0" w:firstRowLastColumn="0" w:lastRowFirstColumn="0" w:lastRowLastColumn="0"/>
              <w:rPr>
                <w:lang w:val="en-GB"/>
              </w:rPr>
            </w:pPr>
            <w:r w:rsidRPr="00163523">
              <w:rPr>
                <w:lang w:val="en-GB"/>
              </w:rPr>
              <w:t>Public opposition, due to (perception of) negative impacts</w:t>
            </w:r>
          </w:p>
        </w:tc>
      </w:tr>
      <w:tr w:rsidR="000D09B6" w:rsidRPr="009E69A2" w14:paraId="1B92D63C" w14:textId="721A2BB3" w:rsidTr="000F3DCF">
        <w:trPr>
          <w:trHeight w:val="397"/>
        </w:trPr>
        <w:tc>
          <w:tcPr>
            <w:cnfStyle w:val="001000000000" w:firstRow="0" w:lastRow="0" w:firstColumn="1" w:lastColumn="0" w:oddVBand="0" w:evenVBand="0" w:oddHBand="0" w:evenHBand="0" w:firstRowFirstColumn="0" w:firstRowLastColumn="0" w:lastRowFirstColumn="0" w:lastRowLastColumn="0"/>
            <w:tcW w:w="864" w:type="pct"/>
            <w:vMerge w:val="restart"/>
            <w:hideMark/>
          </w:tcPr>
          <w:p w14:paraId="7B077274" w14:textId="77777777" w:rsidR="0054748E" w:rsidRPr="00163523" w:rsidRDefault="0054748E" w:rsidP="00A91236">
            <w:pPr>
              <w:spacing w:line="240" w:lineRule="auto"/>
              <w:ind w:left="0"/>
              <w:rPr>
                <w:lang w:val="en-GB"/>
              </w:rPr>
            </w:pPr>
            <w:r w:rsidRPr="00A91236">
              <w:rPr>
                <w:b/>
                <w:bCs/>
                <w:lang w:val="en-GB"/>
              </w:rPr>
              <w:t>Technological</w:t>
            </w:r>
          </w:p>
        </w:tc>
        <w:tc>
          <w:tcPr>
            <w:tcW w:w="500" w:type="pct"/>
          </w:tcPr>
          <w:p w14:paraId="76F59179" w14:textId="5C605FAE" w:rsidR="0054748E" w:rsidRPr="00A91236" w:rsidRDefault="00B504B5" w:rsidP="00A91236">
            <w:pPr>
              <w:spacing w:line="240" w:lineRule="auto"/>
              <w:ind w:left="0"/>
              <w:cnfStyle w:val="000000000000" w:firstRow="0" w:lastRow="0" w:firstColumn="0" w:lastColumn="0" w:oddVBand="0" w:evenVBand="0" w:oddHBand="0" w:evenHBand="0" w:firstRowFirstColumn="0" w:firstRowLastColumn="0" w:lastRowFirstColumn="0" w:lastRowLastColumn="0"/>
              <w:rPr>
                <w:lang w:val="en-GB"/>
              </w:rPr>
            </w:pPr>
            <w:r>
              <w:rPr>
                <w:lang w:val="en-GB"/>
              </w:rPr>
              <w:fldChar w:fldCharType="begin"/>
            </w:r>
            <w:r>
              <w:rPr>
                <w:lang w:val="en-GB"/>
              </w:rPr>
              <w:instrText xml:space="preserve"> REF _Ref137116859 \r \h  \* MERGEFORMAT </w:instrText>
            </w:r>
            <w:r>
              <w:rPr>
                <w:lang w:val="en-GB"/>
              </w:rPr>
            </w:r>
            <w:r>
              <w:rPr>
                <w:lang w:val="en-GB"/>
              </w:rPr>
              <w:fldChar w:fldCharType="separate"/>
            </w:r>
            <w:r w:rsidR="00393121">
              <w:rPr>
                <w:lang w:val="en-GB"/>
              </w:rPr>
              <w:t>3.14</w:t>
            </w:r>
            <w:r>
              <w:rPr>
                <w:lang w:val="en-GB"/>
              </w:rPr>
              <w:fldChar w:fldCharType="end"/>
            </w:r>
          </w:p>
        </w:tc>
        <w:tc>
          <w:tcPr>
            <w:tcW w:w="3635" w:type="pct"/>
            <w:hideMark/>
          </w:tcPr>
          <w:p w14:paraId="67BEBE2E" w14:textId="053E73C3" w:rsidR="0054748E" w:rsidRPr="00163523" w:rsidRDefault="0054748E" w:rsidP="00A91236">
            <w:pPr>
              <w:spacing w:line="240" w:lineRule="auto"/>
              <w:ind w:left="0"/>
              <w:jc w:val="left"/>
              <w:cnfStyle w:val="000000000000" w:firstRow="0" w:lastRow="0" w:firstColumn="0" w:lastColumn="0" w:oddVBand="0" w:evenVBand="0" w:oddHBand="0" w:evenHBand="0" w:firstRowFirstColumn="0" w:firstRowLastColumn="0" w:lastRowFirstColumn="0" w:lastRowLastColumn="0"/>
              <w:rPr>
                <w:lang w:val="en-GB"/>
              </w:rPr>
            </w:pPr>
            <w:r w:rsidRPr="00A91236">
              <w:rPr>
                <w:lang w:val="en-GB"/>
              </w:rPr>
              <w:t xml:space="preserve">Key </w:t>
            </w:r>
            <w:r w:rsidR="004C012A">
              <w:rPr>
                <w:lang w:val="en-GB"/>
              </w:rPr>
              <w:t>gas deca</w:t>
            </w:r>
            <w:r w:rsidR="00730EF2">
              <w:rPr>
                <w:lang w:val="en-GB"/>
              </w:rPr>
              <w:t xml:space="preserve">rbonisation </w:t>
            </w:r>
            <w:r w:rsidRPr="00A91236">
              <w:rPr>
                <w:lang w:val="en-GB"/>
              </w:rPr>
              <w:t>technologies may not reach sufficient cost or performance improvements</w:t>
            </w:r>
          </w:p>
        </w:tc>
      </w:tr>
      <w:tr w:rsidR="000D09B6" w:rsidRPr="009E69A2" w14:paraId="290F0FCF" w14:textId="7C100118" w:rsidTr="000F3DCF">
        <w:trPr>
          <w:trHeight w:val="397"/>
        </w:trPr>
        <w:tc>
          <w:tcPr>
            <w:cnfStyle w:val="001000000000" w:firstRow="0" w:lastRow="0" w:firstColumn="1" w:lastColumn="0" w:oddVBand="0" w:evenVBand="0" w:oddHBand="0" w:evenHBand="0" w:firstRowFirstColumn="0" w:firstRowLastColumn="0" w:lastRowFirstColumn="0" w:lastRowLastColumn="0"/>
            <w:tcW w:w="864" w:type="pct"/>
            <w:vMerge/>
          </w:tcPr>
          <w:p w14:paraId="65197F8D" w14:textId="77777777" w:rsidR="00AA77F1" w:rsidRPr="00A91236" w:rsidRDefault="00AA77F1" w:rsidP="00AA77F1">
            <w:pPr>
              <w:spacing w:line="240" w:lineRule="auto"/>
              <w:ind w:left="0"/>
              <w:rPr>
                <w:b/>
                <w:bCs/>
                <w:lang w:val="en-GB"/>
              </w:rPr>
            </w:pPr>
          </w:p>
        </w:tc>
        <w:tc>
          <w:tcPr>
            <w:tcW w:w="500" w:type="pct"/>
          </w:tcPr>
          <w:p w14:paraId="1E3F325F" w14:textId="52D47EDA" w:rsidR="00AA77F1" w:rsidRDefault="00B504B5" w:rsidP="00AA77F1">
            <w:pPr>
              <w:spacing w:line="240" w:lineRule="auto"/>
              <w:ind w:left="0"/>
              <w:cnfStyle w:val="000000000000" w:firstRow="0" w:lastRow="0" w:firstColumn="0" w:lastColumn="0" w:oddVBand="0" w:evenVBand="0" w:oddHBand="0" w:evenHBand="0" w:firstRowFirstColumn="0" w:firstRowLastColumn="0" w:lastRowFirstColumn="0" w:lastRowLastColumn="0"/>
              <w:rPr>
                <w:lang w:val="en-GB"/>
              </w:rPr>
            </w:pPr>
            <w:r>
              <w:rPr>
                <w:lang w:val="en-GB"/>
              </w:rPr>
              <w:fldChar w:fldCharType="begin"/>
            </w:r>
            <w:r>
              <w:rPr>
                <w:lang w:val="en-GB"/>
              </w:rPr>
              <w:instrText xml:space="preserve"> REF _Ref137116861 \r \h  \* MERGEFORMAT </w:instrText>
            </w:r>
            <w:r>
              <w:rPr>
                <w:lang w:val="en-GB"/>
              </w:rPr>
            </w:r>
            <w:r>
              <w:rPr>
                <w:lang w:val="en-GB"/>
              </w:rPr>
              <w:fldChar w:fldCharType="separate"/>
            </w:r>
            <w:r w:rsidR="00393121">
              <w:rPr>
                <w:lang w:val="en-GB"/>
              </w:rPr>
              <w:t>3.15</w:t>
            </w:r>
            <w:r>
              <w:rPr>
                <w:lang w:val="en-GB"/>
              </w:rPr>
              <w:fldChar w:fldCharType="end"/>
            </w:r>
          </w:p>
        </w:tc>
        <w:tc>
          <w:tcPr>
            <w:tcW w:w="3635" w:type="pct"/>
          </w:tcPr>
          <w:p w14:paraId="797C1A6F" w14:textId="20ABEA60" w:rsidR="00AA77F1" w:rsidRPr="00A91236" w:rsidRDefault="00AA77F1" w:rsidP="00AA77F1">
            <w:pPr>
              <w:spacing w:line="240" w:lineRule="auto"/>
              <w:ind w:left="0"/>
              <w:jc w:val="left"/>
              <w:cnfStyle w:val="000000000000" w:firstRow="0" w:lastRow="0" w:firstColumn="0" w:lastColumn="0" w:oddVBand="0" w:evenVBand="0" w:oddHBand="0" w:evenHBand="0" w:firstRowFirstColumn="0" w:firstRowLastColumn="0" w:lastRowFirstColumn="0" w:lastRowLastColumn="0"/>
              <w:rPr>
                <w:lang w:val="en-GB"/>
              </w:rPr>
            </w:pPr>
            <w:r>
              <w:rPr>
                <w:lang w:val="en-GB"/>
              </w:rPr>
              <w:t>Safety risks or their perception restrict infrastructure development or certain supply/demand solutions</w:t>
            </w:r>
          </w:p>
        </w:tc>
      </w:tr>
      <w:tr w:rsidR="000D09B6" w:rsidRPr="009E69A2" w14:paraId="302A2A48" w14:textId="33F9D5CC" w:rsidTr="000F3DCF">
        <w:trPr>
          <w:trHeight w:val="397"/>
        </w:trPr>
        <w:tc>
          <w:tcPr>
            <w:cnfStyle w:val="001000000000" w:firstRow="0" w:lastRow="0" w:firstColumn="1" w:lastColumn="0" w:oddVBand="0" w:evenVBand="0" w:oddHBand="0" w:evenHBand="0" w:firstRowFirstColumn="0" w:firstRowLastColumn="0" w:lastRowFirstColumn="0" w:lastRowLastColumn="0"/>
            <w:tcW w:w="864" w:type="pct"/>
            <w:hideMark/>
          </w:tcPr>
          <w:p w14:paraId="6B31885F" w14:textId="77777777" w:rsidR="0054748E" w:rsidRPr="00163523" w:rsidRDefault="0054748E" w:rsidP="00A91236">
            <w:pPr>
              <w:spacing w:line="240" w:lineRule="auto"/>
              <w:ind w:left="0"/>
              <w:rPr>
                <w:lang w:val="en-GB"/>
              </w:rPr>
            </w:pPr>
            <w:r w:rsidRPr="00A91236">
              <w:rPr>
                <w:b/>
                <w:bCs/>
                <w:lang w:val="en-GB"/>
              </w:rPr>
              <w:t>Geopolitical</w:t>
            </w:r>
          </w:p>
        </w:tc>
        <w:tc>
          <w:tcPr>
            <w:tcW w:w="500" w:type="pct"/>
          </w:tcPr>
          <w:p w14:paraId="33A7ED8B" w14:textId="2B2947CD" w:rsidR="0054748E" w:rsidRPr="00A91236" w:rsidRDefault="00B504B5" w:rsidP="00A91236">
            <w:pPr>
              <w:spacing w:line="240" w:lineRule="auto"/>
              <w:ind w:left="0"/>
              <w:cnfStyle w:val="000000000000" w:firstRow="0" w:lastRow="0" w:firstColumn="0" w:lastColumn="0" w:oddVBand="0" w:evenVBand="0" w:oddHBand="0" w:evenHBand="0" w:firstRowFirstColumn="0" w:firstRowLastColumn="0" w:lastRowFirstColumn="0" w:lastRowLastColumn="0"/>
              <w:rPr>
                <w:lang w:val="en-GB"/>
              </w:rPr>
            </w:pPr>
            <w:r>
              <w:rPr>
                <w:lang w:val="en-GB"/>
              </w:rPr>
              <w:fldChar w:fldCharType="begin"/>
            </w:r>
            <w:r>
              <w:rPr>
                <w:lang w:val="en-GB"/>
              </w:rPr>
              <w:instrText xml:space="preserve"> REF _Ref137116990 \w </w:instrText>
            </w:r>
            <w:r>
              <w:rPr>
                <w:lang w:val="en-GB"/>
              </w:rPr>
              <w:fldChar w:fldCharType="separate"/>
            </w:r>
            <w:r w:rsidR="00393121">
              <w:rPr>
                <w:lang w:val="en-GB"/>
              </w:rPr>
              <w:t>3.16</w:t>
            </w:r>
            <w:r>
              <w:rPr>
                <w:lang w:val="en-GB"/>
              </w:rPr>
              <w:fldChar w:fldCharType="end"/>
            </w:r>
          </w:p>
        </w:tc>
        <w:tc>
          <w:tcPr>
            <w:tcW w:w="3635" w:type="pct"/>
            <w:hideMark/>
          </w:tcPr>
          <w:p w14:paraId="664996C6" w14:textId="7F9F3E14" w:rsidR="0054748E" w:rsidRPr="00163523" w:rsidRDefault="0054748E" w:rsidP="00A91236">
            <w:pPr>
              <w:spacing w:line="240" w:lineRule="auto"/>
              <w:ind w:left="0"/>
              <w:jc w:val="left"/>
              <w:cnfStyle w:val="000000000000" w:firstRow="0" w:lastRow="0" w:firstColumn="0" w:lastColumn="0" w:oddVBand="0" w:evenVBand="0" w:oddHBand="0" w:evenHBand="0" w:firstRowFirstColumn="0" w:firstRowLastColumn="0" w:lastRowFirstColumn="0" w:lastRowLastColumn="0"/>
              <w:rPr>
                <w:lang w:val="en-GB"/>
              </w:rPr>
            </w:pPr>
            <w:r w:rsidRPr="00A91236">
              <w:rPr>
                <w:lang w:val="en-GB"/>
              </w:rPr>
              <w:t xml:space="preserve">Geopolitical events can divert resources and attention from </w:t>
            </w:r>
            <w:r w:rsidR="00730EF2">
              <w:rPr>
                <w:lang w:val="en-GB"/>
              </w:rPr>
              <w:t xml:space="preserve">gas </w:t>
            </w:r>
            <w:r w:rsidR="006C198D">
              <w:rPr>
                <w:lang w:val="en-GB"/>
              </w:rPr>
              <w:t>dec</w:t>
            </w:r>
            <w:r w:rsidR="00CA643C">
              <w:rPr>
                <w:lang w:val="en-GB"/>
              </w:rPr>
              <w:t xml:space="preserve">arbonisation </w:t>
            </w:r>
            <w:r w:rsidR="00560ED5">
              <w:rPr>
                <w:lang w:val="en-GB"/>
              </w:rPr>
              <w:t>measures</w:t>
            </w:r>
          </w:p>
        </w:tc>
      </w:tr>
    </w:tbl>
    <w:p w14:paraId="73416E25" w14:textId="77777777" w:rsidR="009979AA" w:rsidRPr="00163523" w:rsidRDefault="009979AA" w:rsidP="00A91236">
      <w:pPr>
        <w:rPr>
          <w:lang w:val="en-GB"/>
        </w:rPr>
      </w:pPr>
    </w:p>
    <w:p w14:paraId="21491E24" w14:textId="77777777" w:rsidR="000307F3" w:rsidRDefault="000307F3" w:rsidP="000307F3">
      <w:pPr>
        <w:pStyle w:val="Kop2"/>
      </w:pPr>
      <w:bookmarkStart w:id="24" w:name="_Toc144803005"/>
      <w:r>
        <w:t>Additional risks identified by stakeholders</w:t>
      </w:r>
      <w:bookmarkEnd w:id="24"/>
    </w:p>
    <w:p w14:paraId="1FB318B7" w14:textId="212A3881" w:rsidR="000307F3" w:rsidRPr="00163523" w:rsidRDefault="000307F3" w:rsidP="000307F3">
      <w:pPr>
        <w:rPr>
          <w:lang w:val="en-GB"/>
        </w:rPr>
      </w:pPr>
      <w:r w:rsidRPr="009E69A2">
        <w:rPr>
          <w:lang w:val="en-GB"/>
        </w:rPr>
        <w:t>A stakeholder consultation was l</w:t>
      </w:r>
      <w:r w:rsidRPr="00163523">
        <w:rPr>
          <w:lang w:val="en-GB"/>
        </w:rPr>
        <w:t>aunched on 4 July 2023 to receive feedback on (among others) the risks analysis of gas decarbonisation scenarios. In total, 43 stakeholders (i.e., 20 from Estonia, 8 from Finland, 7 from Lithuania, 6 from Latvia and 2 regional stakeholders)</w:t>
      </w:r>
      <w:r w:rsidR="00333C62" w:rsidRPr="00163523">
        <w:rPr>
          <w:lang w:val="en-GB"/>
        </w:rPr>
        <w:t xml:space="preserve"> have been contacted</w:t>
      </w:r>
      <w:r w:rsidR="007E3B76" w:rsidRPr="00163523">
        <w:rPr>
          <w:lang w:val="en-GB"/>
        </w:rPr>
        <w:t>; t</w:t>
      </w:r>
      <w:r w:rsidR="00E171AB" w:rsidRPr="00163523">
        <w:rPr>
          <w:lang w:val="en-GB"/>
        </w:rPr>
        <w:t xml:space="preserve">he </w:t>
      </w:r>
      <w:r w:rsidR="00F40966" w:rsidRPr="00163523">
        <w:rPr>
          <w:lang w:val="en-GB"/>
        </w:rPr>
        <w:t>key takeaways from the stakeholder</w:t>
      </w:r>
      <w:r w:rsidR="00AE1C85" w:rsidRPr="00163523">
        <w:rPr>
          <w:lang w:val="en-GB"/>
        </w:rPr>
        <w:t>s responses</w:t>
      </w:r>
      <w:r w:rsidR="00F40966" w:rsidRPr="00163523">
        <w:rPr>
          <w:lang w:val="en-GB"/>
        </w:rPr>
        <w:t xml:space="preserve"> are the following</w:t>
      </w:r>
      <w:r w:rsidR="00E171AB" w:rsidRPr="00163523">
        <w:rPr>
          <w:lang w:val="en-GB"/>
        </w:rPr>
        <w:t>:</w:t>
      </w:r>
    </w:p>
    <w:p w14:paraId="09154ADC" w14:textId="35ACACCB" w:rsidR="008D2BA2" w:rsidRDefault="008D2BA2" w:rsidP="008D2BA2">
      <w:pPr>
        <w:pStyle w:val="Lijstalinea"/>
      </w:pPr>
      <w:r>
        <w:t xml:space="preserve">The availability of funding to develop/adapt required infrastructure </w:t>
      </w:r>
      <w:r w:rsidR="00F55119">
        <w:t xml:space="preserve">to decarbonise the gas system </w:t>
      </w:r>
      <w:r>
        <w:t xml:space="preserve">is </w:t>
      </w:r>
      <w:r w:rsidR="008E7CDD">
        <w:t>by some stakeholders considered</w:t>
      </w:r>
      <w:r>
        <w:t xml:space="preserve"> as one of the major risks. As some network operators </w:t>
      </w:r>
      <w:r>
        <w:lastRenderedPageBreak/>
        <w:t>are private companies regulated by the State, stakeholders mention the risk that adequate decarbonisation funds may not be (timely) available to these companies.</w:t>
      </w:r>
    </w:p>
    <w:p w14:paraId="095AE276" w14:textId="3C6DC016" w:rsidR="00E171AB" w:rsidRDefault="00F55119" w:rsidP="00E171AB">
      <w:pPr>
        <w:pStyle w:val="Bulletpoint"/>
      </w:pPr>
      <w:r>
        <w:t>Stakeholders also indicate that g</w:t>
      </w:r>
      <w:r w:rsidR="00E171AB">
        <w:t xml:space="preserve">aseous fuels </w:t>
      </w:r>
      <w:r>
        <w:t>may</w:t>
      </w:r>
      <w:r w:rsidR="00E171AB">
        <w:t xml:space="preserve"> </w:t>
      </w:r>
      <w:r>
        <w:t xml:space="preserve">be </w:t>
      </w:r>
      <w:r w:rsidR="0018459D" w:rsidRPr="00163523">
        <w:t xml:space="preserve">not (or significantly less) </w:t>
      </w:r>
      <w:r w:rsidR="00E171AB">
        <w:t xml:space="preserve">competitive against other energy carriers and thus demand </w:t>
      </w:r>
      <w:r>
        <w:t>would be</w:t>
      </w:r>
      <w:r w:rsidR="00E171AB">
        <w:t xml:space="preserve"> too low to maintain a national gas network</w:t>
      </w:r>
      <w:r w:rsidR="00381716">
        <w:t>. This would lead to stranded assets</w:t>
      </w:r>
      <w:r>
        <w:t>.</w:t>
      </w:r>
    </w:p>
    <w:p w14:paraId="06E203E6" w14:textId="0C98B938" w:rsidR="00E171AB" w:rsidRDefault="00F55119" w:rsidP="00E171AB">
      <w:pPr>
        <w:pStyle w:val="Lijstalinea"/>
      </w:pPr>
      <w:r>
        <w:t>The risk of</w:t>
      </w:r>
      <w:r w:rsidR="00E171AB">
        <w:t xml:space="preserve"> energy poverty</w:t>
      </w:r>
      <w:r>
        <w:t xml:space="preserve"> due to increased energy prices is also mentioned by stakeholders. They indicate that it may lead to safety issues (e.g. if households cannot heat their homes appropriately). </w:t>
      </w:r>
    </w:p>
    <w:p w14:paraId="61D3C0BF" w14:textId="4724C5AF" w:rsidR="006B53D2" w:rsidRDefault="00775679" w:rsidP="00E171AB">
      <w:pPr>
        <w:pStyle w:val="Lijstalinea"/>
      </w:pPr>
      <w:r>
        <w:t>Another risk identified by stakeholders is that r</w:t>
      </w:r>
      <w:r w:rsidR="006B53D2">
        <w:t xml:space="preserve">enewable electricity production capacity </w:t>
      </w:r>
      <w:r>
        <w:t>may be</w:t>
      </w:r>
      <w:r w:rsidR="006B53D2">
        <w:t xml:space="preserve"> too low to achieve gas decarbonisation scenarios</w:t>
      </w:r>
      <w:r>
        <w:t>.</w:t>
      </w:r>
    </w:p>
    <w:p w14:paraId="49EFBA04" w14:textId="77777777" w:rsidR="000307F3" w:rsidRPr="00163523" w:rsidRDefault="000307F3" w:rsidP="000307F3">
      <w:pPr>
        <w:rPr>
          <w:lang w:val="en-GB"/>
        </w:rPr>
      </w:pPr>
    </w:p>
    <w:p w14:paraId="08B53BC1" w14:textId="77777777" w:rsidR="000C4952" w:rsidRPr="00163523" w:rsidRDefault="000307F3" w:rsidP="000307F3">
      <w:pPr>
        <w:rPr>
          <w:lang w:val="en-GB"/>
        </w:rPr>
      </w:pPr>
      <w:r w:rsidRPr="00163523">
        <w:rPr>
          <w:lang w:val="en-GB"/>
        </w:rPr>
        <w:t>The risk analysis presented in Chapter 3 represents the assessment of the consultants. However, the additional risks mentioned by stakeholders could also play a role in the achievement of decarbonisation scenarios to a certain extent.</w:t>
      </w:r>
    </w:p>
    <w:p w14:paraId="0B72C93B" w14:textId="0E986DB4" w:rsidR="00213153" w:rsidRPr="009E69A2" w:rsidRDefault="000307F3" w:rsidP="009E69A2">
      <w:pPr>
        <w:rPr>
          <w:lang w:val="en-GB"/>
        </w:rPr>
      </w:pPr>
      <w:r w:rsidRPr="00163523">
        <w:rPr>
          <w:lang w:val="en-GB"/>
        </w:rPr>
        <w:t xml:space="preserve"> </w:t>
      </w:r>
      <w:r w:rsidR="00213153" w:rsidRPr="009E69A2">
        <w:rPr>
          <w:lang w:val="en-GB"/>
        </w:rPr>
        <w:br w:type="page"/>
      </w:r>
    </w:p>
    <w:p w14:paraId="79638E76" w14:textId="77777777" w:rsidR="007D61EA" w:rsidRDefault="007D61EA" w:rsidP="005002DE">
      <w:pPr>
        <w:pStyle w:val="Kop1"/>
        <w:keepNext/>
      </w:pPr>
      <w:bookmarkStart w:id="25" w:name="_Ref138058378"/>
      <w:bookmarkStart w:id="26" w:name="_Ref138059360"/>
      <w:bookmarkStart w:id="27" w:name="_Toc138492599"/>
      <w:bookmarkStart w:id="28" w:name="_Toc144803006"/>
      <w:r>
        <w:lastRenderedPageBreak/>
        <w:t>R</w:t>
      </w:r>
      <w:r w:rsidRPr="00CC5DB0">
        <w:t>isk assessment</w:t>
      </w:r>
      <w:bookmarkEnd w:id="25"/>
      <w:bookmarkEnd w:id="26"/>
      <w:bookmarkEnd w:id="27"/>
      <w:bookmarkEnd w:id="28"/>
    </w:p>
    <w:p w14:paraId="384C3C80" w14:textId="1CCE5529" w:rsidR="0013153F" w:rsidRPr="0013153F" w:rsidRDefault="0013153F" w:rsidP="0013153F">
      <w:pPr>
        <w:rPr>
          <w:lang w:val="en-GB"/>
        </w:rPr>
      </w:pPr>
      <w:r>
        <w:rPr>
          <w:lang w:val="en-GB"/>
        </w:rPr>
        <w:t xml:space="preserve">This chapter presents the detailed assessment of the </w:t>
      </w:r>
      <w:r w:rsidR="009C7EAC" w:rsidRPr="008B50C2">
        <w:rPr>
          <w:lang w:val="en-GB"/>
        </w:rPr>
        <w:t>16</w:t>
      </w:r>
      <w:r w:rsidR="009C7EAC">
        <w:rPr>
          <w:lang w:val="en-GB"/>
        </w:rPr>
        <w:t xml:space="preserve"> </w:t>
      </w:r>
      <w:r>
        <w:rPr>
          <w:lang w:val="en-GB"/>
        </w:rPr>
        <w:t xml:space="preserve">individual risks </w:t>
      </w:r>
      <w:r w:rsidR="009C7EAC">
        <w:rPr>
          <w:lang w:val="en-GB"/>
        </w:rPr>
        <w:t xml:space="preserve">selected in </w:t>
      </w:r>
      <w:r w:rsidR="00347D3B">
        <w:rPr>
          <w:lang w:val="en-GB"/>
        </w:rPr>
        <w:t xml:space="preserve">the previous chapter (see </w:t>
      </w:r>
      <w:r w:rsidR="009C7EAC">
        <w:rPr>
          <w:lang w:val="en-GB"/>
        </w:rPr>
        <w:t xml:space="preserve">section </w:t>
      </w:r>
      <w:r w:rsidR="009C7EAC">
        <w:rPr>
          <w:lang w:val="en-GB"/>
        </w:rPr>
        <w:fldChar w:fldCharType="begin"/>
      </w:r>
      <w:r w:rsidR="009C7EAC">
        <w:rPr>
          <w:lang w:val="en-GB"/>
        </w:rPr>
        <w:instrText xml:space="preserve"> REF _Ref138058953 \r \h </w:instrText>
      </w:r>
      <w:r w:rsidR="009C7EAC">
        <w:rPr>
          <w:lang w:val="en-GB"/>
        </w:rPr>
      </w:r>
      <w:r w:rsidR="009C7EAC">
        <w:rPr>
          <w:lang w:val="en-GB"/>
        </w:rPr>
        <w:fldChar w:fldCharType="separate"/>
      </w:r>
      <w:r w:rsidR="009C7EAC">
        <w:rPr>
          <w:lang w:val="en-GB"/>
        </w:rPr>
        <w:t>2.2</w:t>
      </w:r>
      <w:r w:rsidR="009C7EAC">
        <w:rPr>
          <w:lang w:val="en-GB"/>
        </w:rPr>
        <w:fldChar w:fldCharType="end"/>
      </w:r>
      <w:r w:rsidR="00347D3B">
        <w:rPr>
          <w:lang w:val="en-GB"/>
        </w:rPr>
        <w:t>)</w:t>
      </w:r>
      <w:r w:rsidR="009C7EAC">
        <w:rPr>
          <w:lang w:val="en-GB"/>
        </w:rPr>
        <w:t xml:space="preserve">. The assessment of </w:t>
      </w:r>
      <w:r w:rsidR="00CC0B43">
        <w:rPr>
          <w:lang w:val="en-GB"/>
        </w:rPr>
        <w:t xml:space="preserve">each </w:t>
      </w:r>
      <w:r w:rsidR="009C7EAC">
        <w:rPr>
          <w:lang w:val="en-GB"/>
        </w:rPr>
        <w:t xml:space="preserve">risk </w:t>
      </w:r>
      <w:r w:rsidR="00490E9D">
        <w:rPr>
          <w:lang w:val="en-GB"/>
        </w:rPr>
        <w:t>is structured a</w:t>
      </w:r>
      <w:r w:rsidR="006A7F58">
        <w:rPr>
          <w:lang w:val="en-GB"/>
        </w:rPr>
        <w:t>s follows:</w:t>
      </w:r>
    </w:p>
    <w:p w14:paraId="2B3B10C1" w14:textId="78239B23" w:rsidR="006A7F58" w:rsidRPr="006A7F58" w:rsidRDefault="006A7F58" w:rsidP="006A7F58">
      <w:pPr>
        <w:pStyle w:val="Lijstalinea"/>
        <w:numPr>
          <w:ilvl w:val="0"/>
          <w:numId w:val="38"/>
        </w:numPr>
      </w:pPr>
      <w:r w:rsidRPr="006A7F58">
        <w:rPr>
          <w:b/>
          <w:bCs/>
        </w:rPr>
        <w:t>Description of the risk</w:t>
      </w:r>
      <w:r w:rsidRPr="006A7F58">
        <w:t>, covering the Baltic Regional Gas Market</w:t>
      </w:r>
      <w:r>
        <w:t xml:space="preserve"> and </w:t>
      </w:r>
      <w:r w:rsidR="000E6E22">
        <w:t>presenting the underlying/root causes of the risk as well as the different channels through which the risk could impact the decarbonisation of the gas system</w:t>
      </w:r>
      <w:r w:rsidR="00213153">
        <w:t>;</w:t>
      </w:r>
    </w:p>
    <w:p w14:paraId="35765D00" w14:textId="43410EE6" w:rsidR="000E6E22" w:rsidRPr="006A7F58" w:rsidRDefault="00AB17A7" w:rsidP="006A7F58">
      <w:pPr>
        <w:pStyle w:val="Lijstalinea"/>
        <w:numPr>
          <w:ilvl w:val="0"/>
          <w:numId w:val="38"/>
        </w:numPr>
      </w:pPr>
      <w:r>
        <w:rPr>
          <w:b/>
          <w:bCs/>
        </w:rPr>
        <w:t>Rating</w:t>
      </w:r>
      <w:r w:rsidR="000E6E22" w:rsidRPr="000E6E22">
        <w:rPr>
          <w:b/>
          <w:bCs/>
        </w:rPr>
        <w:t xml:space="preserve"> of the risk</w:t>
      </w:r>
      <w:r w:rsidR="000E6E22" w:rsidRPr="000E6E22">
        <w:t xml:space="preserve"> </w:t>
      </w:r>
      <w:r w:rsidR="000E6E22">
        <w:t xml:space="preserve">according to </w:t>
      </w:r>
      <w:r w:rsidR="000E6E22" w:rsidRPr="000E6E22">
        <w:t>likelihood</w:t>
      </w:r>
      <w:r w:rsidR="00BB273A">
        <w:t xml:space="preserve">, </w:t>
      </w:r>
      <w:r w:rsidR="000E6E22" w:rsidRPr="000E6E22">
        <w:t>severity</w:t>
      </w:r>
      <w:r w:rsidR="00BB273A">
        <w:t xml:space="preserve">, applicable scenarios and </w:t>
      </w:r>
      <w:r w:rsidR="003F2E3B">
        <w:t>eventual differences between the Baltic Regional Gas Market countries</w:t>
      </w:r>
      <w:r w:rsidR="00213153">
        <w:t>;</w:t>
      </w:r>
    </w:p>
    <w:p w14:paraId="5F3274A7" w14:textId="090391BE" w:rsidR="00213153" w:rsidRDefault="00213153" w:rsidP="006A7F58">
      <w:pPr>
        <w:pStyle w:val="Lijstalinea"/>
        <w:numPr>
          <w:ilvl w:val="0"/>
          <w:numId w:val="38"/>
        </w:numPr>
      </w:pPr>
      <w:r>
        <w:rPr>
          <w:b/>
          <w:bCs/>
        </w:rPr>
        <w:t xml:space="preserve">Identification of mitigation measures </w:t>
      </w:r>
      <w:r>
        <w:t>which could be employed to reduce the risk likelihood and/or severity.</w:t>
      </w:r>
    </w:p>
    <w:p w14:paraId="23A701D2" w14:textId="77777777" w:rsidR="003F2E3B" w:rsidRPr="00213153" w:rsidRDefault="003F2E3B" w:rsidP="003F2E3B">
      <w:pPr>
        <w:rPr>
          <w:lang w:val="en-GB"/>
        </w:rPr>
      </w:pPr>
    </w:p>
    <w:p w14:paraId="1FBE136D" w14:textId="36C21D79" w:rsidR="003F2E3B" w:rsidRDefault="00213153" w:rsidP="003F2E3B">
      <w:pPr>
        <w:rPr>
          <w:lang w:val="en-GB"/>
        </w:rPr>
      </w:pPr>
      <w:r>
        <w:rPr>
          <w:lang w:val="en-GB"/>
        </w:rPr>
        <w:t xml:space="preserve">To guide </w:t>
      </w:r>
      <w:r w:rsidRPr="00213153">
        <w:rPr>
          <w:lang w:val="en-GB"/>
        </w:rPr>
        <w:t xml:space="preserve">the </w:t>
      </w:r>
      <w:r w:rsidR="00AB17A7">
        <w:rPr>
          <w:b/>
          <w:bCs/>
          <w:lang w:val="en-GB"/>
        </w:rPr>
        <w:t>rating</w:t>
      </w:r>
      <w:r w:rsidRPr="00213153">
        <w:rPr>
          <w:b/>
          <w:bCs/>
          <w:lang w:val="en-GB"/>
        </w:rPr>
        <w:t xml:space="preserve"> of the risk severity</w:t>
      </w:r>
      <w:r>
        <w:rPr>
          <w:lang w:val="en-GB"/>
        </w:rPr>
        <w:t>, the following scale is employed:</w:t>
      </w:r>
    </w:p>
    <w:p w14:paraId="04FBA9C1" w14:textId="2E97C9C9" w:rsidR="00213153" w:rsidRDefault="00213153" w:rsidP="00213153">
      <w:pPr>
        <w:pStyle w:val="Lijstalinea"/>
        <w:numPr>
          <w:ilvl w:val="0"/>
          <w:numId w:val="14"/>
        </w:numPr>
      </w:pPr>
      <w:r w:rsidRPr="00213153">
        <w:rPr>
          <w:b/>
          <w:bCs/>
          <w:color w:val="76A9A6" w:themeColor="accent3" w:themeShade="BF"/>
        </w:rPr>
        <w:t>Low severity</w:t>
      </w:r>
      <w:r>
        <w:t>: would increase the cost of/hinder decarbonisation, but not beyond the capacity to pay of the countries/stakeholders and/or alternatives are available</w:t>
      </w:r>
    </w:p>
    <w:p w14:paraId="45ABFD65" w14:textId="70CD2D7B" w:rsidR="00213153" w:rsidRDefault="00213153" w:rsidP="00213153">
      <w:pPr>
        <w:pStyle w:val="Lijstalinea"/>
        <w:numPr>
          <w:ilvl w:val="0"/>
          <w:numId w:val="14"/>
        </w:numPr>
      </w:pPr>
      <w:r w:rsidRPr="00213153">
        <w:rPr>
          <w:b/>
          <w:bCs/>
          <w:color w:val="D29000" w:themeColor="accent4" w:themeShade="80"/>
        </w:rPr>
        <w:t>Medium severity</w:t>
      </w:r>
      <w:r>
        <w:t xml:space="preserve">: would compromise the achievement of the decarbonisation goals but </w:t>
      </w:r>
      <w:r w:rsidRPr="00163523">
        <w:t>alternative</w:t>
      </w:r>
      <w:r w:rsidR="00163523">
        <w:t>s</w:t>
      </w:r>
      <w:r>
        <w:t xml:space="preserve"> are available, or would increase the cost of the transition</w:t>
      </w:r>
    </w:p>
    <w:p w14:paraId="7224F2F1" w14:textId="53F941B0" w:rsidR="00213153" w:rsidRDefault="00213153" w:rsidP="00213153">
      <w:pPr>
        <w:pStyle w:val="Lijstalinea"/>
        <w:numPr>
          <w:ilvl w:val="0"/>
          <w:numId w:val="14"/>
        </w:numPr>
      </w:pPr>
      <w:r w:rsidRPr="00213153">
        <w:rPr>
          <w:b/>
          <w:bCs/>
          <w:color w:val="C92B0E" w:themeColor="accent2" w:themeShade="BF"/>
        </w:rPr>
        <w:t>High severity</w:t>
      </w:r>
      <w:r>
        <w:t>: would significantly compromise the achievement of decarbonisation goals and it is probable there are no alternatives to compensate</w:t>
      </w:r>
    </w:p>
    <w:p w14:paraId="05CCC021" w14:textId="77777777" w:rsidR="00213153" w:rsidRPr="00213153" w:rsidRDefault="00213153" w:rsidP="003F2E3B">
      <w:pPr>
        <w:rPr>
          <w:lang w:val="en-GB"/>
        </w:rPr>
      </w:pPr>
    </w:p>
    <w:p w14:paraId="43914262" w14:textId="6B3B8517" w:rsidR="00213153" w:rsidRDefault="00213153" w:rsidP="00213153">
      <w:pPr>
        <w:rPr>
          <w:lang w:val="en-GB"/>
        </w:rPr>
      </w:pPr>
      <w:r>
        <w:rPr>
          <w:lang w:val="en-GB"/>
        </w:rPr>
        <w:t xml:space="preserve">To guide </w:t>
      </w:r>
      <w:r w:rsidRPr="00213153">
        <w:rPr>
          <w:lang w:val="en-GB"/>
        </w:rPr>
        <w:t xml:space="preserve">the </w:t>
      </w:r>
      <w:r w:rsidRPr="00213153">
        <w:rPr>
          <w:b/>
          <w:bCs/>
          <w:lang w:val="en-GB"/>
        </w:rPr>
        <w:t xml:space="preserve">ranking of the risk </w:t>
      </w:r>
      <w:r>
        <w:rPr>
          <w:b/>
          <w:bCs/>
          <w:lang w:val="en-GB"/>
        </w:rPr>
        <w:t>likelihood</w:t>
      </w:r>
      <w:r>
        <w:rPr>
          <w:lang w:val="en-GB"/>
        </w:rPr>
        <w:t>, the following scale is employed:</w:t>
      </w:r>
    </w:p>
    <w:p w14:paraId="159517F1" w14:textId="414415E5" w:rsidR="00213153" w:rsidRDefault="00213153" w:rsidP="00213153">
      <w:pPr>
        <w:pStyle w:val="Lijstalinea"/>
        <w:numPr>
          <w:ilvl w:val="0"/>
          <w:numId w:val="14"/>
        </w:numPr>
      </w:pPr>
      <w:r w:rsidRPr="00213153">
        <w:rPr>
          <w:b/>
          <w:bCs/>
          <w:color w:val="76A9A6" w:themeColor="accent3" w:themeShade="BF"/>
        </w:rPr>
        <w:t>Low severity</w:t>
      </w:r>
      <w:r>
        <w:t>: More likely than not that the risk will not occur</w:t>
      </w:r>
    </w:p>
    <w:p w14:paraId="23709A75" w14:textId="77777777" w:rsidR="00213153" w:rsidRDefault="00213153" w:rsidP="00213153">
      <w:pPr>
        <w:pStyle w:val="Lijstalinea"/>
        <w:numPr>
          <w:ilvl w:val="0"/>
          <w:numId w:val="14"/>
        </w:numPr>
      </w:pPr>
      <w:r w:rsidRPr="00213153">
        <w:rPr>
          <w:b/>
          <w:bCs/>
          <w:color w:val="D29000" w:themeColor="accent4" w:themeShade="80"/>
        </w:rPr>
        <w:t>Medium severity</w:t>
      </w:r>
      <w:r>
        <w:t>: More likely than not to occur at least once in study horizon (up to 2050)</w:t>
      </w:r>
    </w:p>
    <w:p w14:paraId="4F228D6E" w14:textId="77777777" w:rsidR="00213153" w:rsidRDefault="00213153" w:rsidP="00213153">
      <w:pPr>
        <w:pStyle w:val="Lijstalinea"/>
        <w:numPr>
          <w:ilvl w:val="0"/>
          <w:numId w:val="14"/>
        </w:numPr>
      </w:pPr>
      <w:r w:rsidRPr="00213153">
        <w:rPr>
          <w:b/>
          <w:bCs/>
          <w:color w:val="C92B0E" w:themeColor="accent2" w:themeShade="BF"/>
        </w:rPr>
        <w:t>High severity</w:t>
      </w:r>
      <w:r>
        <w:t>: More likely than not to occur multiple times in study horizon (up to 2050)</w:t>
      </w:r>
    </w:p>
    <w:p w14:paraId="143CB84F" w14:textId="77777777" w:rsidR="0013153F" w:rsidRPr="00213153" w:rsidRDefault="0013153F" w:rsidP="0013153F">
      <w:pPr>
        <w:rPr>
          <w:lang w:val="en-GB"/>
        </w:rPr>
      </w:pPr>
    </w:p>
    <w:p w14:paraId="7B5D4A76" w14:textId="2AE0E47F" w:rsidR="007D61EA" w:rsidRDefault="007D61EA" w:rsidP="001A3CCD">
      <w:pPr>
        <w:pStyle w:val="Kop2"/>
      </w:pPr>
      <w:bookmarkStart w:id="29" w:name="_Ref137116815"/>
      <w:bookmarkStart w:id="30" w:name="_Ref137116818"/>
      <w:bookmarkStart w:id="31" w:name="_Ref137116827"/>
      <w:bookmarkStart w:id="32" w:name="_Ref137116901"/>
      <w:bookmarkStart w:id="33" w:name="_Ref137116905"/>
      <w:bookmarkStart w:id="34" w:name="_Ref137116908"/>
      <w:bookmarkStart w:id="35" w:name="_Toc138492600"/>
      <w:bookmarkStart w:id="36" w:name="_Hlk138344376"/>
      <w:bookmarkStart w:id="37" w:name="_Toc144803007"/>
      <w:r>
        <w:t xml:space="preserve">Risk </w:t>
      </w:r>
      <w:r w:rsidR="00560B9B">
        <w:t xml:space="preserve">1: </w:t>
      </w:r>
      <w:r w:rsidR="00560B9B" w:rsidRPr="00560B9B">
        <w:t xml:space="preserve">Economic </w:t>
      </w:r>
      <w:r w:rsidR="00814CF2">
        <w:t>turndown</w:t>
      </w:r>
      <w:r w:rsidR="00560B9B" w:rsidRPr="00560B9B">
        <w:t xml:space="preserve"> </w:t>
      </w:r>
      <w:r w:rsidR="00BE265C">
        <w:t xml:space="preserve">and instability </w:t>
      </w:r>
      <w:r w:rsidR="00560B9B" w:rsidRPr="00560B9B">
        <w:t xml:space="preserve">can limit ability of </w:t>
      </w:r>
      <w:r w:rsidR="00B56F88">
        <w:t xml:space="preserve">local </w:t>
      </w:r>
      <w:r w:rsidR="00560B9B" w:rsidRPr="00560B9B">
        <w:t xml:space="preserve">gas </w:t>
      </w:r>
      <w:r w:rsidR="00814CF2">
        <w:t xml:space="preserve">producers, </w:t>
      </w:r>
      <w:r w:rsidR="00560B9B" w:rsidRPr="00560B9B">
        <w:t xml:space="preserve">users, </w:t>
      </w:r>
      <w:r w:rsidR="00077A81">
        <w:t>network</w:t>
      </w:r>
      <w:r w:rsidR="00560B9B" w:rsidRPr="00560B9B">
        <w:t xml:space="preserve"> operators and </w:t>
      </w:r>
      <w:r w:rsidR="00F96EE3">
        <w:t>authorities</w:t>
      </w:r>
      <w:r w:rsidR="00560B9B" w:rsidRPr="00560B9B">
        <w:t xml:space="preserve"> to invest in decarbonisation measures</w:t>
      </w:r>
      <w:bookmarkEnd w:id="29"/>
      <w:bookmarkEnd w:id="30"/>
      <w:bookmarkEnd w:id="31"/>
      <w:bookmarkEnd w:id="32"/>
      <w:bookmarkEnd w:id="33"/>
      <w:bookmarkEnd w:id="34"/>
      <w:bookmarkEnd w:id="35"/>
      <w:bookmarkEnd w:id="37"/>
    </w:p>
    <w:p w14:paraId="44FE8BF9" w14:textId="2FF4BC64" w:rsidR="007D61EA" w:rsidRPr="00163523" w:rsidRDefault="00A966B3" w:rsidP="00EF0209">
      <w:pPr>
        <w:pStyle w:val="Kop4"/>
        <w:rPr>
          <w:lang w:val="en-GB"/>
        </w:rPr>
      </w:pPr>
      <w:r>
        <w:rPr>
          <w:lang w:val="en-GB"/>
        </w:rPr>
        <w:t>D</w:t>
      </w:r>
      <w:r w:rsidR="007D61EA" w:rsidRPr="00163523">
        <w:rPr>
          <w:lang w:val="en-GB"/>
        </w:rPr>
        <w:t xml:space="preserve">escription of the risk, </w:t>
      </w:r>
      <w:r w:rsidR="00803ADE" w:rsidRPr="00163523">
        <w:rPr>
          <w:lang w:val="en-GB"/>
        </w:rPr>
        <w:t>covering the Baltic Regional Gas Market</w:t>
      </w:r>
    </w:p>
    <w:p w14:paraId="5A1765E5" w14:textId="3CCCFF98" w:rsidR="002B46E9" w:rsidRPr="00163523" w:rsidRDefault="002E3661" w:rsidP="002B46E9">
      <w:pPr>
        <w:rPr>
          <w:lang w:val="en-GB"/>
        </w:rPr>
      </w:pPr>
      <w:r w:rsidRPr="00163523">
        <w:rPr>
          <w:lang w:val="en-GB"/>
        </w:rPr>
        <w:t>The d</w:t>
      </w:r>
      <w:r w:rsidR="002B46E9" w:rsidRPr="00163523">
        <w:rPr>
          <w:lang w:val="en-GB"/>
        </w:rPr>
        <w:t xml:space="preserve">ecarbonization of the gas sector will require unprecedented large-scale investments in technological innovations and clean energy. Economic recessions </w:t>
      </w:r>
      <w:r w:rsidR="00EB63FB" w:rsidRPr="00163523">
        <w:rPr>
          <w:lang w:val="en-GB"/>
        </w:rPr>
        <w:t xml:space="preserve">and instabilities </w:t>
      </w:r>
      <w:r w:rsidR="002B46E9" w:rsidRPr="00163523">
        <w:rPr>
          <w:lang w:val="en-GB"/>
        </w:rPr>
        <w:t xml:space="preserve">can however limit the ability of economic </w:t>
      </w:r>
      <w:proofErr w:type="spellStart"/>
      <w:r w:rsidR="009760FB" w:rsidRPr="00163523">
        <w:rPr>
          <w:lang w:val="en-GB"/>
        </w:rPr>
        <w:t>actors</w:t>
      </w:r>
      <w:proofErr w:type="spellEnd"/>
      <w:r w:rsidR="002B46E9" w:rsidRPr="00163523">
        <w:rPr>
          <w:lang w:val="en-GB"/>
        </w:rPr>
        <w:t xml:space="preserve"> such as </w:t>
      </w:r>
      <w:r w:rsidR="008961D7" w:rsidRPr="00163523">
        <w:rPr>
          <w:lang w:val="en-GB"/>
        </w:rPr>
        <w:t xml:space="preserve">domestic </w:t>
      </w:r>
      <w:r w:rsidR="002B46E9" w:rsidRPr="00163523">
        <w:rPr>
          <w:lang w:val="en-GB"/>
        </w:rPr>
        <w:t xml:space="preserve">gas producers, gas users, network operators and </w:t>
      </w:r>
      <w:r w:rsidR="008961D7" w:rsidRPr="00163523">
        <w:rPr>
          <w:lang w:val="en-GB"/>
        </w:rPr>
        <w:t xml:space="preserve">national and local </w:t>
      </w:r>
      <w:r w:rsidR="002B46E9" w:rsidRPr="00163523">
        <w:rPr>
          <w:lang w:val="en-GB"/>
        </w:rPr>
        <w:t>authorities to invest in decarbonization measures.</w:t>
      </w:r>
    </w:p>
    <w:p w14:paraId="4EACF235" w14:textId="77777777" w:rsidR="002B46E9" w:rsidRPr="00163523" w:rsidRDefault="002B46E9" w:rsidP="002B46E9">
      <w:pPr>
        <w:rPr>
          <w:lang w:val="en-GB"/>
        </w:rPr>
      </w:pPr>
    </w:p>
    <w:p w14:paraId="5BD4CA4C" w14:textId="40299A98" w:rsidR="002B46E9" w:rsidRPr="00163523" w:rsidRDefault="00C13AB0" w:rsidP="002B46E9">
      <w:pPr>
        <w:rPr>
          <w:lang w:val="en-GB"/>
        </w:rPr>
      </w:pPr>
      <w:r w:rsidRPr="00163523">
        <w:rPr>
          <w:lang w:val="en-GB"/>
        </w:rPr>
        <w:t>In the past three years, t</w:t>
      </w:r>
      <w:r w:rsidR="002B46E9" w:rsidRPr="00163523">
        <w:rPr>
          <w:lang w:val="en-GB"/>
        </w:rPr>
        <w:t>he global economy has faced severe adverse shocks. The outbreak of Covid-19 in 2020 has caused a large global economic crisis, characterized by amongst others, a reduction in new investments due to the implementation of lockdown measures as well as high uncertainty regarding the economic outlook.</w:t>
      </w:r>
      <w:r w:rsidR="00D07EB3" w:rsidRPr="00163523">
        <w:rPr>
          <w:rStyle w:val="Voetnootmarkering"/>
          <w:lang w:val="en-GB"/>
        </w:rPr>
        <w:footnoteReference w:id="12"/>
      </w:r>
      <w:r w:rsidR="002B46E9" w:rsidRPr="00163523">
        <w:rPr>
          <w:lang w:val="en-GB"/>
        </w:rPr>
        <w:t xml:space="preserve"> </w:t>
      </w:r>
    </w:p>
    <w:p w14:paraId="0D61A6CB" w14:textId="77777777" w:rsidR="002B46E9" w:rsidRPr="00163523" w:rsidRDefault="002B46E9" w:rsidP="002B46E9">
      <w:pPr>
        <w:rPr>
          <w:lang w:val="en-GB"/>
        </w:rPr>
      </w:pPr>
    </w:p>
    <w:p w14:paraId="764883C6" w14:textId="1C84A309" w:rsidR="002B46E9" w:rsidRPr="00163523" w:rsidRDefault="002B46E9" w:rsidP="002B46E9">
      <w:pPr>
        <w:rPr>
          <w:lang w:val="en-GB"/>
        </w:rPr>
      </w:pPr>
      <w:r w:rsidRPr="00163523">
        <w:rPr>
          <w:lang w:val="en-GB"/>
        </w:rPr>
        <w:t>In 2022, the Russian invasion of Ukraine and the associated ongoing war triggered severe commodity and energy price shocks as well as trade disruptions.</w:t>
      </w:r>
      <w:r w:rsidR="00D07EB3" w:rsidRPr="00163523">
        <w:rPr>
          <w:rStyle w:val="Voetnootmarkering"/>
          <w:lang w:val="en-GB"/>
        </w:rPr>
        <w:footnoteReference w:id="13"/>
      </w:r>
      <w:r w:rsidRPr="00163523">
        <w:rPr>
          <w:lang w:val="en-GB"/>
        </w:rPr>
        <w:t xml:space="preserve"> The unprecedented increases in fossil fuel prices paved the way for a global energy crisis.</w:t>
      </w:r>
      <w:r w:rsidR="001D2B56" w:rsidRPr="00163523">
        <w:rPr>
          <w:rStyle w:val="Voetnootmarkering"/>
          <w:lang w:val="en-GB"/>
        </w:rPr>
        <w:footnoteReference w:id="14"/>
      </w:r>
      <w:r w:rsidRPr="00163523">
        <w:rPr>
          <w:lang w:val="en-GB"/>
        </w:rPr>
        <w:t xml:space="preserve"> While high energy prices have pushed European consumers to </w:t>
      </w:r>
      <w:r w:rsidRPr="00163523">
        <w:rPr>
          <w:lang w:val="en-GB"/>
        </w:rPr>
        <w:lastRenderedPageBreak/>
        <w:t xml:space="preserve">cut gas demand and contributed to the acceleration of the transition towards renewable energy, a transition that is driven by high and volatile fossil fuel prices is likely to present certain challenges. </w:t>
      </w:r>
      <w:r w:rsidR="003C1005" w:rsidRPr="00163523">
        <w:rPr>
          <w:lang w:val="en-GB"/>
        </w:rPr>
        <w:t>A</w:t>
      </w:r>
      <w:r w:rsidR="004B51BD" w:rsidRPr="00163523">
        <w:rPr>
          <w:lang w:val="en-GB"/>
        </w:rPr>
        <w:t>s indicated by t</w:t>
      </w:r>
      <w:r w:rsidRPr="00163523">
        <w:rPr>
          <w:lang w:val="en-GB"/>
        </w:rPr>
        <w:t xml:space="preserve">he European Investment Bank (2022) </w:t>
      </w:r>
      <w:r w:rsidR="00555E83" w:rsidRPr="00163523">
        <w:rPr>
          <w:lang w:val="en-GB"/>
        </w:rPr>
        <w:t>volatile fossil fuel prices are likely to increase the cost of capital. This may lead to dela</w:t>
      </w:r>
      <w:r w:rsidR="00A77E7A" w:rsidRPr="00163523">
        <w:rPr>
          <w:lang w:val="en-GB"/>
        </w:rPr>
        <w:t>y</w:t>
      </w:r>
      <w:r w:rsidR="00B12F8F" w:rsidRPr="00163523">
        <w:rPr>
          <w:lang w:val="en-GB"/>
        </w:rPr>
        <w:t>ed</w:t>
      </w:r>
      <w:r w:rsidR="00555E83" w:rsidRPr="00163523">
        <w:rPr>
          <w:lang w:val="en-GB"/>
        </w:rPr>
        <w:t xml:space="preserve"> investments in (clean) energy projects</w:t>
      </w:r>
      <w:r w:rsidR="00670C62" w:rsidRPr="00163523">
        <w:rPr>
          <w:lang w:val="en-GB"/>
        </w:rPr>
        <w:t xml:space="preserve"> at the supply side</w:t>
      </w:r>
      <w:r w:rsidR="003C1005" w:rsidRPr="00163523">
        <w:rPr>
          <w:lang w:val="en-GB"/>
        </w:rPr>
        <w:t>.</w:t>
      </w:r>
      <w:r w:rsidR="003C1005" w:rsidRPr="00163523">
        <w:rPr>
          <w:rStyle w:val="Voetnootmarkering"/>
          <w:lang w:val="en-GB"/>
        </w:rPr>
        <w:footnoteReference w:id="15"/>
      </w:r>
      <w:r w:rsidRPr="00163523">
        <w:rPr>
          <w:lang w:val="en-GB"/>
        </w:rPr>
        <w:t xml:space="preserve"> In addition, high energy bills limit the ability of citizens and businesses to invest into decarbonization measures</w:t>
      </w:r>
      <w:r w:rsidR="00670C62" w:rsidRPr="00163523">
        <w:rPr>
          <w:lang w:val="en-GB"/>
        </w:rPr>
        <w:t xml:space="preserve"> </w:t>
      </w:r>
      <w:r w:rsidR="00BB14EB" w:rsidRPr="00163523">
        <w:rPr>
          <w:lang w:val="en-GB"/>
        </w:rPr>
        <w:t>on</w:t>
      </w:r>
      <w:r w:rsidR="00670C62" w:rsidRPr="00163523">
        <w:rPr>
          <w:lang w:val="en-GB"/>
        </w:rPr>
        <w:t xml:space="preserve"> the demand side</w:t>
      </w:r>
      <w:r w:rsidRPr="00163523">
        <w:rPr>
          <w:lang w:val="en-GB"/>
        </w:rPr>
        <w:t xml:space="preserve">. </w:t>
      </w:r>
    </w:p>
    <w:p w14:paraId="56F42E73" w14:textId="77777777" w:rsidR="002B46E9" w:rsidRPr="00163523" w:rsidRDefault="002B46E9" w:rsidP="002B46E9">
      <w:pPr>
        <w:rPr>
          <w:lang w:val="en-GB"/>
        </w:rPr>
      </w:pPr>
    </w:p>
    <w:p w14:paraId="70A6E4CA" w14:textId="266AD49C" w:rsidR="002B46E9" w:rsidRPr="00163523" w:rsidRDefault="002B46E9" w:rsidP="002B46E9">
      <w:pPr>
        <w:rPr>
          <w:lang w:val="en-GB"/>
        </w:rPr>
      </w:pPr>
      <w:r w:rsidRPr="00163523">
        <w:rPr>
          <w:lang w:val="en-GB"/>
        </w:rPr>
        <w:t>Although energy prices have been slowly decreasing since the beginning of 2023, the global economy is still going through a period of great uncertainty which is a consequence of the cumulative effects of the past three years’ negative shocks manifesting themselves in unexpected ways.</w:t>
      </w:r>
      <w:r w:rsidR="008B3944" w:rsidRPr="00163523">
        <w:rPr>
          <w:rStyle w:val="Voetnootmarkering"/>
          <w:lang w:val="en-GB"/>
        </w:rPr>
        <w:footnoteReference w:id="16"/>
      </w:r>
      <w:r w:rsidRPr="00163523">
        <w:rPr>
          <w:lang w:val="en-GB"/>
        </w:rPr>
        <w:t xml:space="preserve"> </w:t>
      </w:r>
      <w:r w:rsidR="00454E65" w:rsidRPr="00163523">
        <w:rPr>
          <w:lang w:val="en-GB"/>
        </w:rPr>
        <w:t>The i</w:t>
      </w:r>
      <w:r w:rsidRPr="00163523">
        <w:rPr>
          <w:lang w:val="en-GB"/>
        </w:rPr>
        <w:t xml:space="preserve">nflation has reached </w:t>
      </w:r>
      <w:r w:rsidR="00501235" w:rsidRPr="00163523">
        <w:rPr>
          <w:lang w:val="en-GB"/>
        </w:rPr>
        <w:t xml:space="preserve">a </w:t>
      </w:r>
      <w:r w:rsidRPr="00163523">
        <w:rPr>
          <w:lang w:val="en-GB"/>
        </w:rPr>
        <w:t>peak</w:t>
      </w:r>
      <w:r w:rsidR="00454E65" w:rsidRPr="00163523">
        <w:rPr>
          <w:lang w:val="en-GB"/>
        </w:rPr>
        <w:t xml:space="preserve"> level,</w:t>
      </w:r>
      <w:r w:rsidR="00DE1F76" w:rsidRPr="00163523">
        <w:rPr>
          <w:rStyle w:val="Voetnootmarkering"/>
          <w:lang w:val="en-GB"/>
        </w:rPr>
        <w:footnoteReference w:id="17"/>
      </w:r>
      <w:r w:rsidR="00454E65" w:rsidRPr="00163523">
        <w:rPr>
          <w:lang w:val="en-GB"/>
        </w:rPr>
        <w:t xml:space="preserve"> which</w:t>
      </w:r>
      <w:r w:rsidRPr="00163523">
        <w:rPr>
          <w:lang w:val="en-GB"/>
        </w:rPr>
        <w:t xml:space="preserve"> has led central banks to use tightening monetary policy in order to bring it back towards their targets. However, as stated by the European Central Bank (2023), high interest rates (and hence increased cost of capital) make renewable energy less competitive in comparison with fossil-fuel based power plants which have lower upfront costs</w:t>
      </w:r>
      <w:r w:rsidR="00F43395" w:rsidRPr="00163523">
        <w:rPr>
          <w:lang w:val="en-GB"/>
        </w:rPr>
        <w:t xml:space="preserve"> and are less </w:t>
      </w:r>
      <w:r w:rsidR="00D41547" w:rsidRPr="00163523">
        <w:rPr>
          <w:lang w:val="en-GB"/>
        </w:rPr>
        <w:t>capex-intensive</w:t>
      </w:r>
      <w:r w:rsidRPr="00163523">
        <w:rPr>
          <w:lang w:val="en-GB"/>
        </w:rPr>
        <w:t>. This discourages economic actors to invest in renewable and low-carbon energy. On the other hand, if rising inflation is not contained</w:t>
      </w:r>
      <w:r w:rsidR="00270185" w:rsidRPr="00163523">
        <w:rPr>
          <w:lang w:val="en-GB"/>
        </w:rPr>
        <w:t xml:space="preserve"> by tightening monetary policy and remains high</w:t>
      </w:r>
      <w:r w:rsidRPr="00163523">
        <w:rPr>
          <w:lang w:val="en-GB"/>
        </w:rPr>
        <w:t xml:space="preserve">, there is a risk </w:t>
      </w:r>
      <w:r w:rsidR="005907E0" w:rsidRPr="00163523">
        <w:rPr>
          <w:lang w:val="en-GB"/>
        </w:rPr>
        <w:t xml:space="preserve">of </w:t>
      </w:r>
      <w:r w:rsidRPr="00163523">
        <w:rPr>
          <w:lang w:val="en-GB"/>
        </w:rPr>
        <w:t>decrease</w:t>
      </w:r>
      <w:r w:rsidR="005907E0" w:rsidRPr="00163523">
        <w:rPr>
          <w:lang w:val="en-GB"/>
        </w:rPr>
        <w:t>d</w:t>
      </w:r>
      <w:r w:rsidRPr="00163523">
        <w:rPr>
          <w:lang w:val="en-GB"/>
        </w:rPr>
        <w:t xml:space="preserve"> willingness of economic actors to invest as inflation acts as a tax on investments.</w:t>
      </w:r>
      <w:r w:rsidR="00AB0A36" w:rsidRPr="00163523">
        <w:rPr>
          <w:rStyle w:val="Voetnootmarkering"/>
          <w:lang w:val="en-GB"/>
        </w:rPr>
        <w:footnoteReference w:id="18"/>
      </w:r>
    </w:p>
    <w:p w14:paraId="4DA4129E" w14:textId="77777777" w:rsidR="002B46E9" w:rsidRPr="00163523" w:rsidRDefault="002B46E9" w:rsidP="002B46E9">
      <w:pPr>
        <w:rPr>
          <w:lang w:val="en-GB"/>
        </w:rPr>
      </w:pPr>
    </w:p>
    <w:p w14:paraId="2A6B0D58" w14:textId="01F00403" w:rsidR="002B46E9" w:rsidRPr="00163523" w:rsidRDefault="002B46E9" w:rsidP="002B46E9">
      <w:pPr>
        <w:rPr>
          <w:lang w:val="en-GB"/>
        </w:rPr>
      </w:pPr>
      <w:r w:rsidRPr="00163523">
        <w:rPr>
          <w:lang w:val="en-GB"/>
        </w:rPr>
        <w:t>The IMF World Economic Outlook 2023 indicates that it is becoming increasingly unlikely for the global economy to return to the pace of economic growth that prevailed before the above mentioned series of shocks.</w:t>
      </w:r>
      <w:r w:rsidRPr="00163523">
        <w:rPr>
          <w:rStyle w:val="Voetnootmarkering"/>
          <w:lang w:val="en-GB"/>
        </w:rPr>
        <w:footnoteReference w:id="19"/>
      </w:r>
      <w:r w:rsidRPr="00163523">
        <w:rPr>
          <w:lang w:val="en-GB"/>
        </w:rPr>
        <w:t xml:space="preserve"> Many economies are still recovering from the consequences of the Covid-19 pandemic and the Russian invasion of Ukraine. Their recovery is nevertheless hindered by the recent financial tightening. The Outlook states that the prospects for growth are less likely than in the past decades. In addition, with more frequent natural disasters and a continued dependency on limited resources (e.g. fossil fuels</w:t>
      </w:r>
      <w:r w:rsidR="002B5E2E" w:rsidRPr="00163523">
        <w:rPr>
          <w:lang w:val="en-GB"/>
        </w:rPr>
        <w:t xml:space="preserve"> and energy technologies</w:t>
      </w:r>
      <w:r w:rsidRPr="00163523">
        <w:rPr>
          <w:lang w:val="en-GB"/>
        </w:rPr>
        <w:t>), our economies will remain exposed to the risks of persistent inflationary pressures</w:t>
      </w:r>
      <w:r w:rsidR="002E4881" w:rsidRPr="00163523">
        <w:rPr>
          <w:lang w:val="en-GB"/>
        </w:rPr>
        <w:t xml:space="preserve"> and economic </w:t>
      </w:r>
      <w:r w:rsidR="002D752E" w:rsidRPr="00163523">
        <w:rPr>
          <w:lang w:val="en-GB"/>
        </w:rPr>
        <w:t>shocks</w:t>
      </w:r>
      <w:r w:rsidRPr="00163523">
        <w:rPr>
          <w:lang w:val="en-GB"/>
        </w:rPr>
        <w:t>.</w:t>
      </w:r>
      <w:r w:rsidRPr="00163523">
        <w:rPr>
          <w:rStyle w:val="Voetnootmarkering"/>
          <w:lang w:val="en-GB"/>
        </w:rPr>
        <w:footnoteReference w:id="20"/>
      </w:r>
    </w:p>
    <w:p w14:paraId="366470E2" w14:textId="77777777" w:rsidR="00A966B3" w:rsidRPr="00163523" w:rsidRDefault="00A966B3" w:rsidP="00A966B3">
      <w:pPr>
        <w:rPr>
          <w:lang w:val="en-GB"/>
        </w:rPr>
      </w:pPr>
    </w:p>
    <w:p w14:paraId="744CBA14" w14:textId="0509A0E7" w:rsidR="007D61EA" w:rsidRPr="00163523" w:rsidRDefault="00AB17A7" w:rsidP="00EF0209">
      <w:pPr>
        <w:pStyle w:val="Kop4"/>
        <w:rPr>
          <w:lang w:val="en-GB"/>
        </w:rPr>
      </w:pPr>
      <w:r w:rsidRPr="00163523">
        <w:rPr>
          <w:lang w:val="en-GB"/>
        </w:rPr>
        <w:t>Rating</w:t>
      </w:r>
      <w:r w:rsidR="007D61EA" w:rsidRPr="00163523">
        <w:rPr>
          <w:lang w:val="en-GB"/>
        </w:rPr>
        <w:t xml:space="preserve"> of the </w:t>
      </w:r>
      <w:r w:rsidRPr="00163523">
        <w:rPr>
          <w:lang w:val="en-GB"/>
        </w:rPr>
        <w:t xml:space="preserve">risk </w:t>
      </w:r>
      <w:r w:rsidR="007D61EA" w:rsidRPr="00163523">
        <w:rPr>
          <w:lang w:val="en-GB"/>
        </w:rPr>
        <w:t>based on likelihood and severity</w:t>
      </w:r>
    </w:p>
    <w:p w14:paraId="29250D16" w14:textId="0225C29E" w:rsidR="00816508" w:rsidRPr="00163523" w:rsidRDefault="009915D8" w:rsidP="00816508">
      <w:pPr>
        <w:rPr>
          <w:lang w:val="en-GB"/>
        </w:rPr>
      </w:pPr>
      <w:r w:rsidRPr="00163523">
        <w:rPr>
          <w:lang w:val="en-GB"/>
        </w:rPr>
        <w:t xml:space="preserve">The </w:t>
      </w:r>
      <w:r w:rsidRPr="00163523">
        <w:rPr>
          <w:b/>
          <w:lang w:val="en-GB"/>
        </w:rPr>
        <w:t xml:space="preserve">severity of this risk </w:t>
      </w:r>
      <w:r w:rsidR="00540236" w:rsidRPr="00163523">
        <w:rPr>
          <w:b/>
          <w:lang w:val="en-GB"/>
        </w:rPr>
        <w:t>is</w:t>
      </w:r>
      <w:r w:rsidRPr="00163523">
        <w:rPr>
          <w:b/>
          <w:lang w:val="en-GB"/>
        </w:rPr>
        <w:t xml:space="preserve"> </w:t>
      </w:r>
      <w:r w:rsidR="00540236" w:rsidRPr="00163523">
        <w:rPr>
          <w:b/>
          <w:lang w:val="en-GB"/>
        </w:rPr>
        <w:t>assessed</w:t>
      </w:r>
      <w:r w:rsidRPr="00163523">
        <w:rPr>
          <w:b/>
          <w:lang w:val="en-GB"/>
        </w:rPr>
        <w:t xml:space="preserve"> as ‘medium’</w:t>
      </w:r>
      <w:r w:rsidRPr="00163523">
        <w:rPr>
          <w:lang w:val="en-GB"/>
        </w:rPr>
        <w:t xml:space="preserve"> as the decrease in the ability to invest in </w:t>
      </w:r>
      <w:r w:rsidR="006412CD" w:rsidRPr="00163523">
        <w:rPr>
          <w:lang w:val="en-GB"/>
        </w:rPr>
        <w:t xml:space="preserve">gas </w:t>
      </w:r>
      <w:r w:rsidRPr="00163523">
        <w:rPr>
          <w:lang w:val="en-GB"/>
        </w:rPr>
        <w:t xml:space="preserve">decarbonization </w:t>
      </w:r>
      <w:r w:rsidR="006412CD" w:rsidRPr="00163523">
        <w:rPr>
          <w:lang w:val="en-GB"/>
        </w:rPr>
        <w:t xml:space="preserve">measures </w:t>
      </w:r>
      <w:r w:rsidRPr="00163523">
        <w:rPr>
          <w:lang w:val="en-GB"/>
        </w:rPr>
        <w:t xml:space="preserve">would depend on the depth of </w:t>
      </w:r>
      <w:r w:rsidR="00080A7B" w:rsidRPr="00163523">
        <w:rPr>
          <w:lang w:val="en-GB"/>
        </w:rPr>
        <w:t xml:space="preserve">the </w:t>
      </w:r>
      <w:r w:rsidRPr="00163523">
        <w:rPr>
          <w:lang w:val="en-GB"/>
        </w:rPr>
        <w:t>economic turndown</w:t>
      </w:r>
      <w:r w:rsidR="008C5592" w:rsidRPr="00163523">
        <w:rPr>
          <w:lang w:val="en-GB"/>
        </w:rPr>
        <w:t xml:space="preserve"> and instability</w:t>
      </w:r>
      <w:r w:rsidRPr="00163523">
        <w:rPr>
          <w:lang w:val="en-GB"/>
        </w:rPr>
        <w:t>.</w:t>
      </w:r>
      <w:r w:rsidR="00816508" w:rsidRPr="00163523">
        <w:rPr>
          <w:lang w:val="en-GB"/>
        </w:rPr>
        <w:t xml:space="preserve"> The impact of </w:t>
      </w:r>
      <w:r w:rsidR="00057A55" w:rsidRPr="00163523">
        <w:rPr>
          <w:lang w:val="en-GB"/>
        </w:rPr>
        <w:t xml:space="preserve">the </w:t>
      </w:r>
      <w:r w:rsidR="00816508" w:rsidRPr="00163523">
        <w:rPr>
          <w:lang w:val="en-GB"/>
        </w:rPr>
        <w:t xml:space="preserve">economic turndown would </w:t>
      </w:r>
      <w:r w:rsidR="002D3CA5" w:rsidRPr="00163523">
        <w:rPr>
          <w:lang w:val="en-GB"/>
        </w:rPr>
        <w:t>materialize along the entire value chain and take the form of</w:t>
      </w:r>
      <w:r w:rsidR="003032FC" w:rsidRPr="00163523">
        <w:rPr>
          <w:lang w:val="en-GB"/>
        </w:rPr>
        <w:t xml:space="preserve"> </w:t>
      </w:r>
      <w:r w:rsidR="00816508" w:rsidRPr="00163523">
        <w:rPr>
          <w:lang w:val="en-GB"/>
        </w:rPr>
        <w:t>reduced ability to invest in decarbonization measures</w:t>
      </w:r>
      <w:r w:rsidR="003032FC" w:rsidRPr="00163523">
        <w:rPr>
          <w:lang w:val="en-GB"/>
        </w:rPr>
        <w:t xml:space="preserve"> by economic actors</w:t>
      </w:r>
      <w:r w:rsidR="00816508" w:rsidRPr="00163523">
        <w:rPr>
          <w:lang w:val="en-GB"/>
        </w:rPr>
        <w:t xml:space="preserve"> and in turn, a </w:t>
      </w:r>
      <w:r w:rsidR="007A7CA2" w:rsidRPr="00163523">
        <w:rPr>
          <w:lang w:val="en-GB"/>
        </w:rPr>
        <w:t>decelerated</w:t>
      </w:r>
      <w:r w:rsidR="00816508" w:rsidRPr="00163523">
        <w:rPr>
          <w:lang w:val="en-GB"/>
        </w:rPr>
        <w:t xml:space="preserve"> transition towards </w:t>
      </w:r>
      <w:r w:rsidR="007A7CA2" w:rsidRPr="00163523">
        <w:rPr>
          <w:lang w:val="en-GB"/>
        </w:rPr>
        <w:t>a carbon-neutral economy</w:t>
      </w:r>
      <w:r w:rsidR="007D13A0" w:rsidRPr="00163523">
        <w:rPr>
          <w:lang w:val="en-GB"/>
        </w:rPr>
        <w:t>.</w:t>
      </w:r>
      <w:r w:rsidR="000D3826" w:rsidRPr="00163523">
        <w:rPr>
          <w:lang w:val="en-GB"/>
        </w:rPr>
        <w:t xml:space="preserve"> In order to minimize the severity of this risk, policymakers can respond to </w:t>
      </w:r>
      <w:r w:rsidR="00A1577C" w:rsidRPr="00163523">
        <w:rPr>
          <w:lang w:val="en-GB"/>
        </w:rPr>
        <w:t xml:space="preserve">economic </w:t>
      </w:r>
      <w:r w:rsidR="000D3826" w:rsidRPr="00163523">
        <w:rPr>
          <w:lang w:val="en-GB"/>
        </w:rPr>
        <w:t xml:space="preserve">shocks with increased climate and energy ambitions.  </w:t>
      </w:r>
    </w:p>
    <w:p w14:paraId="26C21B9C" w14:textId="77777777" w:rsidR="009915D8" w:rsidRPr="00163523" w:rsidRDefault="009915D8" w:rsidP="009915D8">
      <w:pPr>
        <w:rPr>
          <w:lang w:val="en-GB"/>
        </w:rPr>
      </w:pPr>
    </w:p>
    <w:p w14:paraId="05D719DE" w14:textId="1AD216B9" w:rsidR="00737F97" w:rsidRPr="00163523" w:rsidRDefault="00737F97" w:rsidP="009915D8">
      <w:pPr>
        <w:rPr>
          <w:lang w:val="en-GB"/>
        </w:rPr>
      </w:pPr>
      <w:r w:rsidRPr="00163523">
        <w:rPr>
          <w:lang w:val="en-GB"/>
        </w:rPr>
        <w:t xml:space="preserve">There is no specific moment </w:t>
      </w:r>
      <w:r w:rsidR="00BD7691" w:rsidRPr="00163523">
        <w:rPr>
          <w:lang w:val="en-GB"/>
        </w:rPr>
        <w:t>at</w:t>
      </w:r>
      <w:r w:rsidRPr="00163523">
        <w:rPr>
          <w:lang w:val="en-GB"/>
        </w:rPr>
        <w:t xml:space="preserve"> which an economic turndown</w:t>
      </w:r>
      <w:r w:rsidR="00BE265C" w:rsidRPr="00163523">
        <w:rPr>
          <w:lang w:val="en-GB"/>
        </w:rPr>
        <w:t xml:space="preserve"> or instability</w:t>
      </w:r>
      <w:r w:rsidRPr="00163523">
        <w:rPr>
          <w:lang w:val="en-GB"/>
        </w:rPr>
        <w:t xml:space="preserve"> is expected in the next three decades, but it is </w:t>
      </w:r>
      <w:r w:rsidR="00AE4808" w:rsidRPr="00163523">
        <w:rPr>
          <w:lang w:val="en-GB"/>
        </w:rPr>
        <w:t xml:space="preserve">certain </w:t>
      </w:r>
      <w:r w:rsidRPr="00163523">
        <w:rPr>
          <w:lang w:val="en-GB"/>
        </w:rPr>
        <w:t>to occur</w:t>
      </w:r>
      <w:r w:rsidR="00BD7691" w:rsidRPr="00163523">
        <w:rPr>
          <w:lang w:val="en-GB"/>
        </w:rPr>
        <w:t xml:space="preserve"> </w:t>
      </w:r>
      <w:r w:rsidRPr="00163523">
        <w:rPr>
          <w:lang w:val="en-GB"/>
        </w:rPr>
        <w:t xml:space="preserve">as a consequence </w:t>
      </w:r>
      <w:r w:rsidR="00BD7691" w:rsidRPr="00163523">
        <w:rPr>
          <w:lang w:val="en-GB"/>
        </w:rPr>
        <w:t>of</w:t>
      </w:r>
      <w:r w:rsidR="00B40342" w:rsidRPr="00163523">
        <w:rPr>
          <w:lang w:val="en-GB"/>
        </w:rPr>
        <w:t xml:space="preserve"> economic, environmental or social shocks</w:t>
      </w:r>
      <w:r w:rsidR="00BD7691" w:rsidRPr="00163523">
        <w:rPr>
          <w:lang w:val="en-GB"/>
        </w:rPr>
        <w:t xml:space="preserve"> </w:t>
      </w:r>
      <w:r w:rsidR="00B40342" w:rsidRPr="00163523">
        <w:rPr>
          <w:lang w:val="en-GB"/>
        </w:rPr>
        <w:t>(</w:t>
      </w:r>
      <w:r w:rsidRPr="00163523">
        <w:rPr>
          <w:lang w:val="en-GB"/>
        </w:rPr>
        <w:t xml:space="preserve">e.g. </w:t>
      </w:r>
      <w:r w:rsidR="00B40342" w:rsidRPr="00163523">
        <w:rPr>
          <w:lang w:val="en-GB"/>
        </w:rPr>
        <w:t>financial speculation,</w:t>
      </w:r>
      <w:r w:rsidR="00723CE0" w:rsidRPr="00163523">
        <w:rPr>
          <w:lang w:val="en-GB"/>
        </w:rPr>
        <w:t xml:space="preserve"> excessive production,</w:t>
      </w:r>
      <w:r w:rsidRPr="00163523">
        <w:rPr>
          <w:lang w:val="en-GB"/>
        </w:rPr>
        <w:t xml:space="preserve"> natural disasters, pandemics, geopolitical tensions, etc.</w:t>
      </w:r>
      <w:r w:rsidR="00723CE0" w:rsidRPr="00163523">
        <w:rPr>
          <w:lang w:val="en-GB"/>
        </w:rPr>
        <w:t xml:space="preserve">). </w:t>
      </w:r>
      <w:r w:rsidR="00723CE0" w:rsidRPr="00163523">
        <w:rPr>
          <w:lang w:val="en-GB"/>
        </w:rPr>
        <w:lastRenderedPageBreak/>
        <w:t>Hence</w:t>
      </w:r>
      <w:r w:rsidR="004A6E91" w:rsidRPr="00163523">
        <w:rPr>
          <w:lang w:val="en-GB"/>
        </w:rPr>
        <w:t>,</w:t>
      </w:r>
      <w:r w:rsidR="00723CE0" w:rsidRPr="00163523">
        <w:rPr>
          <w:lang w:val="en-GB"/>
        </w:rPr>
        <w:t xml:space="preserve"> </w:t>
      </w:r>
      <w:r w:rsidR="00540236" w:rsidRPr="00163523">
        <w:rPr>
          <w:lang w:val="en-GB"/>
        </w:rPr>
        <w:t xml:space="preserve">we would rate </w:t>
      </w:r>
      <w:r w:rsidR="00723CE0" w:rsidRPr="00163523">
        <w:rPr>
          <w:lang w:val="en-GB"/>
        </w:rPr>
        <w:t>t</w:t>
      </w:r>
      <w:r w:rsidR="001B2C3A" w:rsidRPr="00163523">
        <w:rPr>
          <w:lang w:val="en-GB"/>
        </w:rPr>
        <w:t xml:space="preserve">he </w:t>
      </w:r>
      <w:r w:rsidR="001B2C3A" w:rsidRPr="00163523">
        <w:rPr>
          <w:b/>
          <w:lang w:val="en-GB"/>
        </w:rPr>
        <w:t>likelihood of this risk as ‘high’</w:t>
      </w:r>
      <w:r w:rsidR="001B2C3A" w:rsidRPr="00163523">
        <w:rPr>
          <w:lang w:val="en-GB"/>
        </w:rPr>
        <w:t xml:space="preserve"> as more frequent shocks can be expected as a consequence of climate change which may lead to economic recessions.</w:t>
      </w:r>
    </w:p>
    <w:p w14:paraId="39C5C71B" w14:textId="77777777" w:rsidR="00737F97" w:rsidRPr="00163523" w:rsidRDefault="00737F97" w:rsidP="009915D8">
      <w:pPr>
        <w:rPr>
          <w:lang w:val="en-GB"/>
        </w:rPr>
      </w:pPr>
    </w:p>
    <w:p w14:paraId="5F64ACD5" w14:textId="05668B48" w:rsidR="004A6E91" w:rsidRPr="00163523" w:rsidRDefault="004A6E91" w:rsidP="004A6E91">
      <w:pPr>
        <w:rPr>
          <w:lang w:val="en-GB"/>
        </w:rPr>
      </w:pPr>
      <w:r w:rsidRPr="00163523">
        <w:rPr>
          <w:lang w:val="en-GB"/>
        </w:rPr>
        <w:t>A</w:t>
      </w:r>
      <w:r w:rsidR="00A41DAC" w:rsidRPr="00163523">
        <w:rPr>
          <w:lang w:val="en-GB"/>
        </w:rPr>
        <w:t xml:space="preserve">ll </w:t>
      </w:r>
      <w:r w:rsidR="002D5094" w:rsidRPr="00163523">
        <w:rPr>
          <w:lang w:val="en-GB"/>
        </w:rPr>
        <w:t>energy</w:t>
      </w:r>
      <w:r w:rsidR="00AB33B5" w:rsidRPr="00163523">
        <w:rPr>
          <w:lang w:val="en-GB"/>
        </w:rPr>
        <w:t xml:space="preserve"> </w:t>
      </w:r>
      <w:r w:rsidR="00084374" w:rsidRPr="00163523">
        <w:rPr>
          <w:lang w:val="en-GB"/>
        </w:rPr>
        <w:t>s</w:t>
      </w:r>
      <w:r w:rsidR="00A41DAC" w:rsidRPr="00163523">
        <w:rPr>
          <w:lang w:val="en-GB"/>
        </w:rPr>
        <w:t>cenarios would be affected by an economic turndown</w:t>
      </w:r>
      <w:r w:rsidRPr="00163523">
        <w:rPr>
          <w:lang w:val="en-GB"/>
        </w:rPr>
        <w:t>. Nevertheless,</w:t>
      </w:r>
      <w:r w:rsidR="00A41DAC" w:rsidRPr="00163523">
        <w:rPr>
          <w:lang w:val="en-GB"/>
        </w:rPr>
        <w:t xml:space="preserve"> </w:t>
      </w:r>
      <w:r w:rsidR="002D5094" w:rsidRPr="00163523">
        <w:rPr>
          <w:lang w:val="en-GB"/>
        </w:rPr>
        <w:t xml:space="preserve">the gas </w:t>
      </w:r>
      <w:r w:rsidR="00A41DAC" w:rsidRPr="00163523">
        <w:rPr>
          <w:lang w:val="en-GB"/>
        </w:rPr>
        <w:t>decarbonization scenarios would be mo</w:t>
      </w:r>
      <w:r w:rsidR="00621168" w:rsidRPr="00163523">
        <w:rPr>
          <w:lang w:val="en-GB"/>
        </w:rPr>
        <w:t>re</w:t>
      </w:r>
      <w:r w:rsidR="00A41DAC" w:rsidRPr="00163523">
        <w:rPr>
          <w:lang w:val="en-GB"/>
        </w:rPr>
        <w:t xml:space="preserve"> affected by a decrease in ability </w:t>
      </w:r>
      <w:r w:rsidRPr="00163523">
        <w:rPr>
          <w:lang w:val="en-GB"/>
        </w:rPr>
        <w:t xml:space="preserve">of economic actors </w:t>
      </w:r>
      <w:r w:rsidR="00A41DAC" w:rsidRPr="00163523">
        <w:rPr>
          <w:lang w:val="en-GB"/>
        </w:rPr>
        <w:t xml:space="preserve">to invest in </w:t>
      </w:r>
      <w:r w:rsidRPr="00163523">
        <w:rPr>
          <w:lang w:val="en-GB"/>
        </w:rPr>
        <w:t>decarbonization</w:t>
      </w:r>
      <w:r w:rsidR="00A41DAC" w:rsidRPr="00163523">
        <w:rPr>
          <w:lang w:val="en-GB"/>
        </w:rPr>
        <w:t xml:space="preserve"> </w:t>
      </w:r>
      <w:r w:rsidR="00B00DFE" w:rsidRPr="00163523">
        <w:rPr>
          <w:lang w:val="en-GB"/>
        </w:rPr>
        <w:t>technologies</w:t>
      </w:r>
      <w:r w:rsidRPr="00163523">
        <w:rPr>
          <w:lang w:val="en-GB"/>
        </w:rPr>
        <w:t>, as significant</w:t>
      </w:r>
      <w:r w:rsidR="00A41DAC" w:rsidRPr="00163523">
        <w:rPr>
          <w:lang w:val="en-GB"/>
        </w:rPr>
        <w:t xml:space="preserve"> investments are needed in</w:t>
      </w:r>
      <w:r w:rsidRPr="00163523">
        <w:rPr>
          <w:lang w:val="en-GB"/>
        </w:rPr>
        <w:t xml:space="preserve"> comparison with</w:t>
      </w:r>
      <w:r w:rsidR="00A41DAC" w:rsidRPr="00163523">
        <w:rPr>
          <w:lang w:val="en-GB"/>
        </w:rPr>
        <w:t xml:space="preserve"> the BAU scenario</w:t>
      </w:r>
      <w:r w:rsidRPr="00163523">
        <w:rPr>
          <w:lang w:val="en-GB"/>
        </w:rPr>
        <w:t xml:space="preserve">. </w:t>
      </w:r>
      <w:r w:rsidR="00060157" w:rsidRPr="00163523">
        <w:rPr>
          <w:lang w:val="en-GB"/>
        </w:rPr>
        <w:t xml:space="preserve">In addition, as the Cost minimal scenario requires significant investment in the next decade (until 2030) compared to the REN-Methane and REN-Hydrogen </w:t>
      </w:r>
      <w:r w:rsidR="001F5345" w:rsidRPr="00163523">
        <w:rPr>
          <w:lang w:val="en-GB"/>
        </w:rPr>
        <w:t>scenario</w:t>
      </w:r>
      <w:r w:rsidR="00430731" w:rsidRPr="00163523">
        <w:rPr>
          <w:lang w:val="en-GB"/>
        </w:rPr>
        <w:t>s</w:t>
      </w:r>
      <w:r w:rsidR="00463715" w:rsidRPr="00163523">
        <w:rPr>
          <w:lang w:val="en-GB"/>
        </w:rPr>
        <w:t xml:space="preserve"> (see Deliverable 4</w:t>
      </w:r>
      <w:r w:rsidR="003D3EB5" w:rsidRPr="00163523">
        <w:rPr>
          <w:lang w:val="en-GB"/>
        </w:rPr>
        <w:t xml:space="preserve"> – </w:t>
      </w:r>
      <w:r w:rsidR="003D3EB5" w:rsidRPr="009E69A2">
        <w:rPr>
          <w:lang w:val="en-GB"/>
        </w:rPr>
        <w:t>Figure 3-12</w:t>
      </w:r>
      <w:r w:rsidR="00463715" w:rsidRPr="00163523">
        <w:rPr>
          <w:lang w:val="en-GB"/>
        </w:rPr>
        <w:t>)</w:t>
      </w:r>
      <w:r w:rsidR="001F5345" w:rsidRPr="00163523">
        <w:rPr>
          <w:lang w:val="en-GB"/>
        </w:rPr>
        <w:t xml:space="preserve">, it could be more exposed to long-term effects of the </w:t>
      </w:r>
      <w:r w:rsidR="004175C4" w:rsidRPr="00163523">
        <w:rPr>
          <w:lang w:val="en-GB"/>
        </w:rPr>
        <w:t xml:space="preserve">above-mentioned </w:t>
      </w:r>
      <w:r w:rsidR="001F5345" w:rsidRPr="00163523">
        <w:rPr>
          <w:lang w:val="en-GB"/>
        </w:rPr>
        <w:t>shocks</w:t>
      </w:r>
      <w:r w:rsidR="004175C4" w:rsidRPr="00163523">
        <w:rPr>
          <w:lang w:val="en-GB"/>
        </w:rPr>
        <w:t xml:space="preserve"> (i.e. Covid-19</w:t>
      </w:r>
      <w:r w:rsidR="00645264" w:rsidRPr="00163523">
        <w:rPr>
          <w:lang w:val="en-GB"/>
        </w:rPr>
        <w:t xml:space="preserve"> pandemic and post-crisis</w:t>
      </w:r>
      <w:r w:rsidR="004175C4" w:rsidRPr="00163523">
        <w:rPr>
          <w:lang w:val="en-GB"/>
        </w:rPr>
        <w:t xml:space="preserve">, </w:t>
      </w:r>
      <w:r w:rsidR="00645264" w:rsidRPr="00163523">
        <w:rPr>
          <w:lang w:val="en-GB"/>
        </w:rPr>
        <w:t>Russian invasion of Ukraine</w:t>
      </w:r>
      <w:r w:rsidR="0085718D" w:rsidRPr="00163523">
        <w:rPr>
          <w:lang w:val="en-GB"/>
        </w:rPr>
        <w:t xml:space="preserve"> and energy crisis</w:t>
      </w:r>
      <w:r w:rsidR="00645264" w:rsidRPr="00163523">
        <w:rPr>
          <w:lang w:val="en-GB"/>
        </w:rPr>
        <w:t>)</w:t>
      </w:r>
      <w:r w:rsidR="001F5345" w:rsidRPr="00163523">
        <w:rPr>
          <w:lang w:val="en-GB"/>
        </w:rPr>
        <w:t xml:space="preserve">. </w:t>
      </w:r>
    </w:p>
    <w:p w14:paraId="2C3097EE" w14:textId="77777777" w:rsidR="004A6E91" w:rsidRPr="00163523" w:rsidRDefault="004A6E91" w:rsidP="004A6E91">
      <w:pPr>
        <w:rPr>
          <w:lang w:val="en-GB"/>
        </w:rPr>
      </w:pPr>
    </w:p>
    <w:p w14:paraId="03FE1E41" w14:textId="00DE1D66" w:rsidR="00A41DAC" w:rsidRPr="00163523" w:rsidRDefault="004A6E91" w:rsidP="004A6E91">
      <w:pPr>
        <w:rPr>
          <w:lang w:val="en-GB"/>
        </w:rPr>
      </w:pPr>
      <w:r w:rsidRPr="00163523">
        <w:rPr>
          <w:lang w:val="en-GB"/>
        </w:rPr>
        <w:t>The</w:t>
      </w:r>
      <w:r w:rsidR="00A41DAC" w:rsidRPr="00163523">
        <w:rPr>
          <w:lang w:val="en-GB"/>
        </w:rPr>
        <w:t xml:space="preserve"> four Baltic Regional Gas Market countries are subject to a similar level of risk</w:t>
      </w:r>
      <w:r w:rsidRPr="00163523">
        <w:rPr>
          <w:lang w:val="en-GB"/>
        </w:rPr>
        <w:t xml:space="preserve">. </w:t>
      </w:r>
    </w:p>
    <w:p w14:paraId="1E1F407A" w14:textId="77777777" w:rsidR="003A1956" w:rsidRPr="00163523" w:rsidRDefault="003A1956" w:rsidP="003A1956">
      <w:pPr>
        <w:rPr>
          <w:lang w:val="en-GB"/>
        </w:rPr>
      </w:pPr>
    </w:p>
    <w:tbl>
      <w:tblPr>
        <w:tblStyle w:val="Table1"/>
        <w:tblW w:w="8449" w:type="dxa"/>
        <w:tblLayout w:type="fixed"/>
        <w:tblLook w:val="04A0" w:firstRow="1" w:lastRow="0" w:firstColumn="1" w:lastColumn="0" w:noHBand="0" w:noVBand="1"/>
      </w:tblPr>
      <w:tblGrid>
        <w:gridCol w:w="2689"/>
        <w:gridCol w:w="864"/>
        <w:gridCol w:w="864"/>
        <w:gridCol w:w="865"/>
        <w:gridCol w:w="1731"/>
        <w:gridCol w:w="1436"/>
      </w:tblGrid>
      <w:tr w:rsidR="008E7C05" w:rsidRPr="00A41DAC" w14:paraId="20F7E2AE" w14:textId="77777777" w:rsidTr="00772B3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89" w:type="dxa"/>
            <w:vMerge w:val="restart"/>
            <w:noWrap/>
          </w:tcPr>
          <w:p w14:paraId="748E3127" w14:textId="77777777" w:rsidR="008E7C05" w:rsidRPr="00163523" w:rsidRDefault="008E7C05" w:rsidP="003A1956">
            <w:pPr>
              <w:keepNext/>
              <w:spacing w:line="240" w:lineRule="auto"/>
              <w:ind w:left="0"/>
              <w:rPr>
                <w:rFonts w:eastAsia="Times New Roman"/>
                <w:szCs w:val="18"/>
                <w:lang w:val="en-GB" w:eastAsia="en-GB"/>
              </w:rPr>
            </w:pPr>
            <w:r w:rsidRPr="00163523">
              <w:rPr>
                <w:rFonts w:eastAsia="Arial"/>
                <w:szCs w:val="18"/>
                <w:lang w:val="en-GB"/>
              </w:rPr>
              <w:t>Risk</w:t>
            </w:r>
          </w:p>
        </w:tc>
        <w:tc>
          <w:tcPr>
            <w:tcW w:w="2593" w:type="dxa"/>
            <w:gridSpan w:val="3"/>
          </w:tcPr>
          <w:p w14:paraId="42A6446D" w14:textId="0723354D" w:rsidR="008E7C05" w:rsidRPr="00163523" w:rsidRDefault="008E7C05" w:rsidP="003A1956">
            <w:pPr>
              <w:keepNext/>
              <w:spacing w:line="240" w:lineRule="auto"/>
              <w:ind w:left="0"/>
              <w:cnfStyle w:val="100000000000" w:firstRow="1" w:lastRow="0" w:firstColumn="0" w:lastColumn="0" w:oddVBand="0" w:evenVBand="0" w:oddHBand="0" w:evenHBand="0" w:firstRowFirstColumn="0" w:firstRowLastColumn="0" w:lastRowFirstColumn="0" w:lastRowLastColumn="0"/>
              <w:rPr>
                <w:rFonts w:eastAsia="Arial"/>
                <w:szCs w:val="18"/>
                <w:lang w:val="en-GB"/>
              </w:rPr>
            </w:pPr>
            <w:r w:rsidRPr="00A41DAC">
              <w:rPr>
                <w:rFonts w:eastAsia="Arial"/>
                <w:szCs w:val="18"/>
                <w:lang w:val="en-GB"/>
              </w:rPr>
              <w:t>Applicable scenarios</w:t>
            </w:r>
          </w:p>
        </w:tc>
        <w:tc>
          <w:tcPr>
            <w:tcW w:w="1731" w:type="dxa"/>
            <w:vMerge w:val="restart"/>
            <w:noWrap/>
          </w:tcPr>
          <w:p w14:paraId="0E00A5D3" w14:textId="51C067A2" w:rsidR="008E7C05" w:rsidRPr="00163523" w:rsidRDefault="008E7C05" w:rsidP="003A1956">
            <w:pPr>
              <w:keepNext/>
              <w:spacing w:line="240" w:lineRule="auto"/>
              <w:ind w:left="0"/>
              <w:cnfStyle w:val="100000000000" w:firstRow="1" w:lastRow="0" w:firstColumn="0" w:lastColumn="0" w:oddVBand="0" w:evenVBand="0" w:oddHBand="0" w:evenHBand="0" w:firstRowFirstColumn="0" w:firstRowLastColumn="0" w:lastRowFirstColumn="0" w:lastRowLastColumn="0"/>
              <w:rPr>
                <w:rFonts w:eastAsia="Times New Roman"/>
                <w:i/>
                <w:szCs w:val="18"/>
                <w:lang w:val="en-GB" w:eastAsia="en-GB"/>
              </w:rPr>
            </w:pPr>
            <w:r w:rsidRPr="00163523">
              <w:rPr>
                <w:rFonts w:eastAsia="Arial"/>
                <w:szCs w:val="18"/>
                <w:lang w:val="en-GB"/>
              </w:rPr>
              <w:t>Likelihood</w:t>
            </w:r>
          </w:p>
        </w:tc>
        <w:tc>
          <w:tcPr>
            <w:tcW w:w="1436" w:type="dxa"/>
            <w:vMerge w:val="restart"/>
            <w:noWrap/>
          </w:tcPr>
          <w:p w14:paraId="49E63E7B" w14:textId="77777777" w:rsidR="008E7C05" w:rsidRPr="00163523" w:rsidRDefault="008E7C05" w:rsidP="003A1956">
            <w:pPr>
              <w:keepNext/>
              <w:spacing w:line="240" w:lineRule="auto"/>
              <w:ind w:left="0"/>
              <w:cnfStyle w:val="100000000000" w:firstRow="1" w:lastRow="0" w:firstColumn="0" w:lastColumn="0" w:oddVBand="0" w:evenVBand="0" w:oddHBand="0" w:evenHBand="0" w:firstRowFirstColumn="0" w:firstRowLastColumn="0" w:lastRowFirstColumn="0" w:lastRowLastColumn="0"/>
              <w:rPr>
                <w:rFonts w:eastAsia="Times New Roman"/>
                <w:i/>
                <w:szCs w:val="18"/>
                <w:lang w:val="en-GB" w:eastAsia="en-GB"/>
              </w:rPr>
            </w:pPr>
            <w:r w:rsidRPr="00163523">
              <w:rPr>
                <w:rFonts w:eastAsia="Arial"/>
                <w:szCs w:val="18"/>
                <w:lang w:val="en-GB"/>
              </w:rPr>
              <w:t>Severity</w:t>
            </w:r>
          </w:p>
        </w:tc>
      </w:tr>
      <w:tr w:rsidR="008E7C05" w:rsidRPr="00A41DAC" w14:paraId="6744EAE2" w14:textId="77777777" w:rsidTr="00097AD7">
        <w:trPr>
          <w:trHeight w:val="20"/>
        </w:trPr>
        <w:tc>
          <w:tcPr>
            <w:cnfStyle w:val="001000000000" w:firstRow="0" w:lastRow="0" w:firstColumn="1" w:lastColumn="0" w:oddVBand="0" w:evenVBand="0" w:oddHBand="0" w:evenHBand="0" w:firstRowFirstColumn="0" w:firstRowLastColumn="0" w:lastRowFirstColumn="0" w:lastRowLastColumn="0"/>
            <w:tcW w:w="2689" w:type="dxa"/>
            <w:vMerge/>
            <w:noWrap/>
          </w:tcPr>
          <w:p w14:paraId="470477C1" w14:textId="77777777" w:rsidR="008E7C05" w:rsidRPr="00A41DAC" w:rsidRDefault="008E7C05" w:rsidP="00772B35">
            <w:pPr>
              <w:spacing w:line="240" w:lineRule="auto"/>
              <w:ind w:left="0"/>
              <w:jc w:val="center"/>
              <w:rPr>
                <w:rFonts w:eastAsia="Arial"/>
                <w:szCs w:val="18"/>
                <w:lang w:val="en-GB"/>
              </w:rPr>
            </w:pPr>
          </w:p>
        </w:tc>
        <w:tc>
          <w:tcPr>
            <w:tcW w:w="864" w:type="dxa"/>
          </w:tcPr>
          <w:p w14:paraId="04C19943" w14:textId="3CAD929F" w:rsidR="008E7C05" w:rsidRPr="00163523" w:rsidRDefault="008E7C05" w:rsidP="00772B35">
            <w:pPr>
              <w:spacing w:line="240" w:lineRule="auto"/>
              <w:ind w:left="0"/>
              <w:cnfStyle w:val="000000000000" w:firstRow="0" w:lastRow="0" w:firstColumn="0" w:lastColumn="0" w:oddVBand="0" w:evenVBand="0" w:oddHBand="0" w:evenHBand="0" w:firstRowFirstColumn="0" w:firstRowLastColumn="0" w:lastRowFirstColumn="0" w:lastRowLastColumn="0"/>
              <w:rPr>
                <w:rFonts w:eastAsia="Times New Roman"/>
                <w:b/>
                <w:color w:val="000000"/>
                <w:sz w:val="14"/>
                <w:szCs w:val="14"/>
                <w:lang w:val="en-GB" w:eastAsia="en-GB"/>
              </w:rPr>
            </w:pPr>
            <w:r w:rsidRPr="00163523">
              <w:rPr>
                <w:rFonts w:eastAsia="Arial"/>
                <w:sz w:val="14"/>
                <w:szCs w:val="14"/>
                <w:lang w:val="en-GB"/>
              </w:rPr>
              <w:t>REN-M</w:t>
            </w:r>
          </w:p>
        </w:tc>
        <w:tc>
          <w:tcPr>
            <w:tcW w:w="864" w:type="dxa"/>
          </w:tcPr>
          <w:p w14:paraId="122164CD" w14:textId="69DEA491" w:rsidR="008E7C05" w:rsidRPr="00163523" w:rsidRDefault="008E7C05" w:rsidP="00772B35">
            <w:pPr>
              <w:spacing w:line="240" w:lineRule="auto"/>
              <w:ind w:left="0"/>
              <w:cnfStyle w:val="000000000000" w:firstRow="0" w:lastRow="0" w:firstColumn="0" w:lastColumn="0" w:oddVBand="0" w:evenVBand="0" w:oddHBand="0" w:evenHBand="0" w:firstRowFirstColumn="0" w:firstRowLastColumn="0" w:lastRowFirstColumn="0" w:lastRowLastColumn="0"/>
              <w:rPr>
                <w:rFonts w:eastAsia="Times New Roman"/>
                <w:b/>
                <w:color w:val="000000"/>
                <w:sz w:val="14"/>
                <w:szCs w:val="14"/>
                <w:lang w:val="en-GB" w:eastAsia="en-GB"/>
              </w:rPr>
            </w:pPr>
            <w:r w:rsidRPr="00163523">
              <w:rPr>
                <w:rFonts w:eastAsia="Arial"/>
                <w:sz w:val="14"/>
                <w:szCs w:val="14"/>
                <w:lang w:val="en-GB"/>
              </w:rPr>
              <w:t>REN-H</w:t>
            </w:r>
          </w:p>
        </w:tc>
        <w:tc>
          <w:tcPr>
            <w:tcW w:w="865" w:type="dxa"/>
          </w:tcPr>
          <w:p w14:paraId="2624CE90" w14:textId="1D5C4178" w:rsidR="008E7C05" w:rsidRPr="00163523" w:rsidRDefault="008E7C05" w:rsidP="00772B35">
            <w:pPr>
              <w:spacing w:line="240" w:lineRule="auto"/>
              <w:ind w:left="0"/>
              <w:cnfStyle w:val="000000000000" w:firstRow="0" w:lastRow="0" w:firstColumn="0" w:lastColumn="0" w:oddVBand="0" w:evenVBand="0" w:oddHBand="0" w:evenHBand="0" w:firstRowFirstColumn="0" w:firstRowLastColumn="0" w:lastRowFirstColumn="0" w:lastRowLastColumn="0"/>
              <w:rPr>
                <w:rFonts w:eastAsia="Times New Roman"/>
                <w:b/>
                <w:color w:val="000000"/>
                <w:sz w:val="14"/>
                <w:szCs w:val="14"/>
                <w:lang w:val="en-GB" w:eastAsia="en-GB"/>
              </w:rPr>
            </w:pPr>
            <w:r w:rsidRPr="00163523">
              <w:rPr>
                <w:rFonts w:eastAsia="Arial"/>
                <w:sz w:val="14"/>
                <w:szCs w:val="14"/>
                <w:lang w:val="en-GB"/>
              </w:rPr>
              <w:t>CM</w:t>
            </w:r>
          </w:p>
        </w:tc>
        <w:tc>
          <w:tcPr>
            <w:tcW w:w="1731" w:type="dxa"/>
            <w:vMerge/>
            <w:shd w:val="clear" w:color="auto" w:fill="F9B7AC" w:themeFill="accent2" w:themeFillTint="66"/>
            <w:noWrap/>
          </w:tcPr>
          <w:p w14:paraId="6D1525BA" w14:textId="77777777" w:rsidR="008E7C05" w:rsidRPr="00163523" w:rsidRDefault="008E7C05" w:rsidP="00772B35">
            <w:pPr>
              <w:spacing w:line="240" w:lineRule="auto"/>
              <w:ind w:left="0"/>
              <w:cnfStyle w:val="000000000000" w:firstRow="0" w:lastRow="0" w:firstColumn="0" w:lastColumn="0" w:oddVBand="0" w:evenVBand="0" w:oddHBand="0" w:evenHBand="0" w:firstRowFirstColumn="0" w:firstRowLastColumn="0" w:lastRowFirstColumn="0" w:lastRowLastColumn="0"/>
              <w:rPr>
                <w:rFonts w:eastAsia="Times New Roman"/>
                <w:b/>
                <w:color w:val="000000"/>
                <w:szCs w:val="18"/>
                <w:lang w:val="en-GB" w:eastAsia="en-GB"/>
              </w:rPr>
            </w:pPr>
          </w:p>
        </w:tc>
        <w:tc>
          <w:tcPr>
            <w:tcW w:w="1436" w:type="dxa"/>
            <w:vMerge/>
            <w:shd w:val="clear" w:color="auto" w:fill="FFD57B" w:themeFill="accent4" w:themeFillShade="E6"/>
            <w:noWrap/>
          </w:tcPr>
          <w:p w14:paraId="5F555258" w14:textId="77777777" w:rsidR="008E7C05" w:rsidRPr="00163523" w:rsidRDefault="008E7C05" w:rsidP="00772B35">
            <w:pPr>
              <w:spacing w:line="240" w:lineRule="auto"/>
              <w:ind w:left="0"/>
              <w:cnfStyle w:val="000000000000" w:firstRow="0" w:lastRow="0" w:firstColumn="0" w:lastColumn="0" w:oddVBand="0" w:evenVBand="0" w:oddHBand="0" w:evenHBand="0" w:firstRowFirstColumn="0" w:firstRowLastColumn="0" w:lastRowFirstColumn="0" w:lastRowLastColumn="0"/>
              <w:rPr>
                <w:rFonts w:eastAsia="Arial"/>
                <w:b/>
                <w:szCs w:val="18"/>
                <w:lang w:val="en-GB"/>
              </w:rPr>
            </w:pPr>
          </w:p>
        </w:tc>
      </w:tr>
      <w:tr w:rsidR="00772B35" w:rsidRPr="00A41DAC" w14:paraId="597E225B" w14:textId="77777777" w:rsidTr="00097AD7">
        <w:trPr>
          <w:trHeight w:val="20"/>
        </w:trPr>
        <w:tc>
          <w:tcPr>
            <w:cnfStyle w:val="001000000000" w:firstRow="0" w:lastRow="0" w:firstColumn="1" w:lastColumn="0" w:oddVBand="0" w:evenVBand="0" w:oddHBand="0" w:evenHBand="0" w:firstRowFirstColumn="0" w:firstRowLastColumn="0" w:lastRowFirstColumn="0" w:lastRowLastColumn="0"/>
            <w:tcW w:w="2689" w:type="dxa"/>
            <w:noWrap/>
          </w:tcPr>
          <w:p w14:paraId="60BFF990" w14:textId="2863A841" w:rsidR="00772B35" w:rsidRPr="00A41DAC" w:rsidRDefault="00772B35" w:rsidP="00132D0A">
            <w:pPr>
              <w:spacing w:line="240" w:lineRule="auto"/>
              <w:ind w:left="0"/>
              <w:jc w:val="center"/>
              <w:rPr>
                <w:rFonts w:eastAsia="Times New Roman"/>
                <w:color w:val="000000"/>
                <w:szCs w:val="18"/>
                <w:lang w:val="en-GB" w:eastAsia="en-GB"/>
              </w:rPr>
            </w:pPr>
            <w:r w:rsidRPr="00A41DAC">
              <w:rPr>
                <w:rFonts w:eastAsia="Arial"/>
                <w:szCs w:val="18"/>
                <w:lang w:val="en-GB"/>
              </w:rPr>
              <w:t>Economic turndown limit</w:t>
            </w:r>
            <w:r>
              <w:rPr>
                <w:rFonts w:eastAsia="Arial"/>
                <w:szCs w:val="18"/>
                <w:lang w:val="en-GB"/>
              </w:rPr>
              <w:t>s</w:t>
            </w:r>
            <w:r w:rsidRPr="00A41DAC">
              <w:rPr>
                <w:rFonts w:eastAsia="Arial"/>
                <w:szCs w:val="18"/>
                <w:lang w:val="en-GB"/>
              </w:rPr>
              <w:t xml:space="preserve"> ability to invest</w:t>
            </w:r>
          </w:p>
        </w:tc>
        <w:tc>
          <w:tcPr>
            <w:tcW w:w="864" w:type="dxa"/>
          </w:tcPr>
          <w:p w14:paraId="7FB8B9B4" w14:textId="48349C5D" w:rsidR="00772B35" w:rsidRPr="00163523" w:rsidRDefault="006E18C3">
            <w:pPr>
              <w:spacing w:line="240" w:lineRule="auto"/>
              <w:ind w:left="0"/>
              <w:cnfStyle w:val="000000000000" w:firstRow="0" w:lastRow="0" w:firstColumn="0" w:lastColumn="0" w:oddVBand="0" w:evenVBand="0" w:oddHBand="0" w:evenHBand="0" w:firstRowFirstColumn="0" w:firstRowLastColumn="0" w:lastRowFirstColumn="0" w:lastRowLastColumn="0"/>
              <w:rPr>
                <w:rFonts w:eastAsia="Times New Roman"/>
                <w:b/>
                <w:color w:val="000000"/>
                <w:szCs w:val="18"/>
                <w:lang w:val="en-GB" w:eastAsia="en-GB"/>
              </w:rPr>
            </w:pPr>
            <w:r w:rsidRPr="00163523">
              <w:rPr>
                <w:rFonts w:ascii="Wingdings" w:eastAsia="Wingdings" w:hAnsi="Wingdings" w:cs="Wingdings"/>
                <w:b/>
                <w:color w:val="000000"/>
                <w:szCs w:val="18"/>
                <w:lang w:val="en-GB" w:eastAsia="en-GB"/>
              </w:rPr>
              <w:sym w:font="Wingdings" w:char="F0FC"/>
            </w:r>
          </w:p>
        </w:tc>
        <w:tc>
          <w:tcPr>
            <w:tcW w:w="864" w:type="dxa"/>
          </w:tcPr>
          <w:p w14:paraId="012E7CBE" w14:textId="20C532A5" w:rsidR="00772B35" w:rsidRPr="00163523" w:rsidRDefault="006E18C3">
            <w:pPr>
              <w:spacing w:line="240" w:lineRule="auto"/>
              <w:ind w:left="0"/>
              <w:cnfStyle w:val="000000000000" w:firstRow="0" w:lastRow="0" w:firstColumn="0" w:lastColumn="0" w:oddVBand="0" w:evenVBand="0" w:oddHBand="0" w:evenHBand="0" w:firstRowFirstColumn="0" w:firstRowLastColumn="0" w:lastRowFirstColumn="0" w:lastRowLastColumn="0"/>
              <w:rPr>
                <w:rFonts w:eastAsia="Times New Roman"/>
                <w:b/>
                <w:color w:val="000000"/>
                <w:szCs w:val="18"/>
                <w:lang w:val="en-GB" w:eastAsia="en-GB"/>
              </w:rPr>
            </w:pPr>
            <w:r w:rsidRPr="00163523">
              <w:rPr>
                <w:rFonts w:ascii="Wingdings" w:eastAsia="Wingdings" w:hAnsi="Wingdings" w:cs="Wingdings"/>
                <w:b/>
                <w:color w:val="000000"/>
                <w:szCs w:val="18"/>
                <w:lang w:val="en-GB" w:eastAsia="en-GB"/>
              </w:rPr>
              <w:sym w:font="Wingdings" w:char="F0FC"/>
            </w:r>
          </w:p>
        </w:tc>
        <w:tc>
          <w:tcPr>
            <w:tcW w:w="865" w:type="dxa"/>
          </w:tcPr>
          <w:p w14:paraId="21503A3F" w14:textId="2AEEA88F" w:rsidR="00772B35" w:rsidRPr="00163523" w:rsidRDefault="006E18C3">
            <w:pPr>
              <w:spacing w:line="240" w:lineRule="auto"/>
              <w:ind w:left="0"/>
              <w:cnfStyle w:val="000000000000" w:firstRow="0" w:lastRow="0" w:firstColumn="0" w:lastColumn="0" w:oddVBand="0" w:evenVBand="0" w:oddHBand="0" w:evenHBand="0" w:firstRowFirstColumn="0" w:firstRowLastColumn="0" w:lastRowFirstColumn="0" w:lastRowLastColumn="0"/>
              <w:rPr>
                <w:rFonts w:eastAsia="Times New Roman"/>
                <w:b/>
                <w:color w:val="000000"/>
                <w:szCs w:val="18"/>
                <w:lang w:val="en-GB" w:eastAsia="en-GB"/>
              </w:rPr>
            </w:pPr>
            <w:r w:rsidRPr="00163523">
              <w:rPr>
                <w:rFonts w:ascii="Wingdings" w:eastAsia="Wingdings" w:hAnsi="Wingdings" w:cs="Wingdings"/>
                <w:b/>
                <w:color w:val="000000"/>
                <w:szCs w:val="18"/>
                <w:lang w:val="en-GB" w:eastAsia="en-GB"/>
              </w:rPr>
              <w:sym w:font="Wingdings" w:char="F0FC"/>
            </w:r>
            <w:r w:rsidRPr="00163523">
              <w:rPr>
                <w:rFonts w:ascii="Wingdings" w:eastAsia="Wingdings" w:hAnsi="Wingdings" w:cs="Wingdings"/>
                <w:b/>
                <w:color w:val="000000"/>
                <w:szCs w:val="18"/>
                <w:lang w:val="en-GB" w:eastAsia="en-GB"/>
              </w:rPr>
              <w:sym w:font="Wingdings" w:char="F0FC"/>
            </w:r>
          </w:p>
        </w:tc>
        <w:tc>
          <w:tcPr>
            <w:tcW w:w="1731" w:type="dxa"/>
            <w:shd w:val="clear" w:color="auto" w:fill="F9B7AC" w:themeFill="accent2" w:themeFillTint="66"/>
            <w:noWrap/>
          </w:tcPr>
          <w:p w14:paraId="3FD5E6AC" w14:textId="1FB41120" w:rsidR="00772B35" w:rsidRPr="00163523" w:rsidRDefault="00772B35">
            <w:pPr>
              <w:spacing w:line="240" w:lineRule="auto"/>
              <w:ind w:left="0"/>
              <w:cnfStyle w:val="000000000000" w:firstRow="0" w:lastRow="0" w:firstColumn="0" w:lastColumn="0" w:oddVBand="0" w:evenVBand="0" w:oddHBand="0" w:evenHBand="0" w:firstRowFirstColumn="0" w:firstRowLastColumn="0" w:lastRowFirstColumn="0" w:lastRowLastColumn="0"/>
              <w:rPr>
                <w:rFonts w:eastAsia="Times New Roman"/>
                <w:b/>
                <w:color w:val="000000"/>
                <w:szCs w:val="18"/>
                <w:lang w:val="en-GB" w:eastAsia="en-GB"/>
              </w:rPr>
            </w:pPr>
            <w:r w:rsidRPr="00163523">
              <w:rPr>
                <w:rFonts w:eastAsia="Times New Roman"/>
                <w:b/>
                <w:color w:val="000000"/>
                <w:szCs w:val="18"/>
                <w:lang w:val="en-GB" w:eastAsia="en-GB"/>
              </w:rPr>
              <w:t>High</w:t>
            </w:r>
          </w:p>
        </w:tc>
        <w:tc>
          <w:tcPr>
            <w:tcW w:w="1436" w:type="dxa"/>
            <w:shd w:val="clear" w:color="auto" w:fill="FFD57B" w:themeFill="accent4" w:themeFillShade="E6"/>
            <w:noWrap/>
          </w:tcPr>
          <w:p w14:paraId="0BFF3AC4" w14:textId="15E3CA85" w:rsidR="00772B35" w:rsidRPr="00163523" w:rsidRDefault="00772B35" w:rsidP="00AE567B">
            <w:pPr>
              <w:spacing w:line="240" w:lineRule="auto"/>
              <w:ind w:left="0"/>
              <w:cnfStyle w:val="000000000000" w:firstRow="0" w:lastRow="0" w:firstColumn="0" w:lastColumn="0" w:oddVBand="0" w:evenVBand="0" w:oddHBand="0" w:evenHBand="0" w:firstRowFirstColumn="0" w:firstRowLastColumn="0" w:lastRowFirstColumn="0" w:lastRowLastColumn="0"/>
              <w:rPr>
                <w:rFonts w:eastAsia="Times New Roman"/>
                <w:b/>
                <w:i/>
                <w:color w:val="000000"/>
                <w:szCs w:val="18"/>
                <w:lang w:val="en-GB" w:eastAsia="en-GB"/>
              </w:rPr>
            </w:pPr>
            <w:r w:rsidRPr="00163523">
              <w:rPr>
                <w:rFonts w:eastAsia="Arial"/>
                <w:b/>
                <w:szCs w:val="18"/>
                <w:lang w:val="en-GB"/>
              </w:rPr>
              <w:t>Medium</w:t>
            </w:r>
          </w:p>
        </w:tc>
      </w:tr>
    </w:tbl>
    <w:p w14:paraId="7B07C7F0" w14:textId="77777777" w:rsidR="007805BB" w:rsidRPr="00163523" w:rsidRDefault="007805BB" w:rsidP="007805BB">
      <w:pPr>
        <w:rPr>
          <w:lang w:val="en-GB"/>
        </w:rPr>
      </w:pPr>
    </w:p>
    <w:p w14:paraId="3E8B7D50" w14:textId="08325716" w:rsidR="007D61EA" w:rsidRPr="00163523" w:rsidRDefault="00A966B3" w:rsidP="00EF0209">
      <w:pPr>
        <w:pStyle w:val="Kop4"/>
        <w:rPr>
          <w:lang w:val="en-GB"/>
        </w:rPr>
      </w:pPr>
      <w:r>
        <w:rPr>
          <w:lang w:val="en-GB"/>
        </w:rPr>
        <w:t>P</w:t>
      </w:r>
      <w:r w:rsidR="004127F0">
        <w:rPr>
          <w:lang w:val="en-GB"/>
        </w:rPr>
        <w:t xml:space="preserve">otential </w:t>
      </w:r>
      <w:r w:rsidR="007D61EA" w:rsidRPr="00163523">
        <w:rPr>
          <w:lang w:val="en-GB"/>
        </w:rPr>
        <w:t>mitigation measures</w:t>
      </w:r>
    </w:p>
    <w:p w14:paraId="2F0D7041" w14:textId="58E3D2BE" w:rsidR="00E86FE9" w:rsidRPr="00163523" w:rsidRDefault="00E86FE9" w:rsidP="00E86FE9">
      <w:pPr>
        <w:rPr>
          <w:lang w:val="en-GB"/>
        </w:rPr>
      </w:pPr>
      <w:r w:rsidRPr="00163523">
        <w:rPr>
          <w:lang w:val="en-GB"/>
        </w:rPr>
        <w:t>The following measures could be considered to mitigate the severity and likelihood of this risk to occur:</w:t>
      </w:r>
    </w:p>
    <w:p w14:paraId="1E495367" w14:textId="15895BB3" w:rsidR="00A966B3" w:rsidRDefault="00E570BB" w:rsidP="00F57572">
      <w:pPr>
        <w:pStyle w:val="Lijstalinea"/>
        <w:numPr>
          <w:ilvl w:val="0"/>
          <w:numId w:val="15"/>
        </w:numPr>
      </w:pPr>
      <w:r>
        <w:t>Economic and financial</w:t>
      </w:r>
      <w:r w:rsidR="00E86FE9">
        <w:t xml:space="preserve"> measures to prevent </w:t>
      </w:r>
      <w:r w:rsidR="00C56F90">
        <w:t xml:space="preserve">an </w:t>
      </w:r>
      <w:r w:rsidR="00E86FE9">
        <w:t xml:space="preserve">economic </w:t>
      </w:r>
      <w:r w:rsidR="007E7A05">
        <w:t>turndown</w:t>
      </w:r>
      <w:r w:rsidR="00E86FE9">
        <w:t xml:space="preserve"> </w:t>
      </w:r>
      <w:r w:rsidR="0031293F">
        <w:t xml:space="preserve">or reduce its impact, </w:t>
      </w:r>
      <w:r w:rsidR="00DF491C">
        <w:t xml:space="preserve">e.g. </w:t>
      </w:r>
      <w:r w:rsidR="008C021B">
        <w:t xml:space="preserve">through </w:t>
      </w:r>
      <w:r w:rsidR="00E86FE9">
        <w:t>monetary policy</w:t>
      </w:r>
      <w:r w:rsidR="006F431D">
        <w:t>.</w:t>
      </w:r>
    </w:p>
    <w:p w14:paraId="18BCCAFC" w14:textId="65DC76F3" w:rsidR="00E86FE9" w:rsidRDefault="0031466F" w:rsidP="00F57572">
      <w:pPr>
        <w:pStyle w:val="Lijstalinea"/>
        <w:numPr>
          <w:ilvl w:val="0"/>
          <w:numId w:val="15"/>
        </w:numPr>
      </w:pPr>
      <w:r>
        <w:t xml:space="preserve">Providing </w:t>
      </w:r>
      <w:r w:rsidR="009D1F12">
        <w:t xml:space="preserve">adequate price signals </w:t>
      </w:r>
      <w:r>
        <w:t>to</w:t>
      </w:r>
      <w:r w:rsidR="009D1F12">
        <w:t xml:space="preserve"> economic actors to </w:t>
      </w:r>
      <w:r>
        <w:t xml:space="preserve">stimulate </w:t>
      </w:r>
      <w:r w:rsidR="009D1F12">
        <w:t>invest</w:t>
      </w:r>
      <w:r>
        <w:t>ments</w:t>
      </w:r>
      <w:r w:rsidR="009D1F12">
        <w:t xml:space="preserve"> in decarbonisation measures, such as </w:t>
      </w:r>
      <w:r w:rsidR="003C6672">
        <w:t>carbon pricing,</w:t>
      </w:r>
      <w:r w:rsidR="002D1839">
        <w:t xml:space="preserve"> energy taxation reform,</w:t>
      </w:r>
      <w:r w:rsidR="003C6672">
        <w:t xml:space="preserve"> </w:t>
      </w:r>
      <w:r w:rsidR="004B32E7">
        <w:t>financial support (through subsidies, loans and fiscal measures)</w:t>
      </w:r>
      <w:r w:rsidR="00F80E4C">
        <w:t xml:space="preserve">, risk sharing (support from financial institutions), public-private project partnerships (e.g. biomethane producers and </w:t>
      </w:r>
      <w:r w:rsidR="00AF5774">
        <w:t>DSOs/</w:t>
      </w:r>
      <w:r w:rsidR="00F80E4C">
        <w:t xml:space="preserve">TSOs – with support from NRAs - </w:t>
      </w:r>
      <w:r w:rsidR="000C56D2">
        <w:t>to</w:t>
      </w:r>
      <w:r w:rsidR="00F80E4C">
        <w:t xml:space="preserve"> develop and share infrastructure costs for </w:t>
      </w:r>
      <w:r w:rsidR="009029D4">
        <w:t xml:space="preserve">the </w:t>
      </w:r>
      <w:r w:rsidR="00F80E4C">
        <w:t xml:space="preserve">connection </w:t>
      </w:r>
      <w:r w:rsidR="009029D4">
        <w:t xml:space="preserve">of biomethane plants </w:t>
      </w:r>
      <w:r w:rsidR="00F80E4C">
        <w:t xml:space="preserve">to </w:t>
      </w:r>
      <w:r w:rsidR="009029D4">
        <w:t xml:space="preserve">the </w:t>
      </w:r>
      <w:r w:rsidR="00F80E4C">
        <w:t>gas grid)</w:t>
      </w:r>
      <w:r w:rsidR="00B80053">
        <w:t>.</w:t>
      </w:r>
    </w:p>
    <w:bookmarkEnd w:id="36"/>
    <w:p w14:paraId="0B4D23CA" w14:textId="7B434E74" w:rsidR="000C0A9C" w:rsidRPr="00163523" w:rsidRDefault="000C0A9C" w:rsidP="000C0A9C">
      <w:pPr>
        <w:rPr>
          <w:lang w:val="en-GB"/>
        </w:rPr>
      </w:pPr>
    </w:p>
    <w:p w14:paraId="2B51FAF5" w14:textId="1EB7DCBB" w:rsidR="000C0A9C" w:rsidRPr="000C0A9C" w:rsidRDefault="000C0A9C" w:rsidP="001A3CCD">
      <w:pPr>
        <w:pStyle w:val="Kop2"/>
      </w:pPr>
      <w:bookmarkStart w:id="38" w:name="_Ref137116829"/>
      <w:bookmarkStart w:id="39" w:name="_Toc138492601"/>
      <w:bookmarkStart w:id="40" w:name="_Toc144803008"/>
      <w:r>
        <w:t xml:space="preserve">Risk 2: </w:t>
      </w:r>
      <w:r w:rsidRPr="000C0A9C">
        <w:t xml:space="preserve">Supply </w:t>
      </w:r>
      <w:r w:rsidR="00F63E15" w:rsidRPr="00F63E15">
        <w:t>dependence and</w:t>
      </w:r>
      <w:r w:rsidRPr="000C0A9C">
        <w:t xml:space="preserve"> bottlenecks for energy technologies can increase costs/slow down transition</w:t>
      </w:r>
      <w:bookmarkEnd w:id="38"/>
      <w:bookmarkEnd w:id="39"/>
      <w:bookmarkEnd w:id="40"/>
    </w:p>
    <w:p w14:paraId="03155536" w14:textId="7E4F480E" w:rsidR="000C0A9C" w:rsidRPr="00163523" w:rsidRDefault="000C0A9C" w:rsidP="000C0A9C">
      <w:pPr>
        <w:pStyle w:val="Kop4"/>
        <w:rPr>
          <w:lang w:val="en-GB"/>
        </w:rPr>
      </w:pPr>
      <w:r>
        <w:rPr>
          <w:lang w:val="en-GB"/>
        </w:rPr>
        <w:t>D</w:t>
      </w:r>
      <w:r w:rsidRPr="00163523">
        <w:rPr>
          <w:lang w:val="en-GB"/>
        </w:rPr>
        <w:t xml:space="preserve">escription of the risk, covering </w:t>
      </w:r>
      <w:r w:rsidR="00803ADE" w:rsidRPr="00163523">
        <w:rPr>
          <w:lang w:val="en-GB"/>
        </w:rPr>
        <w:t xml:space="preserve">the </w:t>
      </w:r>
      <w:r w:rsidRPr="00163523">
        <w:rPr>
          <w:lang w:val="en-GB"/>
        </w:rPr>
        <w:t>Baltic Regional Gas Market</w:t>
      </w:r>
    </w:p>
    <w:p w14:paraId="2E55C5B9" w14:textId="513241D6" w:rsidR="00437151" w:rsidRPr="00D663DC" w:rsidRDefault="000234F2" w:rsidP="00D663DC">
      <w:pPr>
        <w:rPr>
          <w:lang w:val="en-GB"/>
        </w:rPr>
      </w:pPr>
      <w:r>
        <w:rPr>
          <w:lang w:val="en-GB"/>
        </w:rPr>
        <w:t xml:space="preserve">Timely availability of </w:t>
      </w:r>
      <w:r w:rsidR="005F58B7">
        <w:rPr>
          <w:lang w:val="en-GB"/>
        </w:rPr>
        <w:t>adequate t</w:t>
      </w:r>
      <w:r w:rsidR="007A5E40" w:rsidRPr="00D663DC">
        <w:rPr>
          <w:lang w:val="en-GB"/>
        </w:rPr>
        <w:t xml:space="preserve">echnologies for the production, transport, storage and consumption of renewable and low-carbon gases </w:t>
      </w:r>
      <w:r w:rsidR="003A7ADB" w:rsidRPr="00D663DC">
        <w:rPr>
          <w:lang w:val="en-GB"/>
        </w:rPr>
        <w:t xml:space="preserve">will be important for the attainment of the climate and energy goals of the </w:t>
      </w:r>
      <w:r w:rsidR="00437151" w:rsidRPr="00D663DC">
        <w:rPr>
          <w:lang w:val="en-GB"/>
        </w:rPr>
        <w:t>EU as well as the Member States of the BRGM</w:t>
      </w:r>
      <w:r w:rsidR="00D663DC" w:rsidRPr="00D663DC">
        <w:rPr>
          <w:lang w:val="en-GB"/>
        </w:rPr>
        <w:t>.</w:t>
      </w:r>
      <w:r w:rsidR="00D663DC">
        <w:rPr>
          <w:lang w:val="en-GB"/>
        </w:rPr>
        <w:t xml:space="preserve"> </w:t>
      </w:r>
      <w:r w:rsidR="00437151" w:rsidRPr="00D663DC">
        <w:rPr>
          <w:lang w:val="en-GB"/>
        </w:rPr>
        <w:t>Some of these technologies may be reliant on</w:t>
      </w:r>
      <w:r w:rsidR="00345337" w:rsidRPr="00D663DC">
        <w:rPr>
          <w:lang w:val="en-GB"/>
        </w:rPr>
        <w:t xml:space="preserve"> critical</w:t>
      </w:r>
      <w:r w:rsidR="00437151" w:rsidRPr="00D663DC">
        <w:rPr>
          <w:lang w:val="en-GB"/>
        </w:rPr>
        <w:t xml:space="preserve"> components, materials and </w:t>
      </w:r>
      <w:r w:rsidR="00345337" w:rsidRPr="00D663DC">
        <w:rPr>
          <w:lang w:val="en-GB"/>
        </w:rPr>
        <w:t>equipment</w:t>
      </w:r>
      <w:r w:rsidR="0043174B">
        <w:rPr>
          <w:lang w:val="en-GB"/>
        </w:rPr>
        <w:t>,</w:t>
      </w:r>
      <w:r w:rsidR="00345337" w:rsidRPr="00D663DC">
        <w:rPr>
          <w:lang w:val="en-GB"/>
        </w:rPr>
        <w:t xml:space="preserve"> and processes. The supply of these elements may be vulnerable to disruption due to a number of reasons, including </w:t>
      </w:r>
      <w:r w:rsidR="000C71E3" w:rsidRPr="00D663DC">
        <w:rPr>
          <w:lang w:val="en-GB"/>
        </w:rPr>
        <w:t xml:space="preserve">climate change, geopolitical &amp; trade issues, </w:t>
      </w:r>
      <w:r w:rsidR="00DD36D5" w:rsidRPr="00D663DC">
        <w:rPr>
          <w:lang w:val="en-GB"/>
        </w:rPr>
        <w:t xml:space="preserve">and </w:t>
      </w:r>
      <w:r w:rsidR="000C71E3" w:rsidRPr="00D663DC">
        <w:rPr>
          <w:lang w:val="en-GB"/>
        </w:rPr>
        <w:t>pandemics</w:t>
      </w:r>
      <w:r w:rsidR="00D663DC" w:rsidRPr="00D663DC">
        <w:rPr>
          <w:lang w:val="en-GB"/>
        </w:rPr>
        <w:t>.</w:t>
      </w:r>
      <w:r w:rsidR="00DD36D5" w:rsidRPr="00163523">
        <w:rPr>
          <w:rStyle w:val="Voetnootmarkering"/>
          <w:lang w:val="en-GB"/>
        </w:rPr>
        <w:footnoteReference w:id="21"/>
      </w:r>
    </w:p>
    <w:p w14:paraId="7B71E226" w14:textId="77777777" w:rsidR="00D663DC" w:rsidRPr="008C46AA" w:rsidRDefault="00D663DC" w:rsidP="00D663DC">
      <w:pPr>
        <w:rPr>
          <w:lang w:val="en-GB"/>
        </w:rPr>
      </w:pPr>
    </w:p>
    <w:p w14:paraId="3F98EDDB" w14:textId="2F512217" w:rsidR="00F40B7D" w:rsidRPr="00D663DC" w:rsidRDefault="000A4580" w:rsidP="00D663DC">
      <w:pPr>
        <w:rPr>
          <w:lang w:val="en-GB"/>
        </w:rPr>
      </w:pPr>
      <w:r w:rsidRPr="00D663DC">
        <w:rPr>
          <w:lang w:val="en-GB"/>
        </w:rPr>
        <w:t xml:space="preserve">A number of factors may increase the vulnerability of these </w:t>
      </w:r>
      <w:r w:rsidR="002F60F3" w:rsidRPr="00D663DC">
        <w:rPr>
          <w:lang w:val="en-GB"/>
        </w:rPr>
        <w:t>technologies</w:t>
      </w:r>
      <w:r w:rsidRPr="00D663DC">
        <w:rPr>
          <w:lang w:val="en-GB"/>
        </w:rPr>
        <w:t xml:space="preserve">, including </w:t>
      </w:r>
      <w:r w:rsidR="002F60F3" w:rsidRPr="00D663DC">
        <w:rPr>
          <w:lang w:val="en-GB"/>
        </w:rPr>
        <w:t xml:space="preserve">a (forecasted) high demand in the EU, </w:t>
      </w:r>
      <w:r w:rsidR="00B02A88" w:rsidRPr="00D663DC">
        <w:rPr>
          <w:lang w:val="en-GB"/>
        </w:rPr>
        <w:t xml:space="preserve">associated high growth rate in the manufacturing to meet demand, </w:t>
      </w:r>
      <w:r w:rsidR="00E54D4F" w:rsidRPr="00D663DC">
        <w:rPr>
          <w:lang w:val="en-GB"/>
        </w:rPr>
        <w:t>and (foreign) market concentration.</w:t>
      </w:r>
      <w:r w:rsidR="00AC21DF" w:rsidRPr="00163523">
        <w:rPr>
          <w:rStyle w:val="Voetnootmarkering"/>
          <w:lang w:val="en-GB"/>
        </w:rPr>
        <w:footnoteReference w:id="22"/>
      </w:r>
      <w:r w:rsidR="00D663DC">
        <w:rPr>
          <w:lang w:val="en-GB"/>
        </w:rPr>
        <w:t xml:space="preserve"> </w:t>
      </w:r>
      <w:r w:rsidR="00F40B7D" w:rsidRPr="00D663DC">
        <w:rPr>
          <w:lang w:val="en-GB"/>
        </w:rPr>
        <w:t xml:space="preserve">While not </w:t>
      </w:r>
      <w:r w:rsidR="0025704A" w:rsidRPr="00D663DC">
        <w:rPr>
          <w:lang w:val="en-GB"/>
        </w:rPr>
        <w:t xml:space="preserve">necessarily impacting the deployment and operation of renewable and low-carbon gas equipment in the short-term, more sustained </w:t>
      </w:r>
      <w:r w:rsidR="000C33B2">
        <w:rPr>
          <w:lang w:val="en-GB"/>
        </w:rPr>
        <w:t xml:space="preserve">supply </w:t>
      </w:r>
      <w:r w:rsidR="0025704A" w:rsidRPr="00D663DC">
        <w:rPr>
          <w:lang w:val="en-GB"/>
        </w:rPr>
        <w:t xml:space="preserve">disruptions of vulnerable </w:t>
      </w:r>
      <w:r w:rsidR="0025704A" w:rsidRPr="00D663DC">
        <w:rPr>
          <w:lang w:val="en-GB"/>
        </w:rPr>
        <w:lastRenderedPageBreak/>
        <w:t xml:space="preserve">elements could have long-term impacts and compromise the </w:t>
      </w:r>
      <w:r w:rsidR="00D10BD2" w:rsidRPr="00D663DC">
        <w:rPr>
          <w:lang w:val="en-GB"/>
        </w:rPr>
        <w:t>decarbonisation of the regional gas system</w:t>
      </w:r>
      <w:r w:rsidR="00D663DC">
        <w:rPr>
          <w:lang w:val="en-GB"/>
        </w:rPr>
        <w:t>.</w:t>
      </w:r>
    </w:p>
    <w:p w14:paraId="2773276D" w14:textId="77777777" w:rsidR="00D663DC" w:rsidRPr="008C46AA" w:rsidRDefault="00D663DC" w:rsidP="00D663DC">
      <w:pPr>
        <w:rPr>
          <w:lang w:val="en-GB"/>
        </w:rPr>
      </w:pPr>
    </w:p>
    <w:p w14:paraId="02A2FA29" w14:textId="3C9A532C" w:rsidR="002D27A2" w:rsidRPr="00172F3C" w:rsidRDefault="00D10BD2" w:rsidP="00172F3C">
      <w:pPr>
        <w:rPr>
          <w:lang w:val="en-GB"/>
        </w:rPr>
      </w:pPr>
      <w:r w:rsidRPr="00D663DC">
        <w:rPr>
          <w:lang w:val="en-GB"/>
        </w:rPr>
        <w:t xml:space="preserve">Concerning </w:t>
      </w:r>
      <w:r w:rsidRPr="00D663DC">
        <w:rPr>
          <w:b/>
          <w:bCs/>
          <w:lang w:val="en-GB"/>
        </w:rPr>
        <w:t>hydrogen technologies</w:t>
      </w:r>
      <w:r w:rsidRPr="00D663DC">
        <w:rPr>
          <w:lang w:val="en-GB"/>
        </w:rPr>
        <w:t xml:space="preserve">, the main </w:t>
      </w:r>
      <w:r w:rsidR="00E602E3" w:rsidRPr="00D663DC">
        <w:rPr>
          <w:lang w:val="en-GB"/>
        </w:rPr>
        <w:t xml:space="preserve">equipment concerned refers to fuel cells </w:t>
      </w:r>
      <w:r w:rsidR="001A3656">
        <w:rPr>
          <w:lang w:val="en-GB"/>
        </w:rPr>
        <w:t>(mobile and stationary)</w:t>
      </w:r>
      <w:r w:rsidR="00E602E3" w:rsidRPr="00D663DC">
        <w:rPr>
          <w:lang w:val="en-GB"/>
        </w:rPr>
        <w:t xml:space="preserve"> and electrolysers. </w:t>
      </w:r>
      <w:r w:rsidR="00D65EA8" w:rsidRPr="00D663DC">
        <w:rPr>
          <w:lang w:val="en-GB"/>
        </w:rPr>
        <w:t xml:space="preserve">While </w:t>
      </w:r>
      <w:r w:rsidR="005C74FE" w:rsidRPr="00D663DC">
        <w:rPr>
          <w:lang w:val="en-GB"/>
        </w:rPr>
        <w:t>Asia and the United States lead in the manufacturing of fuel cells, EU manufactur</w:t>
      </w:r>
      <w:r w:rsidR="00E15A7F" w:rsidRPr="00D663DC">
        <w:rPr>
          <w:lang w:val="en-GB"/>
        </w:rPr>
        <w:t>ing is also important and domestic producers</w:t>
      </w:r>
      <w:r w:rsidR="005C2F60">
        <w:rPr>
          <w:lang w:val="en-GB"/>
        </w:rPr>
        <w:t xml:space="preserve"> are</w:t>
      </w:r>
      <w:r w:rsidR="00E15A7F" w:rsidRPr="00D663DC">
        <w:rPr>
          <w:lang w:val="en-GB"/>
        </w:rPr>
        <w:t xml:space="preserve"> well-placed for the production of several main components</w:t>
      </w:r>
      <w:r w:rsidR="008703B7" w:rsidRPr="00D663DC">
        <w:rPr>
          <w:lang w:val="en-GB"/>
        </w:rPr>
        <w:t xml:space="preserve">. </w:t>
      </w:r>
      <w:r w:rsidR="008703B7" w:rsidRPr="00172F3C">
        <w:rPr>
          <w:lang w:val="en-GB"/>
        </w:rPr>
        <w:t xml:space="preserve">EU manufacturers are furthermore </w:t>
      </w:r>
      <w:r w:rsidR="00172F3C">
        <w:rPr>
          <w:lang w:val="en-GB"/>
        </w:rPr>
        <w:t>leaders</w:t>
      </w:r>
      <w:r w:rsidR="008703B7" w:rsidRPr="00172F3C">
        <w:rPr>
          <w:lang w:val="en-GB"/>
        </w:rPr>
        <w:t xml:space="preserve"> in the manufacturing of electrolysers</w:t>
      </w:r>
      <w:r w:rsidR="00172F3C" w:rsidRPr="00172F3C">
        <w:rPr>
          <w:lang w:val="en-GB"/>
        </w:rPr>
        <w:t xml:space="preserve">. </w:t>
      </w:r>
      <w:r w:rsidR="002D27A2" w:rsidRPr="00172F3C">
        <w:rPr>
          <w:lang w:val="en-GB"/>
        </w:rPr>
        <w:t>The policy targets for the deployment of electrolysers are significant and could lead to supply chain bottlenecks in case of delays in developing the manufacturing facilities</w:t>
      </w:r>
      <w:r w:rsidR="00312A89">
        <w:rPr>
          <w:lang w:val="en-GB"/>
        </w:rPr>
        <w:t xml:space="preserve"> – including due to the lack of sufficient skilled labour</w:t>
      </w:r>
      <w:r w:rsidR="00172F3C">
        <w:rPr>
          <w:lang w:val="en-GB"/>
        </w:rPr>
        <w:t>.</w:t>
      </w:r>
      <w:r w:rsidR="00B714B4">
        <w:rPr>
          <w:lang w:val="en-GB"/>
        </w:rPr>
        <w:t xml:space="preserve"> Furthermore, dependencies could increase in the sourc</w:t>
      </w:r>
      <w:r w:rsidR="00B93780">
        <w:rPr>
          <w:lang w:val="en-GB"/>
        </w:rPr>
        <w:t>ing</w:t>
      </w:r>
      <w:r w:rsidR="00B714B4">
        <w:rPr>
          <w:lang w:val="en-GB"/>
        </w:rPr>
        <w:t xml:space="preserve"> of critical raw materials.</w:t>
      </w:r>
      <w:r w:rsidR="00DB7ABB" w:rsidRPr="00163523">
        <w:rPr>
          <w:rStyle w:val="Voetnootmarkering"/>
          <w:lang w:val="en-GB"/>
        </w:rPr>
        <w:footnoteReference w:id="23"/>
      </w:r>
    </w:p>
    <w:p w14:paraId="19EDC041" w14:textId="77777777" w:rsidR="00172F3C" w:rsidRPr="00B714B4" w:rsidRDefault="00172F3C" w:rsidP="00172F3C">
      <w:pPr>
        <w:rPr>
          <w:lang w:val="en-GB"/>
        </w:rPr>
      </w:pPr>
    </w:p>
    <w:p w14:paraId="0CCBC773" w14:textId="2AB24CBA" w:rsidR="00EA4C33" w:rsidRPr="00172F3C" w:rsidRDefault="00A865A9" w:rsidP="00172F3C">
      <w:pPr>
        <w:rPr>
          <w:lang w:val="en-GB"/>
        </w:rPr>
      </w:pPr>
      <w:r w:rsidRPr="00172F3C">
        <w:rPr>
          <w:lang w:val="en-GB"/>
        </w:rPr>
        <w:t xml:space="preserve">Concerning </w:t>
      </w:r>
      <w:r w:rsidRPr="00172F3C">
        <w:rPr>
          <w:b/>
          <w:bCs/>
          <w:lang w:val="en-GB"/>
        </w:rPr>
        <w:t>biogas and biomethane technologies</w:t>
      </w:r>
      <w:r w:rsidRPr="00172F3C">
        <w:rPr>
          <w:lang w:val="en-GB"/>
        </w:rPr>
        <w:t xml:space="preserve">, </w:t>
      </w:r>
      <w:r w:rsidR="00904674" w:rsidRPr="00172F3C">
        <w:rPr>
          <w:lang w:val="en-GB"/>
        </w:rPr>
        <w:t xml:space="preserve">the EU </w:t>
      </w:r>
      <w:r w:rsidR="00622FBA">
        <w:rPr>
          <w:lang w:val="en-GB"/>
        </w:rPr>
        <w:t>has</w:t>
      </w:r>
      <w:r w:rsidR="00904674" w:rsidRPr="00172F3C">
        <w:rPr>
          <w:lang w:val="en-GB"/>
        </w:rPr>
        <w:t xml:space="preserve"> leading manufacturers of equipment for the anaerobic digestion of biomass into biogas as well as for the </w:t>
      </w:r>
      <w:r w:rsidR="00DB7ABB" w:rsidRPr="00172F3C">
        <w:rPr>
          <w:lang w:val="en-GB"/>
        </w:rPr>
        <w:t>upgrading into biomethane</w:t>
      </w:r>
      <w:r w:rsidR="00172F3C" w:rsidRPr="00172F3C">
        <w:rPr>
          <w:lang w:val="en-GB"/>
        </w:rPr>
        <w:t>.</w:t>
      </w:r>
      <w:r w:rsidR="00DB7ABB" w:rsidRPr="00163523">
        <w:rPr>
          <w:rStyle w:val="Voetnootmarkering"/>
          <w:lang w:val="en-GB"/>
        </w:rPr>
        <w:footnoteReference w:id="24"/>
      </w:r>
      <w:r w:rsidR="00172F3C">
        <w:rPr>
          <w:lang w:val="en-GB"/>
        </w:rPr>
        <w:t xml:space="preserve"> </w:t>
      </w:r>
      <w:r w:rsidR="00EA4C33" w:rsidRPr="00172F3C">
        <w:rPr>
          <w:lang w:val="en-GB"/>
        </w:rPr>
        <w:t xml:space="preserve">However, regarding the BRGM countries, only Finland </w:t>
      </w:r>
      <w:r w:rsidR="00FE6064" w:rsidRPr="00172F3C">
        <w:rPr>
          <w:lang w:val="en-GB"/>
        </w:rPr>
        <w:t>has a significant manufacturing and services base for biogas and biomethane</w:t>
      </w:r>
      <w:r w:rsidR="00971A90">
        <w:rPr>
          <w:lang w:val="en-GB"/>
        </w:rPr>
        <w:t xml:space="preserve"> technologies</w:t>
      </w:r>
      <w:r w:rsidR="00172F3C">
        <w:rPr>
          <w:lang w:val="en-GB"/>
        </w:rPr>
        <w:t>.</w:t>
      </w:r>
      <w:r w:rsidR="000B2C0A" w:rsidRPr="00163523">
        <w:rPr>
          <w:rStyle w:val="Voetnootmarkering"/>
          <w:lang w:val="en-GB"/>
        </w:rPr>
        <w:footnoteReference w:id="25"/>
      </w:r>
    </w:p>
    <w:p w14:paraId="56586BAC" w14:textId="77777777" w:rsidR="00172F3C" w:rsidRPr="00163523" w:rsidRDefault="00172F3C" w:rsidP="00172F3C">
      <w:pPr>
        <w:rPr>
          <w:lang w:val="en-GB"/>
        </w:rPr>
      </w:pPr>
    </w:p>
    <w:p w14:paraId="64289CB7" w14:textId="6DA3D694" w:rsidR="00B23F27" w:rsidRDefault="004D2AD0" w:rsidP="00172F3C">
      <w:pPr>
        <w:rPr>
          <w:lang w:val="en-GB"/>
        </w:rPr>
      </w:pPr>
      <w:r w:rsidRPr="00163523">
        <w:rPr>
          <w:lang w:val="en-GB"/>
        </w:rPr>
        <w:t>Rega</w:t>
      </w:r>
      <w:r w:rsidR="00025117" w:rsidRPr="00163523">
        <w:rPr>
          <w:lang w:val="en-GB"/>
        </w:rPr>
        <w:t>rd</w:t>
      </w:r>
      <w:r w:rsidRPr="00163523">
        <w:rPr>
          <w:lang w:val="en-GB"/>
        </w:rPr>
        <w:t xml:space="preserve">ing </w:t>
      </w:r>
      <w:r w:rsidR="00025117" w:rsidRPr="00163523">
        <w:rPr>
          <w:lang w:val="en-GB"/>
        </w:rPr>
        <w:t>the</w:t>
      </w:r>
      <w:r w:rsidR="00955C02" w:rsidRPr="00163523">
        <w:rPr>
          <w:lang w:val="en-GB"/>
        </w:rPr>
        <w:t xml:space="preserve"> </w:t>
      </w:r>
      <w:r w:rsidR="00955C02" w:rsidRPr="00163523">
        <w:rPr>
          <w:b/>
          <w:lang w:val="en-GB"/>
        </w:rPr>
        <w:t xml:space="preserve">technologies </w:t>
      </w:r>
      <w:r w:rsidR="00180CD3" w:rsidRPr="00163523">
        <w:rPr>
          <w:b/>
          <w:lang w:val="en-GB"/>
        </w:rPr>
        <w:t>for the production of</w:t>
      </w:r>
      <w:r w:rsidR="00180CD3" w:rsidRPr="00163523">
        <w:rPr>
          <w:lang w:val="en-GB"/>
        </w:rPr>
        <w:t xml:space="preserve"> </w:t>
      </w:r>
      <w:r w:rsidR="00180CD3" w:rsidRPr="00163523">
        <w:rPr>
          <w:b/>
          <w:lang w:val="en-GB"/>
        </w:rPr>
        <w:t>renewable fuels of non-biologic</w:t>
      </w:r>
      <w:r w:rsidR="00785650" w:rsidRPr="00163523">
        <w:rPr>
          <w:b/>
          <w:lang w:val="en-GB"/>
        </w:rPr>
        <w:t>al</w:t>
      </w:r>
      <w:r w:rsidR="00180CD3" w:rsidRPr="00163523">
        <w:rPr>
          <w:b/>
          <w:lang w:val="en-GB"/>
        </w:rPr>
        <w:t xml:space="preserve"> origin</w:t>
      </w:r>
      <w:r w:rsidR="00180CD3" w:rsidRPr="00163523">
        <w:rPr>
          <w:lang w:val="en-GB"/>
        </w:rPr>
        <w:t xml:space="preserve">, </w:t>
      </w:r>
      <w:r w:rsidR="00025117" w:rsidRPr="00163523">
        <w:rPr>
          <w:lang w:val="en-GB"/>
        </w:rPr>
        <w:t>the</w:t>
      </w:r>
      <w:r w:rsidR="0024667D" w:rsidRPr="00163523">
        <w:rPr>
          <w:lang w:val="en-GB"/>
        </w:rPr>
        <w:t xml:space="preserve"> main dependencies relate to the availability of renewable electricity at competitive prices. Supply chain dependencies are low, as several manufacturers for catalysts </w:t>
      </w:r>
      <w:r w:rsidR="00461B5B" w:rsidRPr="00163523">
        <w:rPr>
          <w:lang w:val="en-GB"/>
        </w:rPr>
        <w:t xml:space="preserve">exist. </w:t>
      </w:r>
      <w:r w:rsidR="00461B5B" w:rsidRPr="00172F3C">
        <w:rPr>
          <w:lang w:val="en-GB"/>
        </w:rPr>
        <w:t>However, these are especially located in the Benelux and Germany, with lower presence in the BRGM region</w:t>
      </w:r>
      <w:r w:rsidR="00172F3C" w:rsidRPr="00172F3C">
        <w:rPr>
          <w:lang w:val="en-GB"/>
        </w:rPr>
        <w:t>.</w:t>
      </w:r>
    </w:p>
    <w:p w14:paraId="2D666FE2" w14:textId="77777777" w:rsidR="00172F3C" w:rsidRPr="00172F3C" w:rsidRDefault="00172F3C" w:rsidP="00172F3C">
      <w:pPr>
        <w:rPr>
          <w:lang w:val="en-GB"/>
        </w:rPr>
      </w:pPr>
    </w:p>
    <w:p w14:paraId="470D9008" w14:textId="69798DA9" w:rsidR="002805D3" w:rsidRPr="00172F3C" w:rsidRDefault="00172F3C" w:rsidP="00172F3C">
      <w:pPr>
        <w:rPr>
          <w:lang w:val="en-GB"/>
        </w:rPr>
      </w:pPr>
      <w:r>
        <w:rPr>
          <w:lang w:val="en-GB"/>
        </w:rPr>
        <w:t>It must be noted that t</w:t>
      </w:r>
      <w:r w:rsidR="008B7A31" w:rsidRPr="00172F3C">
        <w:rPr>
          <w:lang w:val="en-GB"/>
        </w:rPr>
        <w:t xml:space="preserve">he localisation of the industries within the EU is </w:t>
      </w:r>
      <w:r w:rsidR="006E522D" w:rsidRPr="00172F3C">
        <w:rPr>
          <w:lang w:val="en-GB"/>
        </w:rPr>
        <w:t xml:space="preserve">not as important from a supply chain </w:t>
      </w:r>
      <w:r w:rsidR="00BD37B0" w:rsidRPr="00172F3C">
        <w:rPr>
          <w:lang w:val="en-GB"/>
        </w:rPr>
        <w:t>dependence p</w:t>
      </w:r>
      <w:r w:rsidR="000A0F62">
        <w:rPr>
          <w:lang w:val="en-GB"/>
        </w:rPr>
        <w:t>erspective</w:t>
      </w:r>
      <w:r w:rsidR="006E522D" w:rsidRPr="00172F3C">
        <w:rPr>
          <w:lang w:val="en-GB"/>
        </w:rPr>
        <w:t xml:space="preserve"> as </w:t>
      </w:r>
      <w:r w:rsidR="00BD37B0" w:rsidRPr="00172F3C">
        <w:rPr>
          <w:lang w:val="en-GB"/>
        </w:rPr>
        <w:t>the</w:t>
      </w:r>
      <w:r w:rsidR="006E522D" w:rsidRPr="00172F3C">
        <w:rPr>
          <w:lang w:val="en-GB"/>
        </w:rPr>
        <w:t xml:space="preserve"> dependence on non-EU manufacturers and service providers</w:t>
      </w:r>
      <w:r w:rsidR="00BD37B0" w:rsidRPr="00172F3C">
        <w:rPr>
          <w:lang w:val="en-GB"/>
        </w:rPr>
        <w:t xml:space="preserve"> (although the localisation</w:t>
      </w:r>
      <w:r w:rsidR="00257418" w:rsidRPr="00172F3C">
        <w:rPr>
          <w:lang w:val="en-GB"/>
        </w:rPr>
        <w:t xml:space="preserve"> would affect the macro-economic impacts of the </w:t>
      </w:r>
      <w:r w:rsidR="00CA3C80">
        <w:rPr>
          <w:lang w:val="en-GB"/>
        </w:rPr>
        <w:t>technologies’ deployment</w:t>
      </w:r>
      <w:r w:rsidR="00257418" w:rsidRPr="00172F3C">
        <w:rPr>
          <w:lang w:val="en-GB"/>
        </w:rPr>
        <w:t>)</w:t>
      </w:r>
      <w:r w:rsidRPr="00172F3C">
        <w:rPr>
          <w:lang w:val="en-GB"/>
        </w:rPr>
        <w:t>.</w:t>
      </w:r>
      <w:r w:rsidR="004A5A9C">
        <w:rPr>
          <w:lang w:val="en-GB"/>
        </w:rPr>
        <w:t xml:space="preserve"> Nonetheless, the large-scale deployment of </w:t>
      </w:r>
      <w:r w:rsidR="00B63054">
        <w:rPr>
          <w:lang w:val="en-GB"/>
        </w:rPr>
        <w:t xml:space="preserve">dispersed gas production facilities would require sufficient </w:t>
      </w:r>
      <w:r w:rsidR="00121AB6">
        <w:rPr>
          <w:lang w:val="en-GB"/>
        </w:rPr>
        <w:t>skills for not only manufacturing but also installation and operation.</w:t>
      </w:r>
    </w:p>
    <w:p w14:paraId="4C68ABF5" w14:textId="77777777" w:rsidR="000C0A9C" w:rsidRPr="00163523" w:rsidRDefault="000C0A9C" w:rsidP="000C0A9C">
      <w:pPr>
        <w:rPr>
          <w:lang w:val="en-GB"/>
        </w:rPr>
      </w:pPr>
    </w:p>
    <w:p w14:paraId="4734C17A" w14:textId="729EEEBD" w:rsidR="000C0A9C" w:rsidRPr="00163523" w:rsidRDefault="00AB17A7" w:rsidP="000C0A9C">
      <w:pPr>
        <w:pStyle w:val="Kop4"/>
        <w:rPr>
          <w:lang w:val="en-GB"/>
        </w:rPr>
      </w:pPr>
      <w:r w:rsidRPr="00163523">
        <w:rPr>
          <w:lang w:val="en-GB"/>
        </w:rPr>
        <w:t>Rating</w:t>
      </w:r>
      <w:r w:rsidR="000C0A9C" w:rsidRPr="00163523">
        <w:rPr>
          <w:lang w:val="en-GB"/>
        </w:rPr>
        <w:t xml:space="preserve"> of the </w:t>
      </w:r>
      <w:r w:rsidRPr="00163523">
        <w:rPr>
          <w:lang w:val="en-GB"/>
        </w:rPr>
        <w:t xml:space="preserve">risk </w:t>
      </w:r>
      <w:r w:rsidR="000C0A9C" w:rsidRPr="00163523">
        <w:rPr>
          <w:lang w:val="en-GB"/>
        </w:rPr>
        <w:t>based on likelihood and severity</w:t>
      </w:r>
    </w:p>
    <w:p w14:paraId="53DB6EFC" w14:textId="4EB692D7" w:rsidR="00803ADE" w:rsidRPr="0097754F" w:rsidRDefault="002E1C2C" w:rsidP="00181CF2">
      <w:pPr>
        <w:rPr>
          <w:lang w:val="en-GB"/>
        </w:rPr>
      </w:pPr>
      <w:r>
        <w:rPr>
          <w:lang w:val="en-GB"/>
        </w:rPr>
        <w:t xml:space="preserve">Based on </w:t>
      </w:r>
      <w:r w:rsidR="00803ADE">
        <w:rPr>
          <w:lang w:val="en-GB"/>
        </w:rPr>
        <w:t>the information present</w:t>
      </w:r>
      <w:r>
        <w:rPr>
          <w:lang w:val="en-GB"/>
        </w:rPr>
        <w:t>ed</w:t>
      </w:r>
      <w:r w:rsidR="00803ADE">
        <w:rPr>
          <w:lang w:val="en-GB"/>
        </w:rPr>
        <w:t xml:space="preserve"> above</w:t>
      </w:r>
      <w:r w:rsidR="00181CF2" w:rsidRPr="00BC6954">
        <w:rPr>
          <w:lang w:val="en-GB"/>
        </w:rPr>
        <w:t xml:space="preserve">, we assess the </w:t>
      </w:r>
      <w:r w:rsidR="00181CF2" w:rsidRPr="00BC6954">
        <w:rPr>
          <w:b/>
          <w:bCs/>
          <w:lang w:val="en-GB"/>
        </w:rPr>
        <w:t xml:space="preserve">severity of the risk as </w:t>
      </w:r>
      <w:r w:rsidR="0097754F">
        <w:rPr>
          <w:b/>
          <w:bCs/>
          <w:lang w:val="en-GB"/>
        </w:rPr>
        <w:t xml:space="preserve">medium </w:t>
      </w:r>
      <w:r w:rsidR="0097754F">
        <w:rPr>
          <w:lang w:val="en-GB"/>
        </w:rPr>
        <w:t>due to the significant policy targets for the deployment of electrolysers which could lead to manufacturing bottlenecks and</w:t>
      </w:r>
      <w:r w:rsidR="00B714B4">
        <w:rPr>
          <w:lang w:val="en-GB"/>
        </w:rPr>
        <w:t xml:space="preserve"> due to the dependence on critical raw materials for hydrogen technologies. In contrast, the supply chain dependences for biogas/biomethane and RFNBO technologies are </w:t>
      </w:r>
      <w:r w:rsidR="00E15CE6">
        <w:rPr>
          <w:lang w:val="en-GB"/>
        </w:rPr>
        <w:t xml:space="preserve">limited given the </w:t>
      </w:r>
      <w:r w:rsidR="0039680A">
        <w:rPr>
          <w:lang w:val="en-GB"/>
        </w:rPr>
        <w:t xml:space="preserve">important activities </w:t>
      </w:r>
      <w:r w:rsidR="00E15CE6">
        <w:rPr>
          <w:lang w:val="en-GB"/>
        </w:rPr>
        <w:t>of EU companies in this sector, including a presence</w:t>
      </w:r>
      <w:r w:rsidR="00F11C9F">
        <w:rPr>
          <w:lang w:val="en-GB"/>
        </w:rPr>
        <w:t xml:space="preserve"> </w:t>
      </w:r>
      <w:r w:rsidR="00E15CE6">
        <w:rPr>
          <w:lang w:val="en-GB"/>
        </w:rPr>
        <w:t xml:space="preserve">in Finland </w:t>
      </w:r>
      <w:r w:rsidR="00E0009D">
        <w:rPr>
          <w:lang w:val="en-GB"/>
        </w:rPr>
        <w:t>of companies active in</w:t>
      </w:r>
      <w:r w:rsidR="00E15CE6">
        <w:rPr>
          <w:lang w:val="en-GB"/>
        </w:rPr>
        <w:t xml:space="preserve"> biogas/biomethane technologies.</w:t>
      </w:r>
    </w:p>
    <w:p w14:paraId="359B3D04" w14:textId="77777777" w:rsidR="00803ADE" w:rsidRDefault="00803ADE" w:rsidP="00181CF2">
      <w:pPr>
        <w:rPr>
          <w:lang w:val="en-GB"/>
        </w:rPr>
      </w:pPr>
    </w:p>
    <w:p w14:paraId="1F2B9653" w14:textId="401352EA" w:rsidR="00181CF2" w:rsidRDefault="00105059" w:rsidP="00181CF2">
      <w:pPr>
        <w:rPr>
          <w:lang w:val="en-GB"/>
        </w:rPr>
      </w:pPr>
      <w:r>
        <w:rPr>
          <w:lang w:val="en-GB"/>
        </w:rPr>
        <w:t>T</w:t>
      </w:r>
      <w:r w:rsidR="00181CF2" w:rsidRPr="00BC6954">
        <w:rPr>
          <w:lang w:val="en-GB"/>
        </w:rPr>
        <w:t xml:space="preserve">he </w:t>
      </w:r>
      <w:r w:rsidR="00181CF2" w:rsidRPr="00BC6954">
        <w:rPr>
          <w:b/>
          <w:bCs/>
          <w:lang w:val="en-GB"/>
        </w:rPr>
        <w:t xml:space="preserve">probability of the risk is assessed as low </w:t>
      </w:r>
      <w:r w:rsidR="00181CF2" w:rsidRPr="00BC6954">
        <w:rPr>
          <w:lang w:val="en-GB"/>
        </w:rPr>
        <w:t xml:space="preserve">given the existence of </w:t>
      </w:r>
      <w:r>
        <w:rPr>
          <w:lang w:val="en-GB"/>
        </w:rPr>
        <w:t>several policy initiatives at the EU level aimed at addressing the potential manufacturing and critical raw materials bottlenecks</w:t>
      </w:r>
      <w:r w:rsidR="00F92EEC">
        <w:rPr>
          <w:lang w:val="en-GB"/>
        </w:rPr>
        <w:t>.</w:t>
      </w:r>
    </w:p>
    <w:p w14:paraId="6632B3FC" w14:textId="77777777" w:rsidR="00181CF2" w:rsidRPr="00BC6954" w:rsidRDefault="00181CF2" w:rsidP="00181CF2">
      <w:pPr>
        <w:rPr>
          <w:b/>
          <w:bCs/>
          <w:lang w:val="en-GB"/>
        </w:rPr>
      </w:pPr>
    </w:p>
    <w:p w14:paraId="378B6712" w14:textId="144CFF9B" w:rsidR="00920786" w:rsidRPr="00163523" w:rsidRDefault="00F92EEC" w:rsidP="001C7B9D">
      <w:pPr>
        <w:rPr>
          <w:lang w:val="en-GB"/>
        </w:rPr>
      </w:pPr>
      <w:r>
        <w:rPr>
          <w:lang w:val="en-GB"/>
        </w:rPr>
        <w:t xml:space="preserve">This risk would </w:t>
      </w:r>
      <w:r w:rsidR="003D0644">
        <w:rPr>
          <w:lang w:val="en-GB"/>
        </w:rPr>
        <w:t xml:space="preserve">affect especially the REN-H scenario </w:t>
      </w:r>
      <w:r w:rsidR="00E0009D">
        <w:rPr>
          <w:lang w:val="en-GB"/>
        </w:rPr>
        <w:t>as</w:t>
      </w:r>
      <w:r w:rsidR="003D0644">
        <w:rPr>
          <w:lang w:val="en-GB"/>
        </w:rPr>
        <w:t xml:space="preserve"> </w:t>
      </w:r>
      <w:r w:rsidR="00FE5D99">
        <w:rPr>
          <w:lang w:val="en-GB"/>
        </w:rPr>
        <w:t>high</w:t>
      </w:r>
      <w:r w:rsidR="003D0644">
        <w:rPr>
          <w:lang w:val="en-GB"/>
        </w:rPr>
        <w:t xml:space="preserve"> dependencies </w:t>
      </w:r>
      <w:r w:rsidR="002149F6">
        <w:rPr>
          <w:lang w:val="en-GB"/>
        </w:rPr>
        <w:t>were identified for electrolyser and fuel cell technologies. All four countries would be similarly affected in case of any supply chain disruptions</w:t>
      </w:r>
      <w:r w:rsidR="001C7B9D">
        <w:rPr>
          <w:lang w:val="en-GB"/>
        </w:rPr>
        <w:t xml:space="preserve"> given the free trade of products and services within the EU, even if Finland disposes of a more important manufacturing and services base for biogas/biomethane</w:t>
      </w:r>
      <w:r w:rsidR="008E6119">
        <w:rPr>
          <w:lang w:val="en-GB"/>
        </w:rPr>
        <w:t xml:space="preserve"> technologies</w:t>
      </w:r>
      <w:r w:rsidR="001C7B9D">
        <w:rPr>
          <w:lang w:val="en-GB"/>
        </w:rPr>
        <w:t>.</w:t>
      </w:r>
    </w:p>
    <w:p w14:paraId="513DDE6E" w14:textId="77777777" w:rsidR="00920786" w:rsidRPr="00920786" w:rsidRDefault="00920786" w:rsidP="000C0A9C">
      <w:pPr>
        <w:rPr>
          <w:lang w:val="en-GB"/>
        </w:rPr>
      </w:pPr>
    </w:p>
    <w:tbl>
      <w:tblPr>
        <w:tblStyle w:val="Table1"/>
        <w:tblW w:w="8449" w:type="dxa"/>
        <w:tblLayout w:type="fixed"/>
        <w:tblLook w:val="04A0" w:firstRow="1" w:lastRow="0" w:firstColumn="1" w:lastColumn="0" w:noHBand="0" w:noVBand="1"/>
      </w:tblPr>
      <w:tblGrid>
        <w:gridCol w:w="2830"/>
        <w:gridCol w:w="817"/>
        <w:gridCol w:w="817"/>
        <w:gridCol w:w="818"/>
        <w:gridCol w:w="1731"/>
        <w:gridCol w:w="1436"/>
      </w:tblGrid>
      <w:tr w:rsidR="006E18C3" w:rsidRPr="00801E6C" w14:paraId="4B5649DB" w14:textId="77777777" w:rsidTr="00097AD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0" w:type="dxa"/>
            <w:vMerge w:val="restart"/>
            <w:noWrap/>
          </w:tcPr>
          <w:p w14:paraId="2B43B327" w14:textId="77777777" w:rsidR="006E18C3" w:rsidRPr="00163523" w:rsidRDefault="006E18C3" w:rsidP="0076227C">
            <w:pPr>
              <w:keepNext/>
              <w:spacing w:line="240" w:lineRule="auto"/>
              <w:ind w:left="0"/>
              <w:rPr>
                <w:rFonts w:eastAsia="Times New Roman"/>
                <w:sz w:val="16"/>
                <w:szCs w:val="16"/>
                <w:lang w:val="en-GB" w:eastAsia="en-GB"/>
              </w:rPr>
            </w:pPr>
            <w:r w:rsidRPr="00163523">
              <w:rPr>
                <w:rFonts w:eastAsia="Arial"/>
                <w:sz w:val="16"/>
                <w:szCs w:val="16"/>
                <w:lang w:val="en-GB"/>
              </w:rPr>
              <w:t>Risk</w:t>
            </w:r>
          </w:p>
        </w:tc>
        <w:tc>
          <w:tcPr>
            <w:tcW w:w="2452" w:type="dxa"/>
            <w:gridSpan w:val="3"/>
          </w:tcPr>
          <w:p w14:paraId="5F3CB974" w14:textId="77777777" w:rsidR="006E18C3" w:rsidRPr="00163523" w:rsidRDefault="006E18C3" w:rsidP="0076227C">
            <w:pPr>
              <w:keepNext/>
              <w:spacing w:line="240" w:lineRule="auto"/>
              <w:ind w:left="0"/>
              <w:cnfStyle w:val="100000000000" w:firstRow="1" w:lastRow="0" w:firstColumn="0" w:lastColumn="0" w:oddVBand="0" w:evenVBand="0" w:oddHBand="0" w:evenHBand="0" w:firstRowFirstColumn="0" w:firstRowLastColumn="0" w:lastRowFirstColumn="0" w:lastRowLastColumn="0"/>
              <w:rPr>
                <w:rFonts w:eastAsia="Arial"/>
                <w:sz w:val="16"/>
                <w:szCs w:val="16"/>
                <w:lang w:val="en-GB"/>
              </w:rPr>
            </w:pPr>
            <w:r w:rsidRPr="00801E6C">
              <w:rPr>
                <w:rFonts w:eastAsia="Arial"/>
                <w:sz w:val="16"/>
                <w:szCs w:val="16"/>
                <w:lang w:val="en-GB"/>
              </w:rPr>
              <w:t>Applicable scenarios</w:t>
            </w:r>
          </w:p>
        </w:tc>
        <w:tc>
          <w:tcPr>
            <w:tcW w:w="1731" w:type="dxa"/>
            <w:vMerge w:val="restart"/>
            <w:noWrap/>
          </w:tcPr>
          <w:p w14:paraId="37A392A0" w14:textId="77777777" w:rsidR="006E18C3" w:rsidRPr="00163523" w:rsidRDefault="006E18C3" w:rsidP="0076227C">
            <w:pPr>
              <w:keepNext/>
              <w:spacing w:line="240" w:lineRule="auto"/>
              <w:ind w:left="0"/>
              <w:cnfStyle w:val="100000000000" w:firstRow="1" w:lastRow="0" w:firstColumn="0" w:lastColumn="0" w:oddVBand="0" w:evenVBand="0" w:oddHBand="0" w:evenHBand="0" w:firstRowFirstColumn="0" w:firstRowLastColumn="0" w:lastRowFirstColumn="0" w:lastRowLastColumn="0"/>
              <w:rPr>
                <w:rFonts w:eastAsia="Times New Roman"/>
                <w:i/>
                <w:sz w:val="16"/>
                <w:szCs w:val="16"/>
                <w:lang w:val="en-GB" w:eastAsia="en-GB"/>
              </w:rPr>
            </w:pPr>
            <w:r w:rsidRPr="00163523">
              <w:rPr>
                <w:rFonts w:eastAsia="Arial"/>
                <w:sz w:val="16"/>
                <w:szCs w:val="16"/>
                <w:lang w:val="en-GB"/>
              </w:rPr>
              <w:t>Likelihood</w:t>
            </w:r>
          </w:p>
        </w:tc>
        <w:tc>
          <w:tcPr>
            <w:tcW w:w="1436" w:type="dxa"/>
            <w:vMerge w:val="restart"/>
            <w:noWrap/>
          </w:tcPr>
          <w:p w14:paraId="193CC4CA" w14:textId="77777777" w:rsidR="006E18C3" w:rsidRPr="00163523" w:rsidRDefault="006E18C3" w:rsidP="0076227C">
            <w:pPr>
              <w:keepNext/>
              <w:spacing w:line="240" w:lineRule="auto"/>
              <w:ind w:left="0"/>
              <w:cnfStyle w:val="100000000000" w:firstRow="1" w:lastRow="0" w:firstColumn="0" w:lastColumn="0" w:oddVBand="0" w:evenVBand="0" w:oddHBand="0" w:evenHBand="0" w:firstRowFirstColumn="0" w:firstRowLastColumn="0" w:lastRowFirstColumn="0" w:lastRowLastColumn="0"/>
              <w:rPr>
                <w:rFonts w:eastAsia="Times New Roman"/>
                <w:i/>
                <w:sz w:val="16"/>
                <w:szCs w:val="16"/>
                <w:lang w:val="en-GB" w:eastAsia="en-GB"/>
              </w:rPr>
            </w:pPr>
            <w:r w:rsidRPr="00163523">
              <w:rPr>
                <w:rFonts w:eastAsia="Arial"/>
                <w:sz w:val="16"/>
                <w:szCs w:val="16"/>
                <w:lang w:val="en-GB"/>
              </w:rPr>
              <w:t>Severity</w:t>
            </w:r>
          </w:p>
        </w:tc>
      </w:tr>
      <w:tr w:rsidR="006E18C3" w:rsidRPr="00801E6C" w14:paraId="04486870" w14:textId="77777777" w:rsidTr="00097AD7">
        <w:trPr>
          <w:trHeight w:val="20"/>
        </w:trPr>
        <w:tc>
          <w:tcPr>
            <w:cnfStyle w:val="001000000000" w:firstRow="0" w:lastRow="0" w:firstColumn="1" w:lastColumn="0" w:oddVBand="0" w:evenVBand="0" w:oddHBand="0" w:evenHBand="0" w:firstRowFirstColumn="0" w:firstRowLastColumn="0" w:lastRowFirstColumn="0" w:lastRowLastColumn="0"/>
            <w:tcW w:w="2830" w:type="dxa"/>
            <w:vMerge/>
            <w:noWrap/>
          </w:tcPr>
          <w:p w14:paraId="485C338B" w14:textId="77777777" w:rsidR="006E18C3" w:rsidRPr="00801E6C" w:rsidRDefault="006E18C3" w:rsidP="0076227C">
            <w:pPr>
              <w:spacing w:line="240" w:lineRule="auto"/>
              <w:ind w:left="0"/>
              <w:jc w:val="center"/>
              <w:rPr>
                <w:rFonts w:eastAsia="Arial"/>
                <w:sz w:val="16"/>
                <w:szCs w:val="16"/>
                <w:lang w:val="en-GB"/>
              </w:rPr>
            </w:pPr>
          </w:p>
        </w:tc>
        <w:tc>
          <w:tcPr>
            <w:tcW w:w="817" w:type="dxa"/>
          </w:tcPr>
          <w:p w14:paraId="67993A5E" w14:textId="77777777" w:rsidR="006E18C3" w:rsidRPr="00163523" w:rsidRDefault="006E18C3" w:rsidP="0076227C">
            <w:pPr>
              <w:spacing w:line="240" w:lineRule="auto"/>
              <w:ind w:left="0"/>
              <w:cnfStyle w:val="000000000000" w:firstRow="0" w:lastRow="0" w:firstColumn="0" w:lastColumn="0" w:oddVBand="0" w:evenVBand="0" w:oddHBand="0" w:evenHBand="0" w:firstRowFirstColumn="0" w:firstRowLastColumn="0" w:lastRowFirstColumn="0" w:lastRowLastColumn="0"/>
              <w:rPr>
                <w:rFonts w:eastAsia="Times New Roman"/>
                <w:b/>
                <w:color w:val="000000"/>
                <w:sz w:val="14"/>
                <w:szCs w:val="14"/>
                <w:lang w:val="en-GB" w:eastAsia="en-GB"/>
              </w:rPr>
            </w:pPr>
            <w:r w:rsidRPr="00163523">
              <w:rPr>
                <w:rFonts w:eastAsia="Arial"/>
                <w:sz w:val="14"/>
                <w:szCs w:val="14"/>
                <w:lang w:val="en-GB"/>
              </w:rPr>
              <w:t>REN-M</w:t>
            </w:r>
          </w:p>
        </w:tc>
        <w:tc>
          <w:tcPr>
            <w:tcW w:w="817" w:type="dxa"/>
          </w:tcPr>
          <w:p w14:paraId="7C61061B" w14:textId="77777777" w:rsidR="006E18C3" w:rsidRPr="00163523" w:rsidRDefault="006E18C3" w:rsidP="0076227C">
            <w:pPr>
              <w:spacing w:line="240" w:lineRule="auto"/>
              <w:ind w:left="0"/>
              <w:cnfStyle w:val="000000000000" w:firstRow="0" w:lastRow="0" w:firstColumn="0" w:lastColumn="0" w:oddVBand="0" w:evenVBand="0" w:oddHBand="0" w:evenHBand="0" w:firstRowFirstColumn="0" w:firstRowLastColumn="0" w:lastRowFirstColumn="0" w:lastRowLastColumn="0"/>
              <w:rPr>
                <w:rFonts w:eastAsia="Times New Roman"/>
                <w:b/>
                <w:color w:val="000000"/>
                <w:sz w:val="14"/>
                <w:szCs w:val="14"/>
                <w:lang w:val="en-GB" w:eastAsia="en-GB"/>
              </w:rPr>
            </w:pPr>
            <w:r w:rsidRPr="00163523">
              <w:rPr>
                <w:rFonts w:eastAsia="Arial"/>
                <w:sz w:val="14"/>
                <w:szCs w:val="14"/>
                <w:lang w:val="en-GB"/>
              </w:rPr>
              <w:t>REN-H</w:t>
            </w:r>
          </w:p>
        </w:tc>
        <w:tc>
          <w:tcPr>
            <w:tcW w:w="818" w:type="dxa"/>
          </w:tcPr>
          <w:p w14:paraId="31343178" w14:textId="77777777" w:rsidR="006E18C3" w:rsidRPr="00163523" w:rsidRDefault="006E18C3" w:rsidP="0076227C">
            <w:pPr>
              <w:spacing w:line="240" w:lineRule="auto"/>
              <w:ind w:left="0"/>
              <w:cnfStyle w:val="000000000000" w:firstRow="0" w:lastRow="0" w:firstColumn="0" w:lastColumn="0" w:oddVBand="0" w:evenVBand="0" w:oddHBand="0" w:evenHBand="0" w:firstRowFirstColumn="0" w:firstRowLastColumn="0" w:lastRowFirstColumn="0" w:lastRowLastColumn="0"/>
              <w:rPr>
                <w:rFonts w:eastAsia="Times New Roman"/>
                <w:b/>
                <w:color w:val="000000"/>
                <w:sz w:val="14"/>
                <w:szCs w:val="14"/>
                <w:lang w:val="en-GB" w:eastAsia="en-GB"/>
              </w:rPr>
            </w:pPr>
            <w:r w:rsidRPr="00163523">
              <w:rPr>
                <w:rFonts w:eastAsia="Arial"/>
                <w:sz w:val="14"/>
                <w:szCs w:val="14"/>
                <w:lang w:val="en-GB"/>
              </w:rPr>
              <w:t>CM</w:t>
            </w:r>
          </w:p>
        </w:tc>
        <w:tc>
          <w:tcPr>
            <w:tcW w:w="1731" w:type="dxa"/>
            <w:vMerge/>
            <w:shd w:val="clear" w:color="auto" w:fill="F9B7AC" w:themeFill="accent2" w:themeFillTint="66"/>
            <w:noWrap/>
          </w:tcPr>
          <w:p w14:paraId="3A5AA595" w14:textId="77777777" w:rsidR="006E18C3" w:rsidRPr="00163523" w:rsidRDefault="006E18C3" w:rsidP="0076227C">
            <w:pPr>
              <w:spacing w:line="240" w:lineRule="auto"/>
              <w:ind w:left="0"/>
              <w:cnfStyle w:val="000000000000" w:firstRow="0" w:lastRow="0" w:firstColumn="0" w:lastColumn="0" w:oddVBand="0" w:evenVBand="0" w:oddHBand="0" w:evenHBand="0" w:firstRowFirstColumn="0" w:firstRowLastColumn="0" w:lastRowFirstColumn="0" w:lastRowLastColumn="0"/>
              <w:rPr>
                <w:rFonts w:eastAsia="Times New Roman"/>
                <w:b/>
                <w:color w:val="000000"/>
                <w:sz w:val="16"/>
                <w:szCs w:val="16"/>
                <w:lang w:val="en-GB" w:eastAsia="en-GB"/>
              </w:rPr>
            </w:pPr>
          </w:p>
        </w:tc>
        <w:tc>
          <w:tcPr>
            <w:tcW w:w="1436" w:type="dxa"/>
            <w:vMerge/>
            <w:shd w:val="clear" w:color="auto" w:fill="FFD57B" w:themeFill="accent4" w:themeFillShade="E6"/>
            <w:noWrap/>
          </w:tcPr>
          <w:p w14:paraId="428F0891" w14:textId="77777777" w:rsidR="006E18C3" w:rsidRPr="00163523" w:rsidRDefault="006E18C3" w:rsidP="0076227C">
            <w:pPr>
              <w:spacing w:line="240" w:lineRule="auto"/>
              <w:ind w:left="0"/>
              <w:cnfStyle w:val="000000000000" w:firstRow="0" w:lastRow="0" w:firstColumn="0" w:lastColumn="0" w:oddVBand="0" w:evenVBand="0" w:oddHBand="0" w:evenHBand="0" w:firstRowFirstColumn="0" w:firstRowLastColumn="0" w:lastRowFirstColumn="0" w:lastRowLastColumn="0"/>
              <w:rPr>
                <w:rFonts w:eastAsia="Arial"/>
                <w:b/>
                <w:sz w:val="16"/>
                <w:szCs w:val="16"/>
                <w:lang w:val="en-GB"/>
              </w:rPr>
            </w:pPr>
          </w:p>
        </w:tc>
      </w:tr>
      <w:tr w:rsidR="006E18C3" w:rsidRPr="00801E6C" w14:paraId="0D53E1A1" w14:textId="77777777" w:rsidTr="00097AD7">
        <w:trPr>
          <w:trHeight w:val="20"/>
        </w:trPr>
        <w:tc>
          <w:tcPr>
            <w:cnfStyle w:val="001000000000" w:firstRow="0" w:lastRow="0" w:firstColumn="1" w:lastColumn="0" w:oddVBand="0" w:evenVBand="0" w:oddHBand="0" w:evenHBand="0" w:firstRowFirstColumn="0" w:firstRowLastColumn="0" w:lastRowFirstColumn="0" w:lastRowLastColumn="0"/>
            <w:tcW w:w="2830" w:type="dxa"/>
            <w:noWrap/>
          </w:tcPr>
          <w:p w14:paraId="68DB4848" w14:textId="2659E8FD" w:rsidR="006E18C3" w:rsidRPr="00801E6C" w:rsidRDefault="006E18C3" w:rsidP="0076227C">
            <w:pPr>
              <w:spacing w:line="240" w:lineRule="auto"/>
              <w:ind w:left="0"/>
              <w:jc w:val="center"/>
              <w:rPr>
                <w:rFonts w:eastAsia="Times New Roman"/>
                <w:color w:val="000000"/>
                <w:sz w:val="16"/>
                <w:szCs w:val="16"/>
                <w:lang w:val="en-GB" w:eastAsia="en-GB"/>
              </w:rPr>
            </w:pPr>
            <w:r w:rsidRPr="00801E6C">
              <w:rPr>
                <w:rFonts w:eastAsia="Arial"/>
                <w:sz w:val="16"/>
                <w:szCs w:val="16"/>
                <w:lang w:val="en-GB"/>
              </w:rPr>
              <w:t>Supply dependence and bottlenecks for energy technologies can increase costs/slow down transition</w:t>
            </w:r>
          </w:p>
        </w:tc>
        <w:tc>
          <w:tcPr>
            <w:tcW w:w="817" w:type="dxa"/>
          </w:tcPr>
          <w:p w14:paraId="69C6D3D6" w14:textId="77777777" w:rsidR="006E18C3" w:rsidRPr="00163523" w:rsidRDefault="006E18C3" w:rsidP="0076227C">
            <w:pPr>
              <w:spacing w:line="240" w:lineRule="auto"/>
              <w:ind w:left="0"/>
              <w:cnfStyle w:val="000000000000" w:firstRow="0" w:lastRow="0" w:firstColumn="0" w:lastColumn="0" w:oddVBand="0" w:evenVBand="0" w:oddHBand="0" w:evenHBand="0" w:firstRowFirstColumn="0" w:firstRowLastColumn="0" w:lastRowFirstColumn="0" w:lastRowLastColumn="0"/>
              <w:rPr>
                <w:rFonts w:eastAsia="Times New Roman"/>
                <w:b/>
                <w:color w:val="000000"/>
                <w:sz w:val="16"/>
                <w:szCs w:val="16"/>
                <w:lang w:val="en-GB" w:eastAsia="en-GB"/>
              </w:rPr>
            </w:pPr>
            <w:r w:rsidRPr="00163523">
              <w:rPr>
                <w:rFonts w:ascii="Wingdings" w:eastAsia="Wingdings" w:hAnsi="Wingdings" w:cs="Wingdings"/>
                <w:b/>
                <w:color w:val="000000"/>
                <w:sz w:val="16"/>
                <w:szCs w:val="16"/>
                <w:lang w:val="en-GB" w:eastAsia="en-GB"/>
              </w:rPr>
              <w:sym w:font="Wingdings" w:char="F0FC"/>
            </w:r>
          </w:p>
        </w:tc>
        <w:tc>
          <w:tcPr>
            <w:tcW w:w="817" w:type="dxa"/>
          </w:tcPr>
          <w:p w14:paraId="0BB99B93" w14:textId="56590DAD" w:rsidR="006E18C3" w:rsidRPr="00163523" w:rsidRDefault="006E18C3" w:rsidP="0076227C">
            <w:pPr>
              <w:spacing w:line="240" w:lineRule="auto"/>
              <w:ind w:left="0"/>
              <w:cnfStyle w:val="000000000000" w:firstRow="0" w:lastRow="0" w:firstColumn="0" w:lastColumn="0" w:oddVBand="0" w:evenVBand="0" w:oddHBand="0" w:evenHBand="0" w:firstRowFirstColumn="0" w:firstRowLastColumn="0" w:lastRowFirstColumn="0" w:lastRowLastColumn="0"/>
              <w:rPr>
                <w:rFonts w:eastAsia="Times New Roman"/>
                <w:b/>
                <w:color w:val="000000"/>
                <w:sz w:val="16"/>
                <w:szCs w:val="16"/>
                <w:lang w:val="en-GB" w:eastAsia="en-GB"/>
              </w:rPr>
            </w:pPr>
            <w:r w:rsidRPr="00163523">
              <w:rPr>
                <w:rFonts w:ascii="Wingdings" w:eastAsia="Wingdings" w:hAnsi="Wingdings" w:cs="Wingdings"/>
                <w:b/>
                <w:color w:val="000000"/>
                <w:sz w:val="16"/>
                <w:szCs w:val="16"/>
                <w:lang w:val="en-GB" w:eastAsia="en-GB"/>
              </w:rPr>
              <w:sym w:font="Wingdings" w:char="F0FC"/>
            </w:r>
            <w:r w:rsidRPr="00163523">
              <w:rPr>
                <w:rFonts w:ascii="Wingdings" w:eastAsia="Wingdings" w:hAnsi="Wingdings" w:cs="Wingdings"/>
                <w:b/>
                <w:color w:val="000000"/>
                <w:sz w:val="16"/>
                <w:szCs w:val="16"/>
                <w:lang w:val="en-GB" w:eastAsia="en-GB"/>
              </w:rPr>
              <w:sym w:font="Wingdings" w:char="F0FC"/>
            </w:r>
          </w:p>
        </w:tc>
        <w:tc>
          <w:tcPr>
            <w:tcW w:w="818" w:type="dxa"/>
          </w:tcPr>
          <w:p w14:paraId="6A922048" w14:textId="316E7CC4" w:rsidR="006E18C3" w:rsidRPr="00163523" w:rsidRDefault="006E18C3" w:rsidP="0076227C">
            <w:pPr>
              <w:spacing w:line="240" w:lineRule="auto"/>
              <w:ind w:left="0"/>
              <w:cnfStyle w:val="000000000000" w:firstRow="0" w:lastRow="0" w:firstColumn="0" w:lastColumn="0" w:oddVBand="0" w:evenVBand="0" w:oddHBand="0" w:evenHBand="0" w:firstRowFirstColumn="0" w:firstRowLastColumn="0" w:lastRowFirstColumn="0" w:lastRowLastColumn="0"/>
              <w:rPr>
                <w:rFonts w:eastAsia="Times New Roman"/>
                <w:b/>
                <w:color w:val="000000"/>
                <w:sz w:val="16"/>
                <w:szCs w:val="16"/>
                <w:lang w:val="en-GB" w:eastAsia="en-GB"/>
              </w:rPr>
            </w:pPr>
            <w:r w:rsidRPr="00163523">
              <w:rPr>
                <w:rFonts w:ascii="Wingdings" w:eastAsia="Wingdings" w:hAnsi="Wingdings" w:cs="Wingdings"/>
                <w:b/>
                <w:color w:val="000000"/>
                <w:sz w:val="16"/>
                <w:szCs w:val="16"/>
                <w:lang w:val="en-GB" w:eastAsia="en-GB"/>
              </w:rPr>
              <w:sym w:font="Wingdings" w:char="F0FC"/>
            </w:r>
          </w:p>
        </w:tc>
        <w:tc>
          <w:tcPr>
            <w:tcW w:w="1731" w:type="dxa"/>
            <w:shd w:val="clear" w:color="auto" w:fill="E0EBEB" w:themeFill="accent3" w:themeFillTint="66"/>
            <w:noWrap/>
          </w:tcPr>
          <w:p w14:paraId="02ED47BF" w14:textId="3C6F4DBD" w:rsidR="006E18C3" w:rsidRPr="00163523" w:rsidRDefault="006E18C3" w:rsidP="0076227C">
            <w:pPr>
              <w:spacing w:line="240" w:lineRule="auto"/>
              <w:ind w:left="0"/>
              <w:cnfStyle w:val="000000000000" w:firstRow="0" w:lastRow="0" w:firstColumn="0" w:lastColumn="0" w:oddVBand="0" w:evenVBand="0" w:oddHBand="0" w:evenHBand="0" w:firstRowFirstColumn="0" w:firstRowLastColumn="0" w:lastRowFirstColumn="0" w:lastRowLastColumn="0"/>
              <w:rPr>
                <w:rFonts w:eastAsia="Times New Roman"/>
                <w:b/>
                <w:color w:val="000000"/>
                <w:sz w:val="16"/>
                <w:szCs w:val="16"/>
                <w:lang w:val="en-GB" w:eastAsia="en-GB"/>
              </w:rPr>
            </w:pPr>
            <w:r w:rsidRPr="00163523">
              <w:rPr>
                <w:rFonts w:eastAsia="Times New Roman"/>
                <w:b/>
                <w:color w:val="000000"/>
                <w:sz w:val="16"/>
                <w:szCs w:val="16"/>
                <w:lang w:val="en-GB" w:eastAsia="en-GB"/>
              </w:rPr>
              <w:t>Low</w:t>
            </w:r>
          </w:p>
        </w:tc>
        <w:tc>
          <w:tcPr>
            <w:tcW w:w="1436" w:type="dxa"/>
            <w:shd w:val="clear" w:color="auto" w:fill="FFD57B" w:themeFill="accent4" w:themeFillShade="E6"/>
            <w:noWrap/>
          </w:tcPr>
          <w:p w14:paraId="63E618D7" w14:textId="77777777" w:rsidR="006E18C3" w:rsidRPr="00163523" w:rsidRDefault="006E18C3" w:rsidP="0076227C">
            <w:pPr>
              <w:spacing w:line="240" w:lineRule="auto"/>
              <w:ind w:left="0"/>
              <w:cnfStyle w:val="000000000000" w:firstRow="0" w:lastRow="0" w:firstColumn="0" w:lastColumn="0" w:oddVBand="0" w:evenVBand="0" w:oddHBand="0" w:evenHBand="0" w:firstRowFirstColumn="0" w:firstRowLastColumn="0" w:lastRowFirstColumn="0" w:lastRowLastColumn="0"/>
              <w:rPr>
                <w:rFonts w:eastAsia="Times New Roman"/>
                <w:b/>
                <w:i/>
                <w:color w:val="000000"/>
                <w:sz w:val="16"/>
                <w:szCs w:val="16"/>
                <w:lang w:val="en-GB" w:eastAsia="en-GB"/>
              </w:rPr>
            </w:pPr>
            <w:r w:rsidRPr="00163523">
              <w:rPr>
                <w:rFonts w:eastAsia="Arial"/>
                <w:b/>
                <w:sz w:val="16"/>
                <w:szCs w:val="16"/>
                <w:lang w:val="en-GB"/>
              </w:rPr>
              <w:t>Medium</w:t>
            </w:r>
          </w:p>
        </w:tc>
      </w:tr>
    </w:tbl>
    <w:p w14:paraId="7B7973C0" w14:textId="77777777" w:rsidR="006E18C3" w:rsidRPr="00163523" w:rsidRDefault="006E18C3" w:rsidP="000C0A9C">
      <w:pPr>
        <w:rPr>
          <w:lang w:val="en-GB"/>
        </w:rPr>
      </w:pPr>
    </w:p>
    <w:p w14:paraId="7D5A9916" w14:textId="77777777" w:rsidR="000C0A9C" w:rsidRPr="00163523" w:rsidRDefault="000C0A9C" w:rsidP="000C0A9C">
      <w:pPr>
        <w:pStyle w:val="Kop4"/>
        <w:rPr>
          <w:lang w:val="en-GB"/>
        </w:rPr>
      </w:pPr>
      <w:r>
        <w:rPr>
          <w:lang w:val="en-GB"/>
        </w:rPr>
        <w:t xml:space="preserve">Potential </w:t>
      </w:r>
      <w:r w:rsidRPr="00163523">
        <w:rPr>
          <w:lang w:val="en-GB"/>
        </w:rPr>
        <w:t>mitigation measures</w:t>
      </w:r>
    </w:p>
    <w:p w14:paraId="6025AF80" w14:textId="52ABB70A" w:rsidR="000C0A9C" w:rsidRDefault="00185A5F" w:rsidP="000C0A9C">
      <w:pPr>
        <w:rPr>
          <w:lang w:val="en-GB"/>
        </w:rPr>
      </w:pPr>
      <w:r w:rsidRPr="00185A5F">
        <w:rPr>
          <w:lang w:val="en-GB"/>
        </w:rPr>
        <w:t>A number of measures co</w:t>
      </w:r>
      <w:r>
        <w:rPr>
          <w:lang w:val="en-GB"/>
        </w:rPr>
        <w:t xml:space="preserve">uld be considered </w:t>
      </w:r>
      <w:r w:rsidR="00123643">
        <w:rPr>
          <w:lang w:val="en-GB"/>
        </w:rPr>
        <w:t xml:space="preserve">by the </w:t>
      </w:r>
      <w:r w:rsidR="003D29CE">
        <w:rPr>
          <w:lang w:val="en-GB"/>
        </w:rPr>
        <w:t xml:space="preserve">BRGM countries </w:t>
      </w:r>
      <w:r>
        <w:rPr>
          <w:lang w:val="en-GB"/>
        </w:rPr>
        <w:t xml:space="preserve">to mitigate any potential risks from </w:t>
      </w:r>
      <w:r w:rsidR="00875A0E">
        <w:rPr>
          <w:lang w:val="en-GB"/>
        </w:rPr>
        <w:t>technolog</w:t>
      </w:r>
      <w:r w:rsidR="00011C80">
        <w:rPr>
          <w:lang w:val="en-GB"/>
        </w:rPr>
        <w:t xml:space="preserve">y </w:t>
      </w:r>
      <w:r>
        <w:rPr>
          <w:lang w:val="en-GB"/>
        </w:rPr>
        <w:t>supply chain disruptions</w:t>
      </w:r>
      <w:r w:rsidR="00781361">
        <w:rPr>
          <w:lang w:val="en-GB"/>
        </w:rPr>
        <w:t>, complementing related actions at the EU level:</w:t>
      </w:r>
    </w:p>
    <w:p w14:paraId="30A47C12" w14:textId="0C0B9994" w:rsidR="00185A5F" w:rsidRDefault="00781361" w:rsidP="00185A5F">
      <w:pPr>
        <w:pStyle w:val="Lijstalinea"/>
        <w:numPr>
          <w:ilvl w:val="0"/>
          <w:numId w:val="18"/>
        </w:numPr>
      </w:pPr>
      <w:r>
        <w:t>Coordination on the planning of deployment of renewable and low-carbon gas</w:t>
      </w:r>
      <w:r w:rsidR="00CB162C">
        <w:t>es</w:t>
      </w:r>
      <w:r>
        <w:t xml:space="preserve"> technologies</w:t>
      </w:r>
      <w:r w:rsidR="00CB162C">
        <w:t xml:space="preserve"> at the regional and EU level, building from national targets</w:t>
      </w:r>
      <w:r w:rsidR="00D71603">
        <w:t>, in order to provide high</w:t>
      </w:r>
      <w:r w:rsidR="00E37276">
        <w:t xml:space="preserve"> </w:t>
      </w:r>
      <w:r w:rsidR="00D71603">
        <w:t>visibility and pred</w:t>
      </w:r>
      <w:r w:rsidR="00A17C6C">
        <w:t>ict</w:t>
      </w:r>
      <w:r w:rsidR="0042608C">
        <w:t xml:space="preserve">ability to </w:t>
      </w:r>
      <w:r w:rsidR="003B72B1">
        <w:t>(</w:t>
      </w:r>
      <w:r w:rsidR="0042608C">
        <w:t>potential</w:t>
      </w:r>
      <w:r w:rsidR="003B72B1">
        <w:t>)</w:t>
      </w:r>
      <w:r w:rsidR="0042608C">
        <w:t xml:space="preserve"> investors</w:t>
      </w:r>
      <w:r w:rsidR="00AA3AAD">
        <w:t>,</w:t>
      </w:r>
      <w:r w:rsidR="00CC6382">
        <w:t xml:space="preserve"> both at the supply (providers of technolog</w:t>
      </w:r>
      <w:r w:rsidR="00D648E5">
        <w:t>ies</w:t>
      </w:r>
      <w:r w:rsidR="00CC6382">
        <w:t xml:space="preserve">) and </w:t>
      </w:r>
      <w:r w:rsidR="007754C2">
        <w:t>demand side (use</w:t>
      </w:r>
      <w:r w:rsidR="00254890">
        <w:t>rs of technologies)</w:t>
      </w:r>
      <w:r w:rsidR="009F110B">
        <w:t>;</w:t>
      </w:r>
    </w:p>
    <w:p w14:paraId="35288E51" w14:textId="2BC2565D" w:rsidR="00CB162C" w:rsidRDefault="00A3706B" w:rsidP="00185A5F">
      <w:pPr>
        <w:pStyle w:val="Lijstalinea"/>
        <w:numPr>
          <w:ilvl w:val="0"/>
          <w:numId w:val="18"/>
        </w:numPr>
      </w:pPr>
      <w:r>
        <w:t>(Re)skilling p</w:t>
      </w:r>
      <w:r w:rsidR="00CB162C">
        <w:t>rograms to develop the necessary human resources for installing and operating the renewable and low-carbon gases aspects</w:t>
      </w:r>
      <w:r w:rsidR="004A5A9C">
        <w:t>.</w:t>
      </w:r>
    </w:p>
    <w:p w14:paraId="61A6FD63" w14:textId="77777777" w:rsidR="00CB162C" w:rsidRPr="0046052B" w:rsidRDefault="00CB162C" w:rsidP="00642A36">
      <w:pPr>
        <w:rPr>
          <w:lang w:val="en-GB"/>
        </w:rPr>
      </w:pPr>
    </w:p>
    <w:p w14:paraId="4DDD245B" w14:textId="577B6671" w:rsidR="000C0A9C" w:rsidRDefault="000C0A9C" w:rsidP="001A3CCD">
      <w:pPr>
        <w:pStyle w:val="Kop2"/>
      </w:pPr>
      <w:bookmarkStart w:id="41" w:name="_Ref137116832"/>
      <w:bookmarkStart w:id="42" w:name="_Toc138492602"/>
      <w:bookmarkStart w:id="43" w:name="_Toc144803009"/>
      <w:r>
        <w:t xml:space="preserve">Risk 3: </w:t>
      </w:r>
      <w:r w:rsidRPr="000C0A9C">
        <w:t>Fossil gas decarbonisation can negatively affect competitiveness of industrial users</w:t>
      </w:r>
      <w:bookmarkEnd w:id="41"/>
      <w:bookmarkEnd w:id="42"/>
      <w:bookmarkEnd w:id="43"/>
    </w:p>
    <w:p w14:paraId="2509B21E" w14:textId="4FE214FD" w:rsidR="000C0A9C" w:rsidRPr="00163523" w:rsidRDefault="000C0A9C" w:rsidP="000C0A9C">
      <w:pPr>
        <w:pStyle w:val="Kop4"/>
        <w:rPr>
          <w:lang w:val="en-GB"/>
        </w:rPr>
      </w:pPr>
      <w:r>
        <w:rPr>
          <w:lang w:val="en-GB"/>
        </w:rPr>
        <w:t>D</w:t>
      </w:r>
      <w:r w:rsidRPr="00163523">
        <w:rPr>
          <w:lang w:val="en-GB"/>
        </w:rPr>
        <w:t xml:space="preserve">escription of the risk, </w:t>
      </w:r>
      <w:r w:rsidR="00803ADE" w:rsidRPr="00163523">
        <w:rPr>
          <w:lang w:val="en-GB"/>
        </w:rPr>
        <w:t>covering the Baltic Regional Gas Market</w:t>
      </w:r>
    </w:p>
    <w:p w14:paraId="3CD576E6" w14:textId="281FC80D" w:rsidR="00DE0811" w:rsidRPr="00163523" w:rsidRDefault="00D1355F" w:rsidP="00996970">
      <w:pPr>
        <w:rPr>
          <w:lang w:val="en-GB"/>
        </w:rPr>
      </w:pPr>
      <w:r w:rsidRPr="00163523">
        <w:rPr>
          <w:lang w:val="en-GB"/>
        </w:rPr>
        <w:t xml:space="preserve">International competitiveness is determined by a number of factors, among which </w:t>
      </w:r>
      <w:r w:rsidR="00B702DE" w:rsidRPr="00163523">
        <w:rPr>
          <w:lang w:val="en-GB"/>
        </w:rPr>
        <w:t>producing at an affordable cost.</w:t>
      </w:r>
      <w:r w:rsidR="00C840F7" w:rsidRPr="00163523">
        <w:rPr>
          <w:lang w:val="en-GB"/>
        </w:rPr>
        <w:t xml:space="preserve"> For industries and in particular for energy-intensive industries, </w:t>
      </w:r>
      <w:r w:rsidR="005F681E" w:rsidRPr="00163523">
        <w:rPr>
          <w:lang w:val="en-GB"/>
        </w:rPr>
        <w:t xml:space="preserve">energy </w:t>
      </w:r>
      <w:r w:rsidR="001057C0" w:rsidRPr="00163523">
        <w:rPr>
          <w:lang w:val="en-GB"/>
        </w:rPr>
        <w:t xml:space="preserve">(including gas) </w:t>
      </w:r>
      <w:r w:rsidR="00C840F7" w:rsidRPr="00163523">
        <w:rPr>
          <w:lang w:val="en-GB"/>
        </w:rPr>
        <w:t xml:space="preserve">costs are </w:t>
      </w:r>
      <w:r w:rsidR="00082658" w:rsidRPr="00163523">
        <w:rPr>
          <w:lang w:val="en-GB"/>
        </w:rPr>
        <w:t>important</w:t>
      </w:r>
      <w:r w:rsidR="00C840F7" w:rsidRPr="00163523">
        <w:rPr>
          <w:lang w:val="en-GB"/>
        </w:rPr>
        <w:t xml:space="preserve"> determ</w:t>
      </w:r>
      <w:r w:rsidR="00082658" w:rsidRPr="00163523">
        <w:rPr>
          <w:lang w:val="en-GB"/>
        </w:rPr>
        <w:t>inants of their competitiveness.</w:t>
      </w:r>
      <w:r w:rsidR="00E663D0" w:rsidRPr="00163523">
        <w:rPr>
          <w:rStyle w:val="Voetnootmarkering"/>
          <w:lang w:val="en-GB"/>
        </w:rPr>
        <w:t xml:space="preserve"> </w:t>
      </w:r>
      <w:r w:rsidR="00E663D0" w:rsidRPr="00163523">
        <w:rPr>
          <w:rStyle w:val="Voetnootmarkering"/>
          <w:lang w:val="en-GB"/>
        </w:rPr>
        <w:footnoteReference w:id="26"/>
      </w:r>
      <w:r w:rsidR="00BA49CD" w:rsidRPr="00163523">
        <w:rPr>
          <w:lang w:val="en-GB"/>
        </w:rPr>
        <w:t xml:space="preserve"> The transition towards decarbonized production technologies will require significant investments from industrial users.</w:t>
      </w:r>
      <w:r w:rsidR="00D418A0" w:rsidRPr="00163523">
        <w:rPr>
          <w:lang w:val="en-GB"/>
        </w:rPr>
        <w:t xml:space="preserve"> </w:t>
      </w:r>
      <w:r w:rsidR="00677FBC" w:rsidRPr="00163523">
        <w:rPr>
          <w:lang w:val="en-GB"/>
        </w:rPr>
        <w:t>Even though numerous technologies are available</w:t>
      </w:r>
      <w:r w:rsidR="007E3AC9" w:rsidRPr="00163523">
        <w:rPr>
          <w:lang w:val="en-GB"/>
        </w:rPr>
        <w:t xml:space="preserve"> that can contribute to the transition towards carbon-neutral production processes</w:t>
      </w:r>
      <w:r w:rsidR="00677FBC" w:rsidRPr="00163523">
        <w:rPr>
          <w:lang w:val="en-GB"/>
        </w:rPr>
        <w:t xml:space="preserve">, </w:t>
      </w:r>
      <w:r w:rsidR="00F738BE" w:rsidRPr="00163523">
        <w:rPr>
          <w:lang w:val="en-GB"/>
        </w:rPr>
        <w:t>the</w:t>
      </w:r>
      <w:r w:rsidR="000F582A" w:rsidRPr="00163523">
        <w:rPr>
          <w:lang w:val="en-GB"/>
        </w:rPr>
        <w:t>se technologies</w:t>
      </w:r>
      <w:r w:rsidR="00F738BE" w:rsidRPr="00163523">
        <w:rPr>
          <w:lang w:val="en-GB"/>
        </w:rPr>
        <w:t xml:space="preserve"> are characterized by high upf</w:t>
      </w:r>
      <w:r w:rsidR="000F582A" w:rsidRPr="00163523">
        <w:rPr>
          <w:lang w:val="en-GB"/>
        </w:rPr>
        <w:t>ront and operational costs and are</w:t>
      </w:r>
      <w:r w:rsidR="00677FBC" w:rsidRPr="00163523">
        <w:rPr>
          <w:lang w:val="en-GB"/>
        </w:rPr>
        <w:t xml:space="preserve"> </w:t>
      </w:r>
      <w:r w:rsidR="0008273F" w:rsidRPr="00163523">
        <w:rPr>
          <w:lang w:val="en-GB"/>
        </w:rPr>
        <w:t xml:space="preserve">not </w:t>
      </w:r>
      <w:r w:rsidR="00367AC6" w:rsidRPr="00163523">
        <w:rPr>
          <w:lang w:val="en-GB"/>
        </w:rPr>
        <w:t xml:space="preserve">all </w:t>
      </w:r>
      <w:r w:rsidR="0008273F" w:rsidRPr="00163523">
        <w:rPr>
          <w:lang w:val="en-GB"/>
        </w:rPr>
        <w:t xml:space="preserve">(yet) competitive </w:t>
      </w:r>
      <w:r w:rsidR="00705000" w:rsidRPr="00163523">
        <w:rPr>
          <w:lang w:val="en-GB"/>
        </w:rPr>
        <w:t>with conventional production processes.</w:t>
      </w:r>
      <w:r w:rsidR="000F582A" w:rsidRPr="00163523">
        <w:rPr>
          <w:rStyle w:val="Voetnootmarkering"/>
          <w:lang w:val="en-GB"/>
        </w:rPr>
        <w:footnoteReference w:id="27"/>
      </w:r>
      <w:r w:rsidR="000F582A" w:rsidRPr="00163523">
        <w:rPr>
          <w:lang w:val="en-GB"/>
        </w:rPr>
        <w:t xml:space="preserve"> </w:t>
      </w:r>
      <w:r w:rsidR="000F582A" w:rsidRPr="00163523">
        <w:rPr>
          <w:rStyle w:val="Voetnootmarkering"/>
          <w:lang w:val="en-GB"/>
        </w:rPr>
        <w:footnoteReference w:id="28"/>
      </w:r>
      <w:r w:rsidR="008162F3" w:rsidRPr="00163523">
        <w:rPr>
          <w:lang w:val="en-GB"/>
        </w:rPr>
        <w:t xml:space="preserve"> </w:t>
      </w:r>
      <w:r w:rsidR="00F270C6" w:rsidRPr="00163523">
        <w:rPr>
          <w:lang w:val="en-GB"/>
        </w:rPr>
        <w:t>I</w:t>
      </w:r>
      <w:r w:rsidR="00052C40" w:rsidRPr="00163523">
        <w:rPr>
          <w:lang w:val="en-GB"/>
        </w:rPr>
        <w:t>n a hydrogen-based economy</w:t>
      </w:r>
      <w:r w:rsidR="00F270C6" w:rsidRPr="00163523">
        <w:rPr>
          <w:lang w:val="en-GB"/>
        </w:rPr>
        <w:t>, investments by industrial users will be substantial as w</w:t>
      </w:r>
      <w:r w:rsidR="00DE0811" w:rsidRPr="00163523">
        <w:rPr>
          <w:lang w:val="en-GB"/>
        </w:rPr>
        <w:t xml:space="preserve">here </w:t>
      </w:r>
      <w:r w:rsidR="006A31C1" w:rsidRPr="00163523">
        <w:rPr>
          <w:lang w:val="en-GB"/>
        </w:rPr>
        <w:t xml:space="preserve">natural </w:t>
      </w:r>
      <w:r w:rsidR="00DE0811" w:rsidRPr="00163523">
        <w:rPr>
          <w:lang w:val="en-GB"/>
        </w:rPr>
        <w:t xml:space="preserve">gas is replaced by </w:t>
      </w:r>
      <w:r w:rsidR="0071558D" w:rsidRPr="00163523">
        <w:rPr>
          <w:lang w:val="en-GB"/>
        </w:rPr>
        <w:t>hydrogen,</w:t>
      </w:r>
      <w:r w:rsidR="009A6082" w:rsidRPr="00163523">
        <w:rPr>
          <w:lang w:val="en-GB"/>
        </w:rPr>
        <w:t xml:space="preserve"> equipment will need to be adapted</w:t>
      </w:r>
      <w:r w:rsidR="00F270C6" w:rsidRPr="00163523">
        <w:rPr>
          <w:lang w:val="en-GB"/>
        </w:rPr>
        <w:t xml:space="preserve"> or replaced</w:t>
      </w:r>
      <w:r w:rsidR="009A6082" w:rsidRPr="00163523">
        <w:rPr>
          <w:lang w:val="en-GB"/>
        </w:rPr>
        <w:t xml:space="preserve">. </w:t>
      </w:r>
      <w:r w:rsidR="00350604" w:rsidRPr="00163523">
        <w:rPr>
          <w:lang w:val="en-GB"/>
        </w:rPr>
        <w:t xml:space="preserve">In addition, short- to mid-term </w:t>
      </w:r>
      <w:r w:rsidR="00ED1FA8" w:rsidRPr="00163523">
        <w:rPr>
          <w:lang w:val="en-GB"/>
        </w:rPr>
        <w:t xml:space="preserve">renewable (and low-carbon) </w:t>
      </w:r>
      <w:r w:rsidR="00350604" w:rsidRPr="00163523">
        <w:rPr>
          <w:lang w:val="en-GB"/>
        </w:rPr>
        <w:t xml:space="preserve">hydrogen </w:t>
      </w:r>
      <w:r w:rsidR="00ED1FA8" w:rsidRPr="00163523">
        <w:rPr>
          <w:lang w:val="en-GB"/>
        </w:rPr>
        <w:t>costs</w:t>
      </w:r>
      <w:r w:rsidR="00350604" w:rsidRPr="00163523">
        <w:rPr>
          <w:lang w:val="en-GB"/>
        </w:rPr>
        <w:t xml:space="preserve"> </w:t>
      </w:r>
      <w:r w:rsidR="00CD1A58" w:rsidRPr="00163523">
        <w:rPr>
          <w:lang w:val="en-GB"/>
        </w:rPr>
        <w:t>are likely to</w:t>
      </w:r>
      <w:r w:rsidR="00350604" w:rsidRPr="00163523">
        <w:rPr>
          <w:lang w:val="en-GB"/>
        </w:rPr>
        <w:t xml:space="preserve"> </w:t>
      </w:r>
      <w:r w:rsidR="00766145" w:rsidRPr="00163523">
        <w:rPr>
          <w:lang w:val="en-GB"/>
        </w:rPr>
        <w:t>be higher than natural gas prices.</w:t>
      </w:r>
      <w:r w:rsidR="009A6082" w:rsidRPr="00163523">
        <w:rPr>
          <w:lang w:val="en-GB"/>
        </w:rPr>
        <w:t xml:space="preserve"> </w:t>
      </w:r>
      <w:r w:rsidR="00257F08" w:rsidRPr="00163523">
        <w:rPr>
          <w:lang w:val="en-GB"/>
        </w:rPr>
        <w:t xml:space="preserve">Deliverable 3 </w:t>
      </w:r>
      <w:r w:rsidR="00163523" w:rsidRPr="00163523">
        <w:rPr>
          <w:lang w:val="en-GB"/>
        </w:rPr>
        <w:t>analysed</w:t>
      </w:r>
      <w:r w:rsidR="00257F08" w:rsidRPr="00163523">
        <w:rPr>
          <w:lang w:val="en-GB"/>
        </w:rPr>
        <w:t xml:space="preserve"> the impacts of hydrogen blending on equipment in the industry. </w:t>
      </w:r>
      <w:r w:rsidR="00F270C6" w:rsidRPr="00163523">
        <w:rPr>
          <w:lang w:val="en-GB"/>
        </w:rPr>
        <w:t xml:space="preserve">Investment costs will be the highest </w:t>
      </w:r>
      <w:r w:rsidR="00BD6B27" w:rsidRPr="00163523">
        <w:rPr>
          <w:lang w:val="en-GB"/>
        </w:rPr>
        <w:t>for production processes where methane gas is used as</w:t>
      </w:r>
      <w:r w:rsidR="000600F5" w:rsidRPr="00163523">
        <w:rPr>
          <w:lang w:val="en-GB"/>
        </w:rPr>
        <w:t xml:space="preserve"> feedstock (e.g. refinery processes or fertilizer industry)</w:t>
      </w:r>
      <w:r w:rsidR="00FF080B" w:rsidRPr="00163523">
        <w:rPr>
          <w:lang w:val="en-GB"/>
        </w:rPr>
        <w:t xml:space="preserve"> because </w:t>
      </w:r>
      <w:r w:rsidR="000600F5" w:rsidRPr="00163523">
        <w:rPr>
          <w:lang w:val="en-GB"/>
        </w:rPr>
        <w:t>fluctuations in gas purity can disrupt</w:t>
      </w:r>
      <w:r w:rsidR="005D209A" w:rsidRPr="00163523">
        <w:rPr>
          <w:lang w:val="en-GB"/>
        </w:rPr>
        <w:t xml:space="preserve"> the other series of processes while impacting the reactor kinetics.</w:t>
      </w:r>
    </w:p>
    <w:p w14:paraId="00CB1A3C" w14:textId="77777777" w:rsidR="00DE0811" w:rsidRPr="00163523" w:rsidRDefault="00DE0811" w:rsidP="00996970">
      <w:pPr>
        <w:rPr>
          <w:lang w:val="en-GB"/>
        </w:rPr>
      </w:pPr>
    </w:p>
    <w:p w14:paraId="3351D230" w14:textId="6CF225A1" w:rsidR="00F31149" w:rsidRPr="00163523" w:rsidRDefault="00147336" w:rsidP="0011283F">
      <w:pPr>
        <w:rPr>
          <w:lang w:val="en-GB"/>
        </w:rPr>
      </w:pPr>
      <w:r w:rsidRPr="00163523">
        <w:rPr>
          <w:lang w:val="en-GB"/>
        </w:rPr>
        <w:t xml:space="preserve">As </w:t>
      </w:r>
      <w:r w:rsidR="004A476E" w:rsidRPr="00163523">
        <w:rPr>
          <w:lang w:val="en-GB"/>
        </w:rPr>
        <w:t xml:space="preserve">energy </w:t>
      </w:r>
      <w:r w:rsidRPr="00163523">
        <w:rPr>
          <w:lang w:val="en-GB"/>
        </w:rPr>
        <w:t>represent</w:t>
      </w:r>
      <w:r w:rsidR="00F912F8" w:rsidRPr="00163523">
        <w:rPr>
          <w:lang w:val="en-GB"/>
        </w:rPr>
        <w:t>s</w:t>
      </w:r>
      <w:r w:rsidRPr="00163523">
        <w:rPr>
          <w:lang w:val="en-GB"/>
        </w:rPr>
        <w:t xml:space="preserve"> a</w:t>
      </w:r>
      <w:r w:rsidR="00EA65F6" w:rsidRPr="00163523">
        <w:rPr>
          <w:lang w:val="en-GB"/>
        </w:rPr>
        <w:t xml:space="preserve">n important </w:t>
      </w:r>
      <w:r w:rsidRPr="00163523">
        <w:rPr>
          <w:lang w:val="en-GB"/>
        </w:rPr>
        <w:t xml:space="preserve">share of the overall </w:t>
      </w:r>
      <w:r w:rsidR="00BB4E6D" w:rsidRPr="00163523">
        <w:rPr>
          <w:lang w:val="en-GB"/>
        </w:rPr>
        <w:t xml:space="preserve">industrial </w:t>
      </w:r>
      <w:r w:rsidR="00347717" w:rsidRPr="00163523">
        <w:rPr>
          <w:lang w:val="en-GB"/>
        </w:rPr>
        <w:t xml:space="preserve">production costs, the availability and cost of </w:t>
      </w:r>
      <w:r w:rsidR="00D55A81" w:rsidRPr="00163523">
        <w:rPr>
          <w:lang w:val="en-GB"/>
        </w:rPr>
        <w:t xml:space="preserve">energy in general, </w:t>
      </w:r>
      <w:r w:rsidR="00F511D7" w:rsidRPr="00163523">
        <w:rPr>
          <w:lang w:val="en-GB"/>
        </w:rPr>
        <w:t xml:space="preserve">and gas in particular, </w:t>
      </w:r>
      <w:r w:rsidR="00AD30E5" w:rsidRPr="00163523">
        <w:rPr>
          <w:lang w:val="en-GB"/>
        </w:rPr>
        <w:t xml:space="preserve">impact </w:t>
      </w:r>
      <w:r w:rsidR="009F7BA3" w:rsidRPr="00163523">
        <w:rPr>
          <w:lang w:val="en-GB"/>
        </w:rPr>
        <w:t xml:space="preserve">the </w:t>
      </w:r>
      <w:r w:rsidR="00AD30E5" w:rsidRPr="00163523">
        <w:rPr>
          <w:lang w:val="en-GB"/>
        </w:rPr>
        <w:t>competitiveness of industrial users</w:t>
      </w:r>
      <w:r w:rsidR="004A476E" w:rsidRPr="00163523">
        <w:rPr>
          <w:lang w:val="en-GB"/>
        </w:rPr>
        <w:t>.</w:t>
      </w:r>
      <w:r w:rsidR="00DA4827" w:rsidRPr="00163523">
        <w:rPr>
          <w:lang w:val="en-GB"/>
        </w:rPr>
        <w:t xml:space="preserve"> </w:t>
      </w:r>
      <w:r w:rsidR="007A679F" w:rsidRPr="00163523">
        <w:rPr>
          <w:lang w:val="en-GB"/>
        </w:rPr>
        <w:t>T</w:t>
      </w:r>
      <w:r w:rsidR="00C345F2" w:rsidRPr="00163523">
        <w:rPr>
          <w:lang w:val="en-GB"/>
        </w:rPr>
        <w:t>he T</w:t>
      </w:r>
      <w:r w:rsidR="007A679F" w:rsidRPr="00163523">
        <w:rPr>
          <w:lang w:val="en-GB"/>
        </w:rPr>
        <w:t>rinomics</w:t>
      </w:r>
      <w:r w:rsidR="00B2436D" w:rsidRPr="00163523">
        <w:rPr>
          <w:lang w:val="en-GB"/>
        </w:rPr>
        <w:t>’</w:t>
      </w:r>
      <w:r w:rsidR="005D680D" w:rsidRPr="00163523">
        <w:rPr>
          <w:lang w:val="en-GB"/>
        </w:rPr>
        <w:t xml:space="preserve"> study on Energy </w:t>
      </w:r>
      <w:r w:rsidR="00B2436D" w:rsidRPr="00163523">
        <w:rPr>
          <w:lang w:val="en-GB"/>
        </w:rPr>
        <w:t>P</w:t>
      </w:r>
      <w:r w:rsidR="005D680D" w:rsidRPr="00163523">
        <w:rPr>
          <w:lang w:val="en-GB"/>
        </w:rPr>
        <w:t xml:space="preserve">rices and </w:t>
      </w:r>
      <w:r w:rsidR="00B2436D" w:rsidRPr="00163523">
        <w:rPr>
          <w:lang w:val="en-GB"/>
        </w:rPr>
        <w:t>C</w:t>
      </w:r>
      <w:r w:rsidR="005D680D" w:rsidRPr="00163523">
        <w:rPr>
          <w:lang w:val="en-GB"/>
        </w:rPr>
        <w:t xml:space="preserve">osts </w:t>
      </w:r>
      <w:r w:rsidR="007A679F" w:rsidRPr="00163523">
        <w:rPr>
          <w:lang w:val="en-GB"/>
        </w:rPr>
        <w:t>(2020) showed that energy costs and their drivers</w:t>
      </w:r>
      <w:r w:rsidR="00B2436D" w:rsidRPr="00163523">
        <w:rPr>
          <w:lang w:val="en-GB"/>
        </w:rPr>
        <w:t xml:space="preserve"> (i.e. energy prices output and energy intensity)</w:t>
      </w:r>
      <w:r w:rsidR="007A679F" w:rsidRPr="00163523">
        <w:rPr>
          <w:lang w:val="en-GB"/>
        </w:rPr>
        <w:t xml:space="preserve"> vary significantly between sectors, which in turn affect their competitiveness</w:t>
      </w:r>
      <w:r w:rsidR="00A80AC2" w:rsidRPr="00163523">
        <w:rPr>
          <w:lang w:val="en-GB"/>
        </w:rPr>
        <w:t>.</w:t>
      </w:r>
      <w:r w:rsidR="00A80AC2" w:rsidRPr="00163523">
        <w:rPr>
          <w:rStyle w:val="Voetnootmarkering"/>
          <w:lang w:val="en-GB"/>
        </w:rPr>
        <w:footnoteReference w:id="29"/>
      </w:r>
      <w:r w:rsidR="000E24F7" w:rsidRPr="00163523">
        <w:rPr>
          <w:lang w:val="en-GB"/>
        </w:rPr>
        <w:t xml:space="preserve"> </w:t>
      </w:r>
      <w:r w:rsidR="000D0ADD" w:rsidRPr="00163523">
        <w:rPr>
          <w:lang w:val="en-GB"/>
        </w:rPr>
        <w:t>The share of energy costs varies among industries</w:t>
      </w:r>
      <w:r w:rsidR="00EF68D1" w:rsidRPr="00163523">
        <w:rPr>
          <w:lang w:val="en-GB"/>
        </w:rPr>
        <w:t>: i</w:t>
      </w:r>
      <w:r w:rsidR="003E4AF5" w:rsidRPr="00163523">
        <w:rPr>
          <w:lang w:val="en-GB"/>
        </w:rPr>
        <w:t xml:space="preserve">n the most energy-intensive industries, </w:t>
      </w:r>
      <w:r w:rsidR="0082315A" w:rsidRPr="00163523">
        <w:rPr>
          <w:lang w:val="en-GB"/>
        </w:rPr>
        <w:t>they</w:t>
      </w:r>
      <w:r w:rsidR="003E4AF5" w:rsidRPr="00163523">
        <w:rPr>
          <w:lang w:val="en-GB"/>
        </w:rPr>
        <w:t xml:space="preserve"> represented </w:t>
      </w:r>
      <w:r w:rsidR="0082315A" w:rsidRPr="00163523">
        <w:rPr>
          <w:lang w:val="en-GB"/>
        </w:rPr>
        <w:t>up to</w:t>
      </w:r>
      <w:r w:rsidR="003E4AF5" w:rsidRPr="00163523">
        <w:rPr>
          <w:lang w:val="en-GB"/>
        </w:rPr>
        <w:t xml:space="preserve"> 10% of production costs </w:t>
      </w:r>
      <w:r w:rsidR="002A6AAF" w:rsidRPr="00163523">
        <w:rPr>
          <w:lang w:val="en-GB"/>
        </w:rPr>
        <w:t xml:space="preserve">in </w:t>
      </w:r>
      <w:r w:rsidR="00B242DF" w:rsidRPr="00163523">
        <w:rPr>
          <w:lang w:val="en-GB"/>
        </w:rPr>
        <w:t>2010</w:t>
      </w:r>
      <w:r w:rsidR="002A6AAF" w:rsidRPr="00163523">
        <w:rPr>
          <w:lang w:val="en-GB"/>
        </w:rPr>
        <w:t>-</w:t>
      </w:r>
      <w:r w:rsidR="00B242DF" w:rsidRPr="00163523">
        <w:rPr>
          <w:lang w:val="en-GB"/>
        </w:rPr>
        <w:t xml:space="preserve">2017. </w:t>
      </w:r>
      <w:r w:rsidR="0082315A" w:rsidRPr="00163523">
        <w:rPr>
          <w:lang w:val="en-GB"/>
        </w:rPr>
        <w:t>In</w:t>
      </w:r>
      <w:r w:rsidR="00051C1D" w:rsidRPr="00163523">
        <w:rPr>
          <w:lang w:val="en-GB"/>
        </w:rPr>
        <w:t xml:space="preserve"> less energy</w:t>
      </w:r>
      <w:r w:rsidR="008C6099" w:rsidRPr="00163523">
        <w:rPr>
          <w:lang w:val="en-GB"/>
        </w:rPr>
        <w:t>-</w:t>
      </w:r>
      <w:r w:rsidR="00051C1D" w:rsidRPr="00163523">
        <w:rPr>
          <w:lang w:val="en-GB"/>
        </w:rPr>
        <w:t>intensive in</w:t>
      </w:r>
      <w:r w:rsidR="008C6099" w:rsidRPr="00163523">
        <w:rPr>
          <w:lang w:val="en-GB"/>
        </w:rPr>
        <w:t>dustries, this share was between 1% and 3</w:t>
      </w:r>
      <w:r w:rsidR="00532605" w:rsidRPr="00163523">
        <w:rPr>
          <w:lang w:val="en-GB"/>
        </w:rPr>
        <w:t xml:space="preserve">%. </w:t>
      </w:r>
      <w:r w:rsidR="006D566E" w:rsidRPr="00163523">
        <w:rPr>
          <w:lang w:val="en-GB"/>
        </w:rPr>
        <w:t xml:space="preserve">Since </w:t>
      </w:r>
      <w:r w:rsidR="009B18B6" w:rsidRPr="00163523">
        <w:rPr>
          <w:lang w:val="en-GB"/>
        </w:rPr>
        <w:t xml:space="preserve">2021, the share of energy in the overall </w:t>
      </w:r>
      <w:r w:rsidR="007A5BEB" w:rsidRPr="00163523">
        <w:rPr>
          <w:lang w:val="en-GB"/>
        </w:rPr>
        <w:t xml:space="preserve">industrial </w:t>
      </w:r>
      <w:r w:rsidR="009B18B6" w:rsidRPr="00163523">
        <w:rPr>
          <w:lang w:val="en-GB"/>
        </w:rPr>
        <w:t>production cost</w:t>
      </w:r>
      <w:r w:rsidR="001559E4" w:rsidRPr="00163523">
        <w:rPr>
          <w:lang w:val="en-GB"/>
        </w:rPr>
        <w:t>s</w:t>
      </w:r>
      <w:r w:rsidR="009B18B6" w:rsidRPr="00163523">
        <w:rPr>
          <w:lang w:val="en-GB"/>
        </w:rPr>
        <w:t xml:space="preserve"> has of course subst</w:t>
      </w:r>
      <w:r w:rsidR="00886558" w:rsidRPr="00163523">
        <w:rPr>
          <w:lang w:val="en-GB"/>
        </w:rPr>
        <w:t xml:space="preserve">antially increased. </w:t>
      </w:r>
      <w:r w:rsidR="00DA4827" w:rsidRPr="00163523">
        <w:rPr>
          <w:lang w:val="en-GB"/>
        </w:rPr>
        <w:t>A</w:t>
      </w:r>
      <w:r w:rsidR="008E6D32" w:rsidRPr="00163523">
        <w:rPr>
          <w:lang w:val="en-GB"/>
        </w:rPr>
        <w:t>nother</w:t>
      </w:r>
      <w:r w:rsidR="00DA4827" w:rsidRPr="00163523">
        <w:rPr>
          <w:lang w:val="en-GB"/>
        </w:rPr>
        <w:t xml:space="preserve"> study </w:t>
      </w:r>
      <w:r w:rsidR="00493417" w:rsidRPr="00163523">
        <w:rPr>
          <w:lang w:val="en-GB"/>
        </w:rPr>
        <w:t xml:space="preserve">commissioned </w:t>
      </w:r>
      <w:r w:rsidR="00DA4827" w:rsidRPr="00163523">
        <w:rPr>
          <w:lang w:val="en-GB"/>
        </w:rPr>
        <w:t xml:space="preserve">by the ITRE </w:t>
      </w:r>
      <w:r w:rsidR="00DA4827" w:rsidRPr="00163523">
        <w:rPr>
          <w:lang w:val="en-GB"/>
        </w:rPr>
        <w:lastRenderedPageBreak/>
        <w:t xml:space="preserve">committee on the </w:t>
      </w:r>
      <w:r w:rsidR="00205523" w:rsidRPr="00163523">
        <w:rPr>
          <w:lang w:val="en-GB"/>
        </w:rPr>
        <w:t>c</w:t>
      </w:r>
      <w:r w:rsidR="00DA4827" w:rsidRPr="00163523">
        <w:rPr>
          <w:lang w:val="en-GB"/>
        </w:rPr>
        <w:t xml:space="preserve">hallenges and </w:t>
      </w:r>
      <w:r w:rsidR="00205523" w:rsidRPr="00163523">
        <w:rPr>
          <w:lang w:val="en-GB"/>
        </w:rPr>
        <w:t>o</w:t>
      </w:r>
      <w:r w:rsidR="00DA4827" w:rsidRPr="00163523">
        <w:rPr>
          <w:lang w:val="en-GB"/>
        </w:rPr>
        <w:t xml:space="preserve">pportunities in </w:t>
      </w:r>
      <w:r w:rsidR="00205523" w:rsidRPr="00163523">
        <w:rPr>
          <w:lang w:val="en-GB"/>
        </w:rPr>
        <w:t>e</w:t>
      </w:r>
      <w:r w:rsidR="00DA4827" w:rsidRPr="00163523">
        <w:rPr>
          <w:lang w:val="en-GB"/>
        </w:rPr>
        <w:t xml:space="preserve">nergy </w:t>
      </w:r>
      <w:r w:rsidR="00205523" w:rsidRPr="00163523">
        <w:rPr>
          <w:lang w:val="en-GB"/>
        </w:rPr>
        <w:t>t</w:t>
      </w:r>
      <w:r w:rsidR="00DA4827" w:rsidRPr="00163523">
        <w:rPr>
          <w:lang w:val="en-GB"/>
        </w:rPr>
        <w:t xml:space="preserve">ransition faced by </w:t>
      </w:r>
      <w:r w:rsidR="00205523" w:rsidRPr="00163523">
        <w:rPr>
          <w:lang w:val="en-GB"/>
        </w:rPr>
        <w:t>e</w:t>
      </w:r>
      <w:r w:rsidR="00DA4827" w:rsidRPr="00163523">
        <w:rPr>
          <w:lang w:val="en-GB"/>
        </w:rPr>
        <w:t>nergy-</w:t>
      </w:r>
      <w:r w:rsidR="00205523" w:rsidRPr="00163523">
        <w:rPr>
          <w:lang w:val="en-GB"/>
        </w:rPr>
        <w:t>i</w:t>
      </w:r>
      <w:r w:rsidR="00DA4827" w:rsidRPr="00163523">
        <w:rPr>
          <w:lang w:val="en-GB"/>
        </w:rPr>
        <w:t xml:space="preserve">ntensive </w:t>
      </w:r>
      <w:r w:rsidR="00205523" w:rsidRPr="00163523">
        <w:rPr>
          <w:lang w:val="en-GB"/>
        </w:rPr>
        <w:t>i</w:t>
      </w:r>
      <w:r w:rsidR="00DA4827" w:rsidRPr="00163523">
        <w:rPr>
          <w:lang w:val="en-GB"/>
        </w:rPr>
        <w:t xml:space="preserve">ndustries (2020) suggests that although </w:t>
      </w:r>
      <w:r w:rsidR="00205523" w:rsidRPr="00163523">
        <w:rPr>
          <w:lang w:val="en-GB"/>
        </w:rPr>
        <w:t>EU</w:t>
      </w:r>
      <w:r w:rsidR="00DA4827" w:rsidRPr="00163523">
        <w:rPr>
          <w:lang w:val="en-GB"/>
        </w:rPr>
        <w:t xml:space="preserve"> energy-intensive industries are competitive on international markets, concerns remain with respect to energy costs.</w:t>
      </w:r>
      <w:r w:rsidR="00DA4827" w:rsidRPr="00163523">
        <w:rPr>
          <w:rStyle w:val="Voetnootmarkering"/>
          <w:lang w:val="en-GB"/>
        </w:rPr>
        <w:footnoteReference w:id="30"/>
      </w:r>
      <w:r w:rsidR="00DA4827" w:rsidRPr="00163523">
        <w:rPr>
          <w:lang w:val="en-GB"/>
        </w:rPr>
        <w:t xml:space="preserve"> These are likely to become increasingly important for </w:t>
      </w:r>
      <w:r w:rsidR="00E8689F" w:rsidRPr="00163523">
        <w:rPr>
          <w:lang w:val="en-GB"/>
        </w:rPr>
        <w:t xml:space="preserve">the </w:t>
      </w:r>
      <w:r w:rsidR="00DA4827" w:rsidRPr="00163523">
        <w:rPr>
          <w:lang w:val="en-GB"/>
        </w:rPr>
        <w:t xml:space="preserve">competitiveness of </w:t>
      </w:r>
      <w:r w:rsidR="00E8689F" w:rsidRPr="00163523">
        <w:rPr>
          <w:lang w:val="en-GB"/>
        </w:rPr>
        <w:t xml:space="preserve">the </w:t>
      </w:r>
      <w:r w:rsidR="00DA4827" w:rsidRPr="00163523">
        <w:rPr>
          <w:lang w:val="en-GB"/>
        </w:rPr>
        <w:t>industr</w:t>
      </w:r>
      <w:r w:rsidR="00E8689F" w:rsidRPr="00163523">
        <w:rPr>
          <w:lang w:val="en-GB"/>
        </w:rPr>
        <w:t>y</w:t>
      </w:r>
      <w:r w:rsidR="00DA4827" w:rsidRPr="00163523">
        <w:rPr>
          <w:lang w:val="en-GB"/>
        </w:rPr>
        <w:t xml:space="preserve"> in the short and medium term as the EU </w:t>
      </w:r>
      <w:r w:rsidR="00B613F3" w:rsidRPr="00163523">
        <w:rPr>
          <w:lang w:val="en-GB"/>
        </w:rPr>
        <w:t>and its Member States</w:t>
      </w:r>
      <w:r w:rsidR="00081B06" w:rsidRPr="00163523">
        <w:rPr>
          <w:lang w:val="en-GB"/>
        </w:rPr>
        <w:t xml:space="preserve"> </w:t>
      </w:r>
      <w:r w:rsidR="00DA4827" w:rsidRPr="00163523">
        <w:rPr>
          <w:lang w:val="en-GB"/>
        </w:rPr>
        <w:t xml:space="preserve">adopt </w:t>
      </w:r>
      <w:r w:rsidR="00E87D5E" w:rsidRPr="00163523">
        <w:rPr>
          <w:lang w:val="en-GB"/>
        </w:rPr>
        <w:t xml:space="preserve">in general </w:t>
      </w:r>
      <w:r w:rsidR="00DA4827" w:rsidRPr="00163523">
        <w:rPr>
          <w:lang w:val="en-GB"/>
        </w:rPr>
        <w:t xml:space="preserve">more </w:t>
      </w:r>
      <w:r w:rsidR="005D2C40" w:rsidRPr="00163523">
        <w:rPr>
          <w:lang w:val="en-GB"/>
        </w:rPr>
        <w:t xml:space="preserve">ambitious </w:t>
      </w:r>
      <w:r w:rsidR="00DA4827" w:rsidRPr="00163523">
        <w:rPr>
          <w:lang w:val="en-GB"/>
        </w:rPr>
        <w:t xml:space="preserve">climate </w:t>
      </w:r>
      <w:r w:rsidR="00E87D5E" w:rsidRPr="00163523">
        <w:rPr>
          <w:lang w:val="en-GB"/>
        </w:rPr>
        <w:t xml:space="preserve">targets and </w:t>
      </w:r>
      <w:r w:rsidR="00DA4827" w:rsidRPr="00163523">
        <w:rPr>
          <w:lang w:val="en-GB"/>
        </w:rPr>
        <w:t>policies</w:t>
      </w:r>
      <w:r w:rsidR="00B613F3" w:rsidRPr="00163523">
        <w:rPr>
          <w:lang w:val="en-GB"/>
        </w:rPr>
        <w:t xml:space="preserve"> </w:t>
      </w:r>
      <w:r w:rsidR="00E87D5E" w:rsidRPr="00163523">
        <w:rPr>
          <w:lang w:val="en-GB"/>
        </w:rPr>
        <w:t xml:space="preserve">than other continents </w:t>
      </w:r>
      <w:r w:rsidR="00B613F3" w:rsidRPr="00163523">
        <w:rPr>
          <w:lang w:val="en-GB"/>
        </w:rPr>
        <w:t xml:space="preserve">(e.g. carbon </w:t>
      </w:r>
      <w:r w:rsidR="00713DF1" w:rsidRPr="00163523">
        <w:rPr>
          <w:lang w:val="en-GB"/>
        </w:rPr>
        <w:t xml:space="preserve">emission </w:t>
      </w:r>
      <w:r w:rsidR="00B613F3" w:rsidRPr="00163523">
        <w:rPr>
          <w:lang w:val="en-GB"/>
        </w:rPr>
        <w:t>taxes</w:t>
      </w:r>
      <w:r w:rsidR="001915E3" w:rsidRPr="00163523">
        <w:rPr>
          <w:lang w:val="en-GB"/>
        </w:rPr>
        <w:t>)</w:t>
      </w:r>
      <w:r w:rsidR="00DA4827" w:rsidRPr="00163523">
        <w:rPr>
          <w:lang w:val="en-GB"/>
        </w:rPr>
        <w:t>.</w:t>
      </w:r>
      <w:r w:rsidR="0011283F" w:rsidRPr="00163523">
        <w:rPr>
          <w:lang w:val="en-GB"/>
        </w:rPr>
        <w:t xml:space="preserve"> </w:t>
      </w:r>
      <w:r w:rsidR="000F2197" w:rsidRPr="00163523">
        <w:rPr>
          <w:lang w:val="en-GB"/>
        </w:rPr>
        <w:t>As shown in Deliverable 4</w:t>
      </w:r>
      <w:r w:rsidR="007F616E" w:rsidRPr="00163523">
        <w:rPr>
          <w:lang w:val="en-GB"/>
        </w:rPr>
        <w:t>, t</w:t>
      </w:r>
      <w:r w:rsidR="008D0314" w:rsidRPr="00163523">
        <w:rPr>
          <w:lang w:val="en-GB"/>
        </w:rPr>
        <w:t xml:space="preserve">he </w:t>
      </w:r>
      <w:r w:rsidR="00137576" w:rsidRPr="00163523">
        <w:rPr>
          <w:lang w:val="en-GB"/>
        </w:rPr>
        <w:t>d</w:t>
      </w:r>
      <w:r w:rsidR="00045359" w:rsidRPr="00163523">
        <w:rPr>
          <w:lang w:val="en-GB"/>
        </w:rPr>
        <w:t xml:space="preserve">ecarbonization of the gas sector is likely to increase </w:t>
      </w:r>
      <w:r w:rsidR="0025428B" w:rsidRPr="00163523">
        <w:rPr>
          <w:lang w:val="en-GB"/>
        </w:rPr>
        <w:t xml:space="preserve">the </w:t>
      </w:r>
      <w:r w:rsidR="00F12A4F" w:rsidRPr="00163523">
        <w:rPr>
          <w:lang w:val="en-GB"/>
        </w:rPr>
        <w:t xml:space="preserve">energy costs in the short </w:t>
      </w:r>
      <w:r w:rsidR="00045359" w:rsidRPr="00163523">
        <w:rPr>
          <w:lang w:val="en-GB"/>
        </w:rPr>
        <w:t xml:space="preserve">and medium </w:t>
      </w:r>
      <w:r w:rsidR="00F12A4F" w:rsidRPr="00163523">
        <w:rPr>
          <w:lang w:val="en-GB"/>
        </w:rPr>
        <w:t>term</w:t>
      </w:r>
      <w:r w:rsidR="00EC1473" w:rsidRPr="00163523">
        <w:rPr>
          <w:lang w:val="en-GB"/>
        </w:rPr>
        <w:t xml:space="preserve"> in the Baltic Regional Gas Market</w:t>
      </w:r>
      <w:r w:rsidR="005B4057" w:rsidRPr="00163523">
        <w:rPr>
          <w:lang w:val="en-GB"/>
        </w:rPr>
        <w:t>, including for industrial users</w:t>
      </w:r>
      <w:r w:rsidR="00990959" w:rsidRPr="00163523">
        <w:rPr>
          <w:lang w:val="en-GB"/>
        </w:rPr>
        <w:t>.</w:t>
      </w:r>
      <w:r w:rsidR="00EB64ED" w:rsidRPr="00163523">
        <w:rPr>
          <w:lang w:val="en-GB"/>
        </w:rPr>
        <w:t xml:space="preserve"> </w:t>
      </w:r>
      <w:r w:rsidR="005B4057" w:rsidRPr="00163523">
        <w:rPr>
          <w:lang w:val="en-GB"/>
        </w:rPr>
        <w:t>T</w:t>
      </w:r>
      <w:r w:rsidR="00034015" w:rsidRPr="00163523">
        <w:rPr>
          <w:lang w:val="en-GB"/>
        </w:rPr>
        <w:t>he</w:t>
      </w:r>
      <w:r w:rsidR="00715D53" w:rsidRPr="00163523">
        <w:rPr>
          <w:lang w:val="en-GB"/>
        </w:rPr>
        <w:t xml:space="preserve"> </w:t>
      </w:r>
      <w:r w:rsidR="00934F0E" w:rsidRPr="00163523">
        <w:rPr>
          <w:lang w:val="en-GB"/>
        </w:rPr>
        <w:t xml:space="preserve">average </w:t>
      </w:r>
      <w:r w:rsidR="00EB64ED" w:rsidRPr="00163523">
        <w:rPr>
          <w:lang w:val="en-GB"/>
        </w:rPr>
        <w:t>gas</w:t>
      </w:r>
      <w:r w:rsidR="00715D53" w:rsidRPr="00163523">
        <w:rPr>
          <w:lang w:val="en-GB"/>
        </w:rPr>
        <w:t xml:space="preserve"> cost</w:t>
      </w:r>
      <w:r w:rsidR="00934F0E" w:rsidRPr="00163523">
        <w:rPr>
          <w:lang w:val="en-GB"/>
        </w:rPr>
        <w:t xml:space="preserve"> will be lower in the BAU scenario</w:t>
      </w:r>
      <w:r w:rsidR="00E16B8B" w:rsidRPr="00163523">
        <w:rPr>
          <w:lang w:val="en-GB"/>
        </w:rPr>
        <w:t xml:space="preserve"> (13 650 €/year for commercial users in 2030)</w:t>
      </w:r>
      <w:r w:rsidR="00934F0E" w:rsidRPr="00163523">
        <w:rPr>
          <w:lang w:val="en-GB"/>
        </w:rPr>
        <w:t xml:space="preserve"> than in the </w:t>
      </w:r>
      <w:r w:rsidR="00EC1473" w:rsidRPr="00163523">
        <w:rPr>
          <w:lang w:val="en-GB"/>
        </w:rPr>
        <w:t>decarbonization</w:t>
      </w:r>
      <w:r w:rsidR="00934F0E" w:rsidRPr="00163523">
        <w:rPr>
          <w:lang w:val="en-GB"/>
        </w:rPr>
        <w:t xml:space="preserve"> scenarios </w:t>
      </w:r>
      <w:r w:rsidR="00E16B8B" w:rsidRPr="00163523">
        <w:rPr>
          <w:lang w:val="en-GB"/>
        </w:rPr>
        <w:t xml:space="preserve">(between </w:t>
      </w:r>
      <w:r w:rsidR="00065E67" w:rsidRPr="00163523">
        <w:rPr>
          <w:lang w:val="en-GB"/>
        </w:rPr>
        <w:t xml:space="preserve">13 850 €/year and 15 611 €/year for commercial users in 2030). However, </w:t>
      </w:r>
      <w:r w:rsidR="00527C92" w:rsidRPr="00163523">
        <w:rPr>
          <w:lang w:val="en-GB"/>
        </w:rPr>
        <w:t xml:space="preserve">the </w:t>
      </w:r>
      <w:r w:rsidR="00EC1473" w:rsidRPr="00163523">
        <w:rPr>
          <w:lang w:val="en-GB"/>
        </w:rPr>
        <w:t>decarbonization of the gas sector will lead to lower energy costs in the long run</w:t>
      </w:r>
      <w:r w:rsidR="00634346" w:rsidRPr="00163523">
        <w:rPr>
          <w:lang w:val="en-GB"/>
        </w:rPr>
        <w:t xml:space="preserve"> (10 185 €/year in the BAU vs. between 4 665 EUR/year and </w:t>
      </w:r>
      <w:r w:rsidR="0045792B" w:rsidRPr="00163523">
        <w:rPr>
          <w:lang w:val="en-GB"/>
        </w:rPr>
        <w:t>8 234 EUR/year in the decarbonization scenarios for commercial users in 2050)</w:t>
      </w:r>
      <w:r w:rsidR="00EC1473" w:rsidRPr="00163523">
        <w:rPr>
          <w:lang w:val="en-GB"/>
        </w:rPr>
        <w:t xml:space="preserve">. </w:t>
      </w:r>
    </w:p>
    <w:p w14:paraId="4B18A42C" w14:textId="77777777" w:rsidR="00F31149" w:rsidRPr="00163523" w:rsidRDefault="00F31149" w:rsidP="0011283F">
      <w:pPr>
        <w:rPr>
          <w:lang w:val="en-GB"/>
        </w:rPr>
      </w:pPr>
    </w:p>
    <w:p w14:paraId="7EBE1C6C" w14:textId="3DB8FEF3" w:rsidR="007C1E36" w:rsidRPr="00163523" w:rsidRDefault="004906CB" w:rsidP="0011283F">
      <w:pPr>
        <w:rPr>
          <w:lang w:val="en-GB"/>
        </w:rPr>
      </w:pPr>
      <w:r w:rsidRPr="00163523">
        <w:rPr>
          <w:lang w:val="en-GB"/>
        </w:rPr>
        <w:t>To mi</w:t>
      </w:r>
      <w:r w:rsidR="009D7175" w:rsidRPr="00163523">
        <w:rPr>
          <w:lang w:val="en-GB"/>
        </w:rPr>
        <w:t xml:space="preserve">tigate the negative impact of </w:t>
      </w:r>
      <w:r w:rsidR="000974FE" w:rsidRPr="00163523">
        <w:rPr>
          <w:lang w:val="en-GB"/>
        </w:rPr>
        <w:t xml:space="preserve">the </w:t>
      </w:r>
      <w:r w:rsidR="007C1E36" w:rsidRPr="00163523">
        <w:rPr>
          <w:lang w:val="en-GB"/>
        </w:rPr>
        <w:t xml:space="preserve">decarbonization </w:t>
      </w:r>
      <w:r w:rsidR="001A27CC" w:rsidRPr="00163523">
        <w:rPr>
          <w:lang w:val="en-GB"/>
        </w:rPr>
        <w:t>policies, including the subs</w:t>
      </w:r>
      <w:r w:rsidR="00293DF1" w:rsidRPr="00163523">
        <w:rPr>
          <w:lang w:val="en-GB"/>
        </w:rPr>
        <w:t>tit</w:t>
      </w:r>
      <w:r w:rsidR="00FD144D" w:rsidRPr="00163523">
        <w:rPr>
          <w:lang w:val="en-GB"/>
        </w:rPr>
        <w:t>ution of fossil gas by renewable energy,</w:t>
      </w:r>
      <w:r w:rsidR="009424C7" w:rsidRPr="00163523">
        <w:rPr>
          <w:lang w:val="en-GB"/>
        </w:rPr>
        <w:t xml:space="preserve"> </w:t>
      </w:r>
      <w:r w:rsidR="006B6347" w:rsidRPr="00163523">
        <w:rPr>
          <w:lang w:val="en-GB"/>
        </w:rPr>
        <w:t xml:space="preserve">on the </w:t>
      </w:r>
      <w:r w:rsidR="00FB1236" w:rsidRPr="00163523">
        <w:rPr>
          <w:lang w:val="en-GB"/>
        </w:rPr>
        <w:t xml:space="preserve">competitiveness of </w:t>
      </w:r>
      <w:r w:rsidR="006B6347" w:rsidRPr="00163523">
        <w:rPr>
          <w:lang w:val="en-GB"/>
        </w:rPr>
        <w:t xml:space="preserve">the </w:t>
      </w:r>
      <w:r w:rsidR="00A36F6C" w:rsidRPr="00163523">
        <w:rPr>
          <w:lang w:val="en-GB"/>
        </w:rPr>
        <w:t xml:space="preserve">EU </w:t>
      </w:r>
      <w:r w:rsidR="00FB1236" w:rsidRPr="00163523">
        <w:rPr>
          <w:lang w:val="en-GB"/>
        </w:rPr>
        <w:t>industry</w:t>
      </w:r>
      <w:r w:rsidR="00A36F6C" w:rsidRPr="00163523">
        <w:rPr>
          <w:lang w:val="en-GB"/>
        </w:rPr>
        <w:t xml:space="preserve">, </w:t>
      </w:r>
      <w:r w:rsidR="001A27CC" w:rsidRPr="00163523">
        <w:rPr>
          <w:lang w:val="en-GB"/>
        </w:rPr>
        <w:t>t</w:t>
      </w:r>
      <w:r w:rsidR="007614ED" w:rsidRPr="00163523">
        <w:rPr>
          <w:lang w:val="en-GB"/>
        </w:rPr>
        <w:t>he EU has recently adopted the Carbon Border Adjustment Mechanism (CBAM)</w:t>
      </w:r>
      <w:r w:rsidR="00EC185E" w:rsidRPr="00163523">
        <w:rPr>
          <w:lang w:val="en-GB"/>
        </w:rPr>
        <w:t xml:space="preserve"> regulation.</w:t>
      </w:r>
      <w:r w:rsidR="00EC185E" w:rsidRPr="00163523">
        <w:rPr>
          <w:rStyle w:val="Voetnootmarkering"/>
          <w:lang w:val="en-GB"/>
        </w:rPr>
        <w:footnoteReference w:id="31"/>
      </w:r>
      <w:r w:rsidR="00440E91" w:rsidRPr="00163523">
        <w:rPr>
          <w:lang w:val="en-GB"/>
        </w:rPr>
        <w:t xml:space="preserve"> The CBAM aims to </w:t>
      </w:r>
      <w:r w:rsidR="009F1FD7" w:rsidRPr="00163523">
        <w:rPr>
          <w:lang w:val="en-GB"/>
        </w:rPr>
        <w:t xml:space="preserve">prevent carbon leakage by </w:t>
      </w:r>
      <w:r w:rsidR="00440E91" w:rsidRPr="00163523">
        <w:rPr>
          <w:lang w:val="en-GB"/>
        </w:rPr>
        <w:t>put</w:t>
      </w:r>
      <w:r w:rsidR="009F1FD7" w:rsidRPr="00163523">
        <w:rPr>
          <w:lang w:val="en-GB"/>
        </w:rPr>
        <w:t>ting</w:t>
      </w:r>
      <w:r w:rsidR="00440E91" w:rsidRPr="00163523">
        <w:rPr>
          <w:lang w:val="en-GB"/>
        </w:rPr>
        <w:t xml:space="preserve"> a fair price on carbon </w:t>
      </w:r>
      <w:r w:rsidR="00503B1E" w:rsidRPr="00163523">
        <w:rPr>
          <w:lang w:val="en-GB"/>
        </w:rPr>
        <w:t>emitted during production of carbon intensive goods that are entering the EU</w:t>
      </w:r>
      <w:r w:rsidR="0064796B" w:rsidRPr="00163523">
        <w:rPr>
          <w:lang w:val="en-GB"/>
        </w:rPr>
        <w:t xml:space="preserve">, and to encourage cleaner industrial production in non-EU countries. In this way the CBAM should </w:t>
      </w:r>
      <w:r w:rsidR="00AD7B43" w:rsidRPr="00163523">
        <w:rPr>
          <w:lang w:val="en-GB"/>
        </w:rPr>
        <w:t xml:space="preserve">protect to some extent the </w:t>
      </w:r>
      <w:r w:rsidR="004D1963" w:rsidRPr="00163523">
        <w:rPr>
          <w:lang w:val="en-GB"/>
        </w:rPr>
        <w:t xml:space="preserve">competitiveness </w:t>
      </w:r>
      <w:r w:rsidR="00565FA6" w:rsidRPr="00163523">
        <w:rPr>
          <w:lang w:val="en-GB"/>
        </w:rPr>
        <w:t xml:space="preserve">of the </w:t>
      </w:r>
      <w:r w:rsidR="004D1963" w:rsidRPr="00163523">
        <w:rPr>
          <w:lang w:val="en-GB"/>
        </w:rPr>
        <w:t>EU industries</w:t>
      </w:r>
      <w:r w:rsidR="00A1439F" w:rsidRPr="00163523">
        <w:rPr>
          <w:lang w:val="en-GB"/>
        </w:rPr>
        <w:t xml:space="preserve"> that are included in the scope</w:t>
      </w:r>
      <w:r w:rsidR="00A1439F" w:rsidRPr="00163523">
        <w:rPr>
          <w:rStyle w:val="Voetnootmarkering"/>
          <w:lang w:val="en-GB"/>
        </w:rPr>
        <w:footnoteReference w:id="32"/>
      </w:r>
      <w:r w:rsidR="004D1963" w:rsidRPr="00163523">
        <w:rPr>
          <w:lang w:val="en-GB"/>
        </w:rPr>
        <w:t xml:space="preserve">, at least for production destined for the internal market. </w:t>
      </w:r>
    </w:p>
    <w:p w14:paraId="61BC09C4" w14:textId="77777777" w:rsidR="007C1E36" w:rsidRPr="00163523" w:rsidRDefault="007C1E36" w:rsidP="0011283F">
      <w:pPr>
        <w:rPr>
          <w:lang w:val="en-GB"/>
        </w:rPr>
      </w:pPr>
    </w:p>
    <w:p w14:paraId="0942FB40" w14:textId="7F1877D8" w:rsidR="000C0A9C" w:rsidRPr="00163523" w:rsidRDefault="00AB17A7" w:rsidP="000C0A9C">
      <w:pPr>
        <w:pStyle w:val="Kop4"/>
        <w:rPr>
          <w:lang w:val="en-GB"/>
        </w:rPr>
      </w:pPr>
      <w:r w:rsidRPr="00163523">
        <w:rPr>
          <w:lang w:val="en-GB"/>
        </w:rPr>
        <w:t>Rating</w:t>
      </w:r>
      <w:r w:rsidR="000C0A9C" w:rsidRPr="00163523">
        <w:rPr>
          <w:lang w:val="en-GB"/>
        </w:rPr>
        <w:t xml:space="preserve"> of the </w:t>
      </w:r>
      <w:r w:rsidRPr="00163523">
        <w:rPr>
          <w:lang w:val="en-GB"/>
        </w:rPr>
        <w:t xml:space="preserve">risk </w:t>
      </w:r>
      <w:r w:rsidR="000C0A9C" w:rsidRPr="00163523">
        <w:rPr>
          <w:lang w:val="en-GB"/>
        </w:rPr>
        <w:t>based on likelihood and severity</w:t>
      </w:r>
    </w:p>
    <w:p w14:paraId="2F40B914" w14:textId="65CAB63B" w:rsidR="002C7E37" w:rsidRPr="00163523" w:rsidRDefault="00B52A74" w:rsidP="00850C21">
      <w:pPr>
        <w:rPr>
          <w:lang w:val="en-GB"/>
        </w:rPr>
      </w:pPr>
      <w:r w:rsidRPr="00163523">
        <w:rPr>
          <w:lang w:val="en-GB"/>
        </w:rPr>
        <w:t xml:space="preserve">An increase in investments and energy costs </w:t>
      </w:r>
      <w:r w:rsidR="00C34552" w:rsidRPr="00163523">
        <w:rPr>
          <w:lang w:val="en-GB"/>
        </w:rPr>
        <w:t xml:space="preserve">in the industry </w:t>
      </w:r>
      <w:r w:rsidR="00421658" w:rsidRPr="00163523">
        <w:rPr>
          <w:lang w:val="en-GB"/>
        </w:rPr>
        <w:t xml:space="preserve">due to gas decarbonization </w:t>
      </w:r>
      <w:r w:rsidR="007905BD" w:rsidRPr="00163523">
        <w:rPr>
          <w:lang w:val="en-GB"/>
        </w:rPr>
        <w:t xml:space="preserve">policies </w:t>
      </w:r>
      <w:r w:rsidRPr="00163523">
        <w:rPr>
          <w:lang w:val="en-GB"/>
        </w:rPr>
        <w:t xml:space="preserve">might cause a </w:t>
      </w:r>
      <w:r w:rsidR="00421658" w:rsidRPr="00163523">
        <w:rPr>
          <w:lang w:val="en-GB"/>
        </w:rPr>
        <w:t xml:space="preserve">decrease in </w:t>
      </w:r>
      <w:r w:rsidR="00D87863" w:rsidRPr="00163523">
        <w:rPr>
          <w:lang w:val="en-GB"/>
        </w:rPr>
        <w:t xml:space="preserve">competitiveness </w:t>
      </w:r>
      <w:r w:rsidR="00421658" w:rsidRPr="00163523">
        <w:rPr>
          <w:lang w:val="en-GB"/>
        </w:rPr>
        <w:t>of industries in the Baltic Regional Gas Market</w:t>
      </w:r>
      <w:r w:rsidR="00485EAC" w:rsidRPr="00163523">
        <w:rPr>
          <w:lang w:val="en-GB"/>
        </w:rPr>
        <w:t xml:space="preserve"> in the absence of further measures</w:t>
      </w:r>
      <w:r w:rsidR="00421658" w:rsidRPr="00163523">
        <w:rPr>
          <w:lang w:val="en-GB"/>
        </w:rPr>
        <w:t xml:space="preserve">. In addition, </w:t>
      </w:r>
      <w:r w:rsidR="00763EEF" w:rsidRPr="00163523">
        <w:rPr>
          <w:lang w:val="en-GB"/>
        </w:rPr>
        <w:t xml:space="preserve">gas </w:t>
      </w:r>
      <w:r w:rsidR="007905BD" w:rsidRPr="00163523">
        <w:rPr>
          <w:lang w:val="en-GB"/>
        </w:rPr>
        <w:t xml:space="preserve">decarbonization </w:t>
      </w:r>
      <w:r w:rsidR="00354500" w:rsidRPr="00163523">
        <w:rPr>
          <w:lang w:val="en-GB"/>
        </w:rPr>
        <w:t xml:space="preserve">policies </w:t>
      </w:r>
      <w:r w:rsidR="00421658" w:rsidRPr="00163523">
        <w:rPr>
          <w:lang w:val="en-GB"/>
        </w:rPr>
        <w:t>can also have a negative impact on trade</w:t>
      </w:r>
      <w:r w:rsidR="00017788" w:rsidRPr="00163523">
        <w:rPr>
          <w:lang w:val="en-GB"/>
        </w:rPr>
        <w:t xml:space="preserve"> as </w:t>
      </w:r>
      <w:r w:rsidR="00E41C9B" w:rsidRPr="00163523">
        <w:rPr>
          <w:lang w:val="en-GB"/>
        </w:rPr>
        <w:t xml:space="preserve">domestic production of </w:t>
      </w:r>
      <w:r w:rsidR="00017788" w:rsidRPr="00163523">
        <w:rPr>
          <w:lang w:val="en-GB"/>
        </w:rPr>
        <w:t xml:space="preserve">goods </w:t>
      </w:r>
      <w:r w:rsidR="00A945A3" w:rsidRPr="00163523">
        <w:rPr>
          <w:lang w:val="en-GB"/>
        </w:rPr>
        <w:t>(</w:t>
      </w:r>
      <w:r w:rsidR="00017788" w:rsidRPr="00163523">
        <w:rPr>
          <w:lang w:val="en-GB"/>
        </w:rPr>
        <w:t xml:space="preserve">and </w:t>
      </w:r>
      <w:r w:rsidR="00A945A3" w:rsidRPr="00163523">
        <w:rPr>
          <w:lang w:val="en-GB"/>
        </w:rPr>
        <w:t xml:space="preserve">to some extent also </w:t>
      </w:r>
      <w:r w:rsidR="00017788" w:rsidRPr="00163523">
        <w:rPr>
          <w:lang w:val="en-GB"/>
        </w:rPr>
        <w:t>services</w:t>
      </w:r>
      <w:r w:rsidR="00A945A3" w:rsidRPr="00163523">
        <w:rPr>
          <w:lang w:val="en-GB"/>
        </w:rPr>
        <w:t>) may</w:t>
      </w:r>
      <w:r w:rsidR="00017788" w:rsidRPr="00163523">
        <w:rPr>
          <w:lang w:val="en-GB"/>
        </w:rPr>
        <w:t xml:space="preserve"> become less competitive.</w:t>
      </w:r>
      <w:r w:rsidRPr="00163523">
        <w:rPr>
          <w:lang w:val="en-GB"/>
        </w:rPr>
        <w:t xml:space="preserve"> </w:t>
      </w:r>
      <w:r w:rsidR="00017788" w:rsidRPr="00163523">
        <w:rPr>
          <w:lang w:val="en-GB"/>
        </w:rPr>
        <w:t>Finally, i</w:t>
      </w:r>
      <w:r w:rsidR="00BF7947" w:rsidRPr="00163523">
        <w:rPr>
          <w:lang w:val="en-GB"/>
        </w:rPr>
        <w:t xml:space="preserve">f </w:t>
      </w:r>
      <w:r w:rsidR="00805A11" w:rsidRPr="00163523">
        <w:rPr>
          <w:lang w:val="en-GB"/>
        </w:rPr>
        <w:t xml:space="preserve">local </w:t>
      </w:r>
      <w:r w:rsidR="00BF7947" w:rsidRPr="00163523">
        <w:rPr>
          <w:lang w:val="en-GB"/>
        </w:rPr>
        <w:t xml:space="preserve">industries </w:t>
      </w:r>
      <w:r w:rsidR="009A75FB" w:rsidRPr="00163523">
        <w:rPr>
          <w:lang w:val="en-GB"/>
        </w:rPr>
        <w:t>face a decrease in competitiveness</w:t>
      </w:r>
      <w:r w:rsidR="00BF7947" w:rsidRPr="00163523">
        <w:rPr>
          <w:lang w:val="en-GB"/>
        </w:rPr>
        <w:t xml:space="preserve">, consumers might shift their </w:t>
      </w:r>
      <w:r w:rsidR="009A75FB" w:rsidRPr="00163523">
        <w:rPr>
          <w:lang w:val="en-GB"/>
        </w:rPr>
        <w:t xml:space="preserve">consumption towards foreign products and services. </w:t>
      </w:r>
      <w:r w:rsidR="00DE3582" w:rsidRPr="00163523">
        <w:rPr>
          <w:lang w:val="en-GB"/>
        </w:rPr>
        <w:t xml:space="preserve">As several parts of the value chain are impacted, we </w:t>
      </w:r>
      <w:r w:rsidR="00E3399B" w:rsidRPr="00163523">
        <w:rPr>
          <w:lang w:val="en-GB"/>
        </w:rPr>
        <w:t>rate the</w:t>
      </w:r>
      <w:r w:rsidR="00E3399B" w:rsidRPr="00163523">
        <w:rPr>
          <w:b/>
          <w:lang w:val="en-GB"/>
        </w:rPr>
        <w:t xml:space="preserve"> severity of the risk as ‘medium’</w:t>
      </w:r>
      <w:r w:rsidR="00E3399B" w:rsidRPr="00163523">
        <w:rPr>
          <w:lang w:val="en-GB"/>
        </w:rPr>
        <w:t xml:space="preserve">. </w:t>
      </w:r>
    </w:p>
    <w:p w14:paraId="6A8EC19B" w14:textId="77777777" w:rsidR="00DE3582" w:rsidRPr="00163523" w:rsidRDefault="00DE3582" w:rsidP="00850C21">
      <w:pPr>
        <w:rPr>
          <w:lang w:val="en-GB"/>
        </w:rPr>
      </w:pPr>
    </w:p>
    <w:p w14:paraId="281595C1" w14:textId="411E51D6" w:rsidR="0032599A" w:rsidRDefault="007F0756" w:rsidP="0032599A">
      <w:pPr>
        <w:rPr>
          <w:lang w:val="en-GB"/>
        </w:rPr>
      </w:pPr>
      <w:r>
        <w:rPr>
          <w:lang w:val="en-GB"/>
        </w:rPr>
        <w:t xml:space="preserve">The </w:t>
      </w:r>
      <w:r w:rsidRPr="00850C21">
        <w:rPr>
          <w:b/>
          <w:bCs/>
          <w:lang w:val="en-GB"/>
        </w:rPr>
        <w:t>likelihood of the risk of decreased industry competitiveness can be assessed as ‘low’ to ‘medium’</w:t>
      </w:r>
      <w:r>
        <w:rPr>
          <w:lang w:val="en-GB"/>
        </w:rPr>
        <w:t xml:space="preserve">. </w:t>
      </w:r>
      <w:r w:rsidR="00A62256">
        <w:rPr>
          <w:lang w:val="en-GB"/>
        </w:rPr>
        <w:t>A decline in competitiveness is</w:t>
      </w:r>
      <w:r w:rsidR="00957D7F">
        <w:rPr>
          <w:lang w:val="en-GB"/>
        </w:rPr>
        <w:t xml:space="preserve"> more likely to occur in the short and medium term </w:t>
      </w:r>
      <w:r w:rsidR="00B32FF6">
        <w:rPr>
          <w:lang w:val="en-GB"/>
        </w:rPr>
        <w:t xml:space="preserve">because production costs of industries are expected to increase due to </w:t>
      </w:r>
      <w:r w:rsidR="00A62256">
        <w:rPr>
          <w:lang w:val="en-GB"/>
        </w:rPr>
        <w:t>higher</w:t>
      </w:r>
      <w:r w:rsidR="00B32FF6">
        <w:rPr>
          <w:lang w:val="en-GB"/>
        </w:rPr>
        <w:t xml:space="preserve"> investments and energy costs.</w:t>
      </w:r>
      <w:r w:rsidR="0032599A">
        <w:rPr>
          <w:lang w:val="en-GB"/>
        </w:rPr>
        <w:t xml:space="preserve"> However, </w:t>
      </w:r>
      <w:r w:rsidR="00A62256">
        <w:rPr>
          <w:lang w:val="en-GB"/>
        </w:rPr>
        <w:t xml:space="preserve">in the </w:t>
      </w:r>
      <w:r w:rsidR="0032599A">
        <w:rPr>
          <w:lang w:val="en-GB"/>
        </w:rPr>
        <w:t>long term decarbonisation of the gas sector can have a positive impact on the competitiveness of industries</w:t>
      </w:r>
      <w:r w:rsidR="0076449C">
        <w:rPr>
          <w:lang w:val="en-GB"/>
        </w:rPr>
        <w:t xml:space="preserve">, in particular </w:t>
      </w:r>
      <w:r w:rsidR="0032599A">
        <w:rPr>
          <w:lang w:val="en-GB"/>
        </w:rPr>
        <w:t>if foreign countries do not decarbonise at the same pace.</w:t>
      </w:r>
    </w:p>
    <w:p w14:paraId="122329B3" w14:textId="77777777" w:rsidR="00957D7F" w:rsidRDefault="00957D7F" w:rsidP="000C0A9C">
      <w:pPr>
        <w:rPr>
          <w:lang w:val="en-GB"/>
        </w:rPr>
      </w:pPr>
    </w:p>
    <w:p w14:paraId="3DF7A7AC" w14:textId="7954FE0B" w:rsidR="00CF57E5" w:rsidRDefault="0093355A" w:rsidP="000C0A9C">
      <w:pPr>
        <w:rPr>
          <w:lang w:val="en-GB"/>
        </w:rPr>
      </w:pPr>
      <w:r>
        <w:rPr>
          <w:lang w:val="en-GB"/>
        </w:rPr>
        <w:t xml:space="preserve">The negative impact </w:t>
      </w:r>
      <w:r w:rsidR="006E327B">
        <w:rPr>
          <w:lang w:val="en-GB"/>
        </w:rPr>
        <w:t xml:space="preserve">of the decarbonisation scenarios </w:t>
      </w:r>
      <w:r>
        <w:rPr>
          <w:lang w:val="en-GB"/>
        </w:rPr>
        <w:t>on</w:t>
      </w:r>
      <w:r w:rsidR="003D094C">
        <w:rPr>
          <w:lang w:val="en-GB"/>
        </w:rPr>
        <w:t xml:space="preserve"> </w:t>
      </w:r>
      <w:r w:rsidR="006E327B">
        <w:rPr>
          <w:lang w:val="en-GB"/>
        </w:rPr>
        <w:t xml:space="preserve">the </w:t>
      </w:r>
      <w:r w:rsidR="003D094C">
        <w:rPr>
          <w:lang w:val="en-GB"/>
        </w:rPr>
        <w:t>industry</w:t>
      </w:r>
      <w:r w:rsidR="006E327B">
        <w:rPr>
          <w:lang w:val="en-GB"/>
        </w:rPr>
        <w:t>’s</w:t>
      </w:r>
      <w:r w:rsidR="003D094C">
        <w:rPr>
          <w:lang w:val="en-GB"/>
        </w:rPr>
        <w:t xml:space="preserve"> competitiveness is more likely in </w:t>
      </w:r>
      <w:r>
        <w:rPr>
          <w:lang w:val="en-GB"/>
        </w:rPr>
        <w:t xml:space="preserve">the short </w:t>
      </w:r>
      <w:r w:rsidR="009F414A">
        <w:rPr>
          <w:lang w:val="en-GB"/>
        </w:rPr>
        <w:t>to</w:t>
      </w:r>
      <w:r>
        <w:rPr>
          <w:lang w:val="en-GB"/>
        </w:rPr>
        <w:t xml:space="preserve"> medium term</w:t>
      </w:r>
      <w:r w:rsidR="00432DC7">
        <w:rPr>
          <w:lang w:val="en-GB"/>
        </w:rPr>
        <w:t xml:space="preserve"> and in particular in the </w:t>
      </w:r>
      <w:r w:rsidR="00A84295">
        <w:rPr>
          <w:lang w:val="en-GB"/>
        </w:rPr>
        <w:t>Cost minimal scenario</w:t>
      </w:r>
      <w:r w:rsidR="00F711D6">
        <w:rPr>
          <w:lang w:val="en-GB"/>
        </w:rPr>
        <w:t xml:space="preserve">, </w:t>
      </w:r>
      <w:r w:rsidR="00717725">
        <w:rPr>
          <w:lang w:val="en-GB"/>
        </w:rPr>
        <w:t xml:space="preserve">where </w:t>
      </w:r>
      <w:r w:rsidR="00A84295">
        <w:rPr>
          <w:lang w:val="en-GB"/>
        </w:rPr>
        <w:t xml:space="preserve">investments will be significantly higher </w:t>
      </w:r>
      <w:r w:rsidR="00717725">
        <w:rPr>
          <w:lang w:val="en-GB"/>
        </w:rPr>
        <w:t>up to 2030</w:t>
      </w:r>
      <w:r w:rsidR="008F3239">
        <w:rPr>
          <w:lang w:val="en-GB"/>
        </w:rPr>
        <w:t xml:space="preserve"> </w:t>
      </w:r>
      <w:r w:rsidR="00A84295">
        <w:rPr>
          <w:lang w:val="en-GB"/>
        </w:rPr>
        <w:t xml:space="preserve">(see Deliverable 4 – </w:t>
      </w:r>
      <w:r w:rsidR="00A84295" w:rsidRPr="009E69A2">
        <w:rPr>
          <w:lang w:val="en-GB"/>
        </w:rPr>
        <w:t>Figure 3-12</w:t>
      </w:r>
      <w:r w:rsidR="00A84295">
        <w:rPr>
          <w:lang w:val="en-GB"/>
        </w:rPr>
        <w:t>).</w:t>
      </w:r>
      <w:r w:rsidR="00432DC7">
        <w:rPr>
          <w:lang w:val="en-GB"/>
        </w:rPr>
        <w:t xml:space="preserve"> </w:t>
      </w:r>
      <w:r w:rsidR="00CF57E5">
        <w:rPr>
          <w:lang w:val="en-GB"/>
        </w:rPr>
        <w:t xml:space="preserve">As the </w:t>
      </w:r>
      <w:r w:rsidR="0098269E">
        <w:rPr>
          <w:lang w:val="en-GB"/>
        </w:rPr>
        <w:t xml:space="preserve">share of natural gas in total </w:t>
      </w:r>
      <w:r w:rsidR="00027E44">
        <w:rPr>
          <w:lang w:val="en-GB"/>
        </w:rPr>
        <w:t xml:space="preserve">industrial </w:t>
      </w:r>
      <w:r w:rsidR="0098269E">
        <w:rPr>
          <w:lang w:val="en-GB"/>
        </w:rPr>
        <w:t>energy consumption</w:t>
      </w:r>
      <w:r w:rsidR="00CF57E5">
        <w:rPr>
          <w:lang w:val="en-GB"/>
        </w:rPr>
        <w:t xml:space="preserve"> </w:t>
      </w:r>
      <w:r w:rsidR="0098269E">
        <w:rPr>
          <w:lang w:val="en-GB"/>
        </w:rPr>
        <w:t xml:space="preserve">is </w:t>
      </w:r>
      <w:r w:rsidR="00027E44">
        <w:rPr>
          <w:lang w:val="en-GB"/>
        </w:rPr>
        <w:t>high</w:t>
      </w:r>
      <w:r w:rsidR="00BF7363">
        <w:rPr>
          <w:lang w:val="en-GB"/>
        </w:rPr>
        <w:t xml:space="preserve"> </w:t>
      </w:r>
      <w:r w:rsidR="00CF57E5">
        <w:rPr>
          <w:lang w:val="en-GB"/>
        </w:rPr>
        <w:t>in Estonia and Lithuania</w:t>
      </w:r>
      <w:r w:rsidR="00AA66FD">
        <w:rPr>
          <w:lang w:val="en-GB"/>
        </w:rPr>
        <w:t xml:space="preserve"> (respectively 26% and 27% in 2021)</w:t>
      </w:r>
      <w:r w:rsidR="00CF57E5">
        <w:rPr>
          <w:lang w:val="en-GB"/>
        </w:rPr>
        <w:t>, the</w:t>
      </w:r>
      <w:r w:rsidR="00C33D40">
        <w:rPr>
          <w:lang w:val="en-GB"/>
        </w:rPr>
        <w:t xml:space="preserve"> industries in the</w:t>
      </w:r>
      <w:r w:rsidR="00CF57E5">
        <w:rPr>
          <w:lang w:val="en-GB"/>
        </w:rPr>
        <w:t xml:space="preserve">se two countries are likely to be more impacted by </w:t>
      </w:r>
      <w:r w:rsidR="0080564D">
        <w:rPr>
          <w:lang w:val="en-GB"/>
        </w:rPr>
        <w:t xml:space="preserve">the </w:t>
      </w:r>
      <w:r w:rsidR="00CF57E5">
        <w:rPr>
          <w:lang w:val="en-GB"/>
        </w:rPr>
        <w:t>gas decarbonisation</w:t>
      </w:r>
      <w:r w:rsidR="00AA66FD">
        <w:rPr>
          <w:lang w:val="en-GB"/>
        </w:rPr>
        <w:t xml:space="preserve"> </w:t>
      </w:r>
      <w:r w:rsidR="00C33D40">
        <w:rPr>
          <w:lang w:val="en-GB"/>
        </w:rPr>
        <w:t xml:space="preserve">scenarios </w:t>
      </w:r>
      <w:r w:rsidR="00AA66FD">
        <w:rPr>
          <w:lang w:val="en-GB"/>
        </w:rPr>
        <w:t xml:space="preserve">than </w:t>
      </w:r>
      <w:r w:rsidR="00C33D40">
        <w:rPr>
          <w:lang w:val="en-GB"/>
        </w:rPr>
        <w:t xml:space="preserve">in </w:t>
      </w:r>
      <w:r w:rsidR="00AA66FD">
        <w:rPr>
          <w:lang w:val="en-GB"/>
        </w:rPr>
        <w:t>Finland and Latvia (</w:t>
      </w:r>
      <w:r w:rsidR="0051046D">
        <w:rPr>
          <w:lang w:val="en-GB"/>
        </w:rPr>
        <w:t xml:space="preserve">respectively </w:t>
      </w:r>
      <w:r w:rsidR="00AA66FD">
        <w:rPr>
          <w:lang w:val="en-GB"/>
        </w:rPr>
        <w:t>7% and 12% in 20</w:t>
      </w:r>
      <w:r w:rsidR="0051046D">
        <w:rPr>
          <w:lang w:val="en-GB"/>
        </w:rPr>
        <w:t>21)</w:t>
      </w:r>
      <w:r w:rsidR="00CF57E5">
        <w:rPr>
          <w:lang w:val="en-GB"/>
        </w:rPr>
        <w:t>.</w:t>
      </w:r>
    </w:p>
    <w:p w14:paraId="4BD212FC" w14:textId="77777777" w:rsidR="00CF57E5" w:rsidRPr="00920786" w:rsidRDefault="00CF57E5" w:rsidP="000C0A9C">
      <w:pPr>
        <w:rPr>
          <w:lang w:val="en-GB"/>
        </w:rPr>
      </w:pPr>
    </w:p>
    <w:tbl>
      <w:tblPr>
        <w:tblStyle w:val="Table1"/>
        <w:tblW w:w="8449" w:type="dxa"/>
        <w:tblLayout w:type="fixed"/>
        <w:tblLook w:val="04A0" w:firstRow="1" w:lastRow="0" w:firstColumn="1" w:lastColumn="0" w:noHBand="0" w:noVBand="1"/>
      </w:tblPr>
      <w:tblGrid>
        <w:gridCol w:w="2689"/>
        <w:gridCol w:w="864"/>
        <w:gridCol w:w="864"/>
        <w:gridCol w:w="865"/>
        <w:gridCol w:w="1731"/>
        <w:gridCol w:w="1436"/>
      </w:tblGrid>
      <w:tr w:rsidR="006E18C3" w:rsidRPr="00801E6C" w14:paraId="612011C7" w14:textId="77777777" w:rsidTr="0076227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89" w:type="dxa"/>
            <w:vMerge w:val="restart"/>
            <w:noWrap/>
          </w:tcPr>
          <w:p w14:paraId="34122B54" w14:textId="77777777" w:rsidR="006E18C3" w:rsidRPr="00163523" w:rsidRDefault="006E18C3" w:rsidP="0076227C">
            <w:pPr>
              <w:keepNext/>
              <w:spacing w:line="240" w:lineRule="auto"/>
              <w:ind w:left="0"/>
              <w:rPr>
                <w:rFonts w:eastAsia="Times New Roman"/>
                <w:sz w:val="16"/>
                <w:szCs w:val="16"/>
                <w:lang w:val="en-GB" w:eastAsia="en-GB"/>
              </w:rPr>
            </w:pPr>
            <w:r w:rsidRPr="00163523">
              <w:rPr>
                <w:rFonts w:eastAsia="Arial"/>
                <w:sz w:val="16"/>
                <w:szCs w:val="16"/>
                <w:lang w:val="en-GB"/>
              </w:rPr>
              <w:lastRenderedPageBreak/>
              <w:t>Risk</w:t>
            </w:r>
          </w:p>
        </w:tc>
        <w:tc>
          <w:tcPr>
            <w:tcW w:w="2593" w:type="dxa"/>
            <w:gridSpan w:val="3"/>
          </w:tcPr>
          <w:p w14:paraId="381509F6" w14:textId="77777777" w:rsidR="006E18C3" w:rsidRPr="00163523" w:rsidRDefault="006E18C3" w:rsidP="0076227C">
            <w:pPr>
              <w:keepNext/>
              <w:spacing w:line="240" w:lineRule="auto"/>
              <w:ind w:left="0"/>
              <w:cnfStyle w:val="100000000000" w:firstRow="1" w:lastRow="0" w:firstColumn="0" w:lastColumn="0" w:oddVBand="0" w:evenVBand="0" w:oddHBand="0" w:evenHBand="0" w:firstRowFirstColumn="0" w:firstRowLastColumn="0" w:lastRowFirstColumn="0" w:lastRowLastColumn="0"/>
              <w:rPr>
                <w:rFonts w:eastAsia="Arial"/>
                <w:sz w:val="16"/>
                <w:szCs w:val="16"/>
                <w:lang w:val="en-GB"/>
              </w:rPr>
            </w:pPr>
            <w:r w:rsidRPr="00801E6C">
              <w:rPr>
                <w:rFonts w:eastAsia="Arial"/>
                <w:sz w:val="16"/>
                <w:szCs w:val="16"/>
                <w:lang w:val="en-GB"/>
              </w:rPr>
              <w:t>Applicable scenarios</w:t>
            </w:r>
          </w:p>
        </w:tc>
        <w:tc>
          <w:tcPr>
            <w:tcW w:w="1731" w:type="dxa"/>
            <w:vMerge w:val="restart"/>
            <w:noWrap/>
          </w:tcPr>
          <w:p w14:paraId="1A2BF10B" w14:textId="77777777" w:rsidR="006E18C3" w:rsidRPr="00163523" w:rsidRDefault="006E18C3" w:rsidP="0076227C">
            <w:pPr>
              <w:keepNext/>
              <w:spacing w:line="240" w:lineRule="auto"/>
              <w:ind w:left="0"/>
              <w:cnfStyle w:val="100000000000" w:firstRow="1" w:lastRow="0" w:firstColumn="0" w:lastColumn="0" w:oddVBand="0" w:evenVBand="0" w:oddHBand="0" w:evenHBand="0" w:firstRowFirstColumn="0" w:firstRowLastColumn="0" w:lastRowFirstColumn="0" w:lastRowLastColumn="0"/>
              <w:rPr>
                <w:rFonts w:eastAsia="Times New Roman"/>
                <w:i/>
                <w:sz w:val="16"/>
                <w:szCs w:val="16"/>
                <w:lang w:val="en-GB" w:eastAsia="en-GB"/>
              </w:rPr>
            </w:pPr>
            <w:r w:rsidRPr="00163523">
              <w:rPr>
                <w:rFonts w:eastAsia="Arial"/>
                <w:sz w:val="16"/>
                <w:szCs w:val="16"/>
                <w:lang w:val="en-GB"/>
              </w:rPr>
              <w:t>Likelihood</w:t>
            </w:r>
          </w:p>
        </w:tc>
        <w:tc>
          <w:tcPr>
            <w:tcW w:w="1436" w:type="dxa"/>
            <w:vMerge w:val="restart"/>
            <w:noWrap/>
          </w:tcPr>
          <w:p w14:paraId="22CB0233" w14:textId="77777777" w:rsidR="006E18C3" w:rsidRPr="00163523" w:rsidRDefault="006E18C3" w:rsidP="0076227C">
            <w:pPr>
              <w:keepNext/>
              <w:spacing w:line="240" w:lineRule="auto"/>
              <w:ind w:left="0"/>
              <w:cnfStyle w:val="100000000000" w:firstRow="1" w:lastRow="0" w:firstColumn="0" w:lastColumn="0" w:oddVBand="0" w:evenVBand="0" w:oddHBand="0" w:evenHBand="0" w:firstRowFirstColumn="0" w:firstRowLastColumn="0" w:lastRowFirstColumn="0" w:lastRowLastColumn="0"/>
              <w:rPr>
                <w:rFonts w:eastAsia="Times New Roman"/>
                <w:i/>
                <w:sz w:val="16"/>
                <w:szCs w:val="16"/>
                <w:lang w:val="en-GB" w:eastAsia="en-GB"/>
              </w:rPr>
            </w:pPr>
            <w:r w:rsidRPr="00163523">
              <w:rPr>
                <w:rFonts w:eastAsia="Arial"/>
                <w:sz w:val="16"/>
                <w:szCs w:val="16"/>
                <w:lang w:val="en-GB"/>
              </w:rPr>
              <w:t>Severity</w:t>
            </w:r>
          </w:p>
        </w:tc>
      </w:tr>
      <w:tr w:rsidR="006E18C3" w:rsidRPr="00801E6C" w14:paraId="314CF4E7" w14:textId="77777777" w:rsidTr="00097AD7">
        <w:trPr>
          <w:trHeight w:val="20"/>
        </w:trPr>
        <w:tc>
          <w:tcPr>
            <w:cnfStyle w:val="001000000000" w:firstRow="0" w:lastRow="0" w:firstColumn="1" w:lastColumn="0" w:oddVBand="0" w:evenVBand="0" w:oddHBand="0" w:evenHBand="0" w:firstRowFirstColumn="0" w:firstRowLastColumn="0" w:lastRowFirstColumn="0" w:lastRowLastColumn="0"/>
            <w:tcW w:w="2689" w:type="dxa"/>
            <w:vMerge/>
            <w:noWrap/>
          </w:tcPr>
          <w:p w14:paraId="2656E26D" w14:textId="77777777" w:rsidR="006E18C3" w:rsidRPr="00801E6C" w:rsidRDefault="006E18C3" w:rsidP="0076227C">
            <w:pPr>
              <w:spacing w:line="240" w:lineRule="auto"/>
              <w:ind w:left="0"/>
              <w:jc w:val="center"/>
              <w:rPr>
                <w:rFonts w:eastAsia="Arial"/>
                <w:sz w:val="16"/>
                <w:szCs w:val="16"/>
                <w:lang w:val="en-GB"/>
              </w:rPr>
            </w:pPr>
          </w:p>
        </w:tc>
        <w:tc>
          <w:tcPr>
            <w:tcW w:w="864" w:type="dxa"/>
          </w:tcPr>
          <w:p w14:paraId="22CC6D03" w14:textId="77777777" w:rsidR="006E18C3" w:rsidRPr="00163523" w:rsidRDefault="006E18C3" w:rsidP="0076227C">
            <w:pPr>
              <w:spacing w:line="240" w:lineRule="auto"/>
              <w:ind w:left="0"/>
              <w:cnfStyle w:val="000000000000" w:firstRow="0" w:lastRow="0" w:firstColumn="0" w:lastColumn="0" w:oddVBand="0" w:evenVBand="0" w:oddHBand="0" w:evenHBand="0" w:firstRowFirstColumn="0" w:firstRowLastColumn="0" w:lastRowFirstColumn="0" w:lastRowLastColumn="0"/>
              <w:rPr>
                <w:rFonts w:eastAsia="Times New Roman"/>
                <w:b/>
                <w:color w:val="000000"/>
                <w:sz w:val="14"/>
                <w:szCs w:val="14"/>
                <w:lang w:val="en-GB" w:eastAsia="en-GB"/>
              </w:rPr>
            </w:pPr>
            <w:r w:rsidRPr="00163523">
              <w:rPr>
                <w:rFonts w:eastAsia="Arial"/>
                <w:sz w:val="14"/>
                <w:szCs w:val="14"/>
                <w:lang w:val="en-GB"/>
              </w:rPr>
              <w:t>REN-M</w:t>
            </w:r>
          </w:p>
        </w:tc>
        <w:tc>
          <w:tcPr>
            <w:tcW w:w="864" w:type="dxa"/>
          </w:tcPr>
          <w:p w14:paraId="177EE27C" w14:textId="77777777" w:rsidR="006E18C3" w:rsidRPr="00163523" w:rsidRDefault="006E18C3" w:rsidP="0076227C">
            <w:pPr>
              <w:spacing w:line="240" w:lineRule="auto"/>
              <w:ind w:left="0"/>
              <w:cnfStyle w:val="000000000000" w:firstRow="0" w:lastRow="0" w:firstColumn="0" w:lastColumn="0" w:oddVBand="0" w:evenVBand="0" w:oddHBand="0" w:evenHBand="0" w:firstRowFirstColumn="0" w:firstRowLastColumn="0" w:lastRowFirstColumn="0" w:lastRowLastColumn="0"/>
              <w:rPr>
                <w:rFonts w:eastAsia="Times New Roman"/>
                <w:b/>
                <w:color w:val="000000"/>
                <w:sz w:val="14"/>
                <w:szCs w:val="14"/>
                <w:lang w:val="en-GB" w:eastAsia="en-GB"/>
              </w:rPr>
            </w:pPr>
            <w:r w:rsidRPr="00163523">
              <w:rPr>
                <w:rFonts w:eastAsia="Arial"/>
                <w:sz w:val="14"/>
                <w:szCs w:val="14"/>
                <w:lang w:val="en-GB"/>
              </w:rPr>
              <w:t>REN-H</w:t>
            </w:r>
          </w:p>
        </w:tc>
        <w:tc>
          <w:tcPr>
            <w:tcW w:w="865" w:type="dxa"/>
          </w:tcPr>
          <w:p w14:paraId="79C37314" w14:textId="77777777" w:rsidR="006E18C3" w:rsidRPr="00163523" w:rsidRDefault="006E18C3" w:rsidP="0076227C">
            <w:pPr>
              <w:spacing w:line="240" w:lineRule="auto"/>
              <w:ind w:left="0"/>
              <w:cnfStyle w:val="000000000000" w:firstRow="0" w:lastRow="0" w:firstColumn="0" w:lastColumn="0" w:oddVBand="0" w:evenVBand="0" w:oddHBand="0" w:evenHBand="0" w:firstRowFirstColumn="0" w:firstRowLastColumn="0" w:lastRowFirstColumn="0" w:lastRowLastColumn="0"/>
              <w:rPr>
                <w:rFonts w:eastAsia="Times New Roman"/>
                <w:b/>
                <w:color w:val="000000"/>
                <w:sz w:val="14"/>
                <w:szCs w:val="14"/>
                <w:lang w:val="en-GB" w:eastAsia="en-GB"/>
              </w:rPr>
            </w:pPr>
            <w:r w:rsidRPr="00163523">
              <w:rPr>
                <w:rFonts w:eastAsia="Arial"/>
                <w:sz w:val="14"/>
                <w:szCs w:val="14"/>
                <w:lang w:val="en-GB"/>
              </w:rPr>
              <w:t>CM</w:t>
            </w:r>
          </w:p>
        </w:tc>
        <w:tc>
          <w:tcPr>
            <w:tcW w:w="1731" w:type="dxa"/>
            <w:vMerge/>
            <w:shd w:val="clear" w:color="auto" w:fill="F9B7AC" w:themeFill="accent2" w:themeFillTint="66"/>
            <w:noWrap/>
          </w:tcPr>
          <w:p w14:paraId="5A22C3C5" w14:textId="77777777" w:rsidR="006E18C3" w:rsidRPr="00163523" w:rsidRDefault="006E18C3" w:rsidP="0076227C">
            <w:pPr>
              <w:spacing w:line="240" w:lineRule="auto"/>
              <w:ind w:left="0"/>
              <w:cnfStyle w:val="000000000000" w:firstRow="0" w:lastRow="0" w:firstColumn="0" w:lastColumn="0" w:oddVBand="0" w:evenVBand="0" w:oddHBand="0" w:evenHBand="0" w:firstRowFirstColumn="0" w:firstRowLastColumn="0" w:lastRowFirstColumn="0" w:lastRowLastColumn="0"/>
              <w:rPr>
                <w:rFonts w:eastAsia="Times New Roman"/>
                <w:b/>
                <w:color w:val="000000"/>
                <w:sz w:val="16"/>
                <w:szCs w:val="16"/>
                <w:lang w:val="en-GB" w:eastAsia="en-GB"/>
              </w:rPr>
            </w:pPr>
          </w:p>
        </w:tc>
        <w:tc>
          <w:tcPr>
            <w:tcW w:w="1436" w:type="dxa"/>
            <w:vMerge/>
            <w:shd w:val="clear" w:color="auto" w:fill="FFD57B" w:themeFill="accent4" w:themeFillShade="E6"/>
            <w:noWrap/>
          </w:tcPr>
          <w:p w14:paraId="02BD4000" w14:textId="77777777" w:rsidR="006E18C3" w:rsidRPr="00163523" w:rsidRDefault="006E18C3" w:rsidP="0076227C">
            <w:pPr>
              <w:spacing w:line="240" w:lineRule="auto"/>
              <w:ind w:left="0"/>
              <w:cnfStyle w:val="000000000000" w:firstRow="0" w:lastRow="0" w:firstColumn="0" w:lastColumn="0" w:oddVBand="0" w:evenVBand="0" w:oddHBand="0" w:evenHBand="0" w:firstRowFirstColumn="0" w:firstRowLastColumn="0" w:lastRowFirstColumn="0" w:lastRowLastColumn="0"/>
              <w:rPr>
                <w:rFonts w:eastAsia="Arial"/>
                <w:b/>
                <w:sz w:val="16"/>
                <w:szCs w:val="16"/>
                <w:lang w:val="en-GB"/>
              </w:rPr>
            </w:pPr>
          </w:p>
        </w:tc>
      </w:tr>
      <w:tr w:rsidR="006E18C3" w:rsidRPr="00801E6C" w14:paraId="797694A2" w14:textId="77777777" w:rsidTr="00097AD7">
        <w:trPr>
          <w:trHeight w:val="58"/>
        </w:trPr>
        <w:tc>
          <w:tcPr>
            <w:cnfStyle w:val="001000000000" w:firstRow="0" w:lastRow="0" w:firstColumn="1" w:lastColumn="0" w:oddVBand="0" w:evenVBand="0" w:oddHBand="0" w:evenHBand="0" w:firstRowFirstColumn="0" w:firstRowLastColumn="0" w:lastRowFirstColumn="0" w:lastRowLastColumn="0"/>
            <w:tcW w:w="2689" w:type="dxa"/>
            <w:noWrap/>
          </w:tcPr>
          <w:p w14:paraId="705BFE89" w14:textId="09D1D88A" w:rsidR="006E18C3" w:rsidRPr="00801E6C" w:rsidRDefault="00FB4738" w:rsidP="0076227C">
            <w:pPr>
              <w:spacing w:line="240" w:lineRule="auto"/>
              <w:ind w:left="0"/>
              <w:jc w:val="center"/>
              <w:rPr>
                <w:rFonts w:eastAsia="Times New Roman"/>
                <w:color w:val="000000"/>
                <w:sz w:val="16"/>
                <w:szCs w:val="16"/>
                <w:lang w:val="en-GB" w:eastAsia="en-GB"/>
              </w:rPr>
            </w:pPr>
            <w:r w:rsidRPr="00FB4738">
              <w:rPr>
                <w:rFonts w:eastAsia="Times New Roman"/>
                <w:color w:val="000000"/>
                <w:sz w:val="16"/>
                <w:szCs w:val="16"/>
                <w:lang w:val="en-GB" w:eastAsia="en-GB"/>
              </w:rPr>
              <w:t>Fossil gas decarbonisation can negatively affect competitiveness of industrial users</w:t>
            </w:r>
          </w:p>
        </w:tc>
        <w:tc>
          <w:tcPr>
            <w:tcW w:w="864" w:type="dxa"/>
          </w:tcPr>
          <w:p w14:paraId="128FB936" w14:textId="77777777" w:rsidR="006E18C3" w:rsidRPr="00163523" w:rsidRDefault="006E18C3" w:rsidP="0076227C">
            <w:pPr>
              <w:spacing w:line="240" w:lineRule="auto"/>
              <w:ind w:left="0"/>
              <w:cnfStyle w:val="000000000000" w:firstRow="0" w:lastRow="0" w:firstColumn="0" w:lastColumn="0" w:oddVBand="0" w:evenVBand="0" w:oddHBand="0" w:evenHBand="0" w:firstRowFirstColumn="0" w:firstRowLastColumn="0" w:lastRowFirstColumn="0" w:lastRowLastColumn="0"/>
              <w:rPr>
                <w:rFonts w:eastAsia="Times New Roman"/>
                <w:b/>
                <w:color w:val="000000"/>
                <w:sz w:val="16"/>
                <w:szCs w:val="16"/>
                <w:lang w:val="en-GB" w:eastAsia="en-GB"/>
              </w:rPr>
            </w:pPr>
            <w:r w:rsidRPr="00163523">
              <w:rPr>
                <w:rFonts w:ascii="Wingdings" w:eastAsia="Wingdings" w:hAnsi="Wingdings" w:cs="Wingdings"/>
                <w:b/>
                <w:color w:val="000000"/>
                <w:sz w:val="16"/>
                <w:szCs w:val="16"/>
                <w:lang w:val="en-GB" w:eastAsia="en-GB"/>
              </w:rPr>
              <w:t>ü</w:t>
            </w:r>
          </w:p>
        </w:tc>
        <w:tc>
          <w:tcPr>
            <w:tcW w:w="864" w:type="dxa"/>
          </w:tcPr>
          <w:p w14:paraId="2EC1039E" w14:textId="597184AB" w:rsidR="006E18C3" w:rsidRPr="00163523" w:rsidRDefault="006E18C3" w:rsidP="0076227C">
            <w:pPr>
              <w:spacing w:line="240" w:lineRule="auto"/>
              <w:ind w:left="0"/>
              <w:cnfStyle w:val="000000000000" w:firstRow="0" w:lastRow="0" w:firstColumn="0" w:lastColumn="0" w:oddVBand="0" w:evenVBand="0" w:oddHBand="0" w:evenHBand="0" w:firstRowFirstColumn="0" w:firstRowLastColumn="0" w:lastRowFirstColumn="0" w:lastRowLastColumn="0"/>
              <w:rPr>
                <w:rFonts w:eastAsia="Times New Roman"/>
                <w:b/>
                <w:color w:val="000000"/>
                <w:sz w:val="16"/>
                <w:szCs w:val="16"/>
                <w:lang w:val="en-GB" w:eastAsia="en-GB"/>
              </w:rPr>
            </w:pPr>
            <w:r w:rsidRPr="00163523" w:rsidDel="007C0DF8">
              <w:rPr>
                <w:rFonts w:ascii="Wingdings" w:eastAsia="Wingdings" w:hAnsi="Wingdings" w:cs="Wingdings"/>
                <w:b/>
                <w:color w:val="000000"/>
                <w:sz w:val="16"/>
                <w:szCs w:val="16"/>
                <w:lang w:val="en-GB" w:eastAsia="en-GB"/>
              </w:rPr>
              <w:t>ü</w:t>
            </w:r>
          </w:p>
        </w:tc>
        <w:tc>
          <w:tcPr>
            <w:tcW w:w="865" w:type="dxa"/>
          </w:tcPr>
          <w:p w14:paraId="3DB48450" w14:textId="307A1B6A" w:rsidR="006E18C3" w:rsidRPr="00163523" w:rsidRDefault="00E812CE" w:rsidP="0076227C">
            <w:pPr>
              <w:spacing w:line="240" w:lineRule="auto"/>
              <w:ind w:left="0"/>
              <w:cnfStyle w:val="000000000000" w:firstRow="0" w:lastRow="0" w:firstColumn="0" w:lastColumn="0" w:oddVBand="0" w:evenVBand="0" w:oddHBand="0" w:evenHBand="0" w:firstRowFirstColumn="0" w:firstRowLastColumn="0" w:lastRowFirstColumn="0" w:lastRowLastColumn="0"/>
              <w:rPr>
                <w:rFonts w:eastAsia="Times New Roman"/>
                <w:b/>
                <w:color w:val="000000"/>
                <w:sz w:val="16"/>
                <w:szCs w:val="16"/>
                <w:lang w:val="en-GB" w:eastAsia="en-GB"/>
              </w:rPr>
            </w:pPr>
            <w:r w:rsidRPr="00163523">
              <w:rPr>
                <w:rFonts w:ascii="Wingdings" w:eastAsia="Wingdings" w:hAnsi="Wingdings" w:cs="Wingdings"/>
                <w:b/>
                <w:color w:val="000000"/>
                <w:sz w:val="16"/>
                <w:szCs w:val="16"/>
                <w:lang w:val="en-GB" w:eastAsia="en-GB"/>
              </w:rPr>
              <w:t>ü</w:t>
            </w:r>
            <w:r w:rsidR="006E18C3" w:rsidRPr="00163523">
              <w:rPr>
                <w:rFonts w:ascii="Wingdings" w:eastAsia="Wingdings" w:hAnsi="Wingdings" w:cs="Wingdings"/>
                <w:b/>
                <w:color w:val="000000"/>
                <w:sz w:val="16"/>
                <w:szCs w:val="16"/>
                <w:lang w:val="en-GB" w:eastAsia="en-GB"/>
              </w:rPr>
              <w:t>ü</w:t>
            </w:r>
          </w:p>
        </w:tc>
        <w:tc>
          <w:tcPr>
            <w:tcW w:w="1731" w:type="dxa"/>
            <w:shd w:val="clear" w:color="auto" w:fill="FFD57B" w:themeFill="accent4" w:themeFillShade="E6"/>
            <w:noWrap/>
          </w:tcPr>
          <w:p w14:paraId="5144C894" w14:textId="5D11D68D" w:rsidR="006E18C3" w:rsidRPr="00163523" w:rsidRDefault="006E18C3" w:rsidP="0076227C">
            <w:pPr>
              <w:spacing w:line="240" w:lineRule="auto"/>
              <w:ind w:left="0"/>
              <w:cnfStyle w:val="000000000000" w:firstRow="0" w:lastRow="0" w:firstColumn="0" w:lastColumn="0" w:oddVBand="0" w:evenVBand="0" w:oddHBand="0" w:evenHBand="0" w:firstRowFirstColumn="0" w:firstRowLastColumn="0" w:lastRowFirstColumn="0" w:lastRowLastColumn="0"/>
              <w:rPr>
                <w:rFonts w:eastAsia="Times New Roman"/>
                <w:b/>
                <w:color w:val="000000"/>
                <w:sz w:val="16"/>
                <w:szCs w:val="16"/>
                <w:lang w:val="en-GB" w:eastAsia="en-GB"/>
              </w:rPr>
            </w:pPr>
            <w:r w:rsidRPr="00163523">
              <w:rPr>
                <w:rFonts w:eastAsia="Arial"/>
                <w:b/>
                <w:sz w:val="16"/>
                <w:szCs w:val="16"/>
                <w:lang w:val="en-GB"/>
              </w:rPr>
              <w:t>Low/Medium</w:t>
            </w:r>
          </w:p>
        </w:tc>
        <w:tc>
          <w:tcPr>
            <w:tcW w:w="1436" w:type="dxa"/>
            <w:shd w:val="clear" w:color="auto" w:fill="FFD57B" w:themeFill="accent4" w:themeFillShade="E6"/>
            <w:noWrap/>
          </w:tcPr>
          <w:p w14:paraId="56CFB599" w14:textId="77777777" w:rsidR="006E18C3" w:rsidRPr="00163523" w:rsidRDefault="006E18C3" w:rsidP="0076227C">
            <w:pPr>
              <w:spacing w:line="240" w:lineRule="auto"/>
              <w:ind w:left="0"/>
              <w:cnfStyle w:val="000000000000" w:firstRow="0" w:lastRow="0" w:firstColumn="0" w:lastColumn="0" w:oddVBand="0" w:evenVBand="0" w:oddHBand="0" w:evenHBand="0" w:firstRowFirstColumn="0" w:firstRowLastColumn="0" w:lastRowFirstColumn="0" w:lastRowLastColumn="0"/>
              <w:rPr>
                <w:rFonts w:eastAsia="Times New Roman"/>
                <w:b/>
                <w:i/>
                <w:color w:val="000000"/>
                <w:sz w:val="16"/>
                <w:szCs w:val="16"/>
                <w:lang w:val="en-GB" w:eastAsia="en-GB"/>
              </w:rPr>
            </w:pPr>
            <w:r w:rsidRPr="00163523">
              <w:rPr>
                <w:rFonts w:eastAsia="Arial"/>
                <w:b/>
                <w:sz w:val="16"/>
                <w:szCs w:val="16"/>
                <w:lang w:val="en-GB"/>
              </w:rPr>
              <w:t>Medium</w:t>
            </w:r>
          </w:p>
        </w:tc>
      </w:tr>
    </w:tbl>
    <w:p w14:paraId="3D2D980F" w14:textId="77777777" w:rsidR="006E18C3" w:rsidRPr="00163523" w:rsidRDefault="006E18C3" w:rsidP="000C0A9C">
      <w:pPr>
        <w:rPr>
          <w:lang w:val="en-GB"/>
        </w:rPr>
      </w:pPr>
    </w:p>
    <w:p w14:paraId="192F4740" w14:textId="77777777" w:rsidR="000C0A9C" w:rsidRPr="00163523" w:rsidRDefault="000C0A9C" w:rsidP="000C0A9C">
      <w:pPr>
        <w:pStyle w:val="Kop4"/>
        <w:rPr>
          <w:lang w:val="en-GB"/>
        </w:rPr>
      </w:pPr>
      <w:r>
        <w:rPr>
          <w:lang w:val="en-GB"/>
        </w:rPr>
        <w:t xml:space="preserve">Potential </w:t>
      </w:r>
      <w:r w:rsidRPr="00163523">
        <w:rPr>
          <w:lang w:val="en-GB"/>
        </w:rPr>
        <w:t>mitigation measures</w:t>
      </w:r>
    </w:p>
    <w:p w14:paraId="45CD26E2" w14:textId="4176DE8F" w:rsidR="000C0A9C" w:rsidRPr="00163523" w:rsidRDefault="006B59EA" w:rsidP="00E94F27">
      <w:pPr>
        <w:rPr>
          <w:lang w:val="en-GB"/>
        </w:rPr>
      </w:pPr>
      <w:r w:rsidRPr="00163523">
        <w:rPr>
          <w:lang w:val="en-GB"/>
        </w:rPr>
        <w:t>The following measures could be considered to mitigate the severity and likelihood of this risk to occur:</w:t>
      </w:r>
    </w:p>
    <w:p w14:paraId="14A17A88" w14:textId="217F5D5A" w:rsidR="00960DA8" w:rsidRDefault="002A56B4" w:rsidP="00960DA8">
      <w:pPr>
        <w:pStyle w:val="Lijstalinea"/>
      </w:pPr>
      <w:r>
        <w:t>Public financial</w:t>
      </w:r>
      <w:r w:rsidR="00E22D05">
        <w:t xml:space="preserve"> s</w:t>
      </w:r>
      <w:r w:rsidR="000C3DB6">
        <w:t>upport</w:t>
      </w:r>
      <w:r w:rsidR="004E23ED">
        <w:t xml:space="preserve"> </w:t>
      </w:r>
      <w:r w:rsidR="00C02A85">
        <w:t>(preferably investment a</w:t>
      </w:r>
      <w:r w:rsidR="00C250AA">
        <w:t>id</w:t>
      </w:r>
      <w:r w:rsidR="00C02A85">
        <w:t xml:space="preserve"> rather than operational </w:t>
      </w:r>
      <w:r w:rsidR="00C250AA">
        <w:t xml:space="preserve">support) </w:t>
      </w:r>
      <w:r w:rsidR="004E23ED">
        <w:t>for</w:t>
      </w:r>
      <w:r w:rsidR="000C3DB6">
        <w:t xml:space="preserve"> industrial users </w:t>
      </w:r>
      <w:r w:rsidR="00E22D05">
        <w:t xml:space="preserve">to </w:t>
      </w:r>
      <w:r w:rsidR="000B3353">
        <w:t>reduce their dependence on fossil gas</w:t>
      </w:r>
      <w:r w:rsidR="00DA0543">
        <w:t xml:space="preserve"> by </w:t>
      </w:r>
      <w:r w:rsidR="00E22D05">
        <w:t xml:space="preserve">energy efficiency and </w:t>
      </w:r>
      <w:r w:rsidR="00B444D6">
        <w:t>substitution measures</w:t>
      </w:r>
      <w:r w:rsidR="00E22D05">
        <w:t xml:space="preserve"> (e.g. subsidies for energy audits</w:t>
      </w:r>
      <w:r w:rsidR="004F28C5">
        <w:t>, energy efficiency investments, replacement of production equipment</w:t>
      </w:r>
      <w:r w:rsidR="00E22D05">
        <w:t>,</w:t>
      </w:r>
      <w:r w:rsidR="004F28C5">
        <w:t xml:space="preserve"> and resource-efficient green technologies</w:t>
      </w:r>
      <w:r w:rsidR="00411D8F">
        <w:t>)</w:t>
      </w:r>
      <w:r w:rsidR="00F54B6C">
        <w:t>;</w:t>
      </w:r>
      <w:r w:rsidR="007B222B">
        <w:t xml:space="preserve"> </w:t>
      </w:r>
    </w:p>
    <w:p w14:paraId="6F421F0D" w14:textId="13305EB5" w:rsidR="0026537E" w:rsidRPr="00F54B6C" w:rsidRDefault="002A56B4" w:rsidP="00960DA8">
      <w:pPr>
        <w:pStyle w:val="Lijstalinea"/>
      </w:pPr>
      <w:r w:rsidRPr="00F54B6C">
        <w:t xml:space="preserve">Information exchange and technical assistance on </w:t>
      </w:r>
      <w:r w:rsidR="00D4543E">
        <w:t xml:space="preserve">specific technologies and </w:t>
      </w:r>
      <w:r w:rsidRPr="00F54B6C">
        <w:t>best practices</w:t>
      </w:r>
      <w:r w:rsidR="001E5308" w:rsidRPr="00F54B6C">
        <w:t xml:space="preserve"> via </w:t>
      </w:r>
      <w:r w:rsidR="007B222B" w:rsidRPr="00F54B6C">
        <w:t>sector associations and technology clusters</w:t>
      </w:r>
      <w:r w:rsidR="00254868">
        <w:t>;</w:t>
      </w:r>
    </w:p>
    <w:p w14:paraId="312978C3" w14:textId="5B647F10" w:rsidR="007C1142" w:rsidRPr="00F54B6C" w:rsidRDefault="001116D1" w:rsidP="00960DA8">
      <w:pPr>
        <w:pStyle w:val="Lijstalinea"/>
      </w:pPr>
      <w:r w:rsidRPr="00F54B6C">
        <w:t xml:space="preserve">Applied research and demonstration/pilot projects for </w:t>
      </w:r>
      <w:r w:rsidR="00513844" w:rsidRPr="00F54B6C">
        <w:t xml:space="preserve">renewable/low-carbon gas based </w:t>
      </w:r>
      <w:r w:rsidRPr="00F54B6C">
        <w:t>technologies/applica</w:t>
      </w:r>
      <w:r w:rsidR="00291111" w:rsidRPr="00F54B6C">
        <w:t xml:space="preserve">tions that have not yet reached technical maturity (TRL </w:t>
      </w:r>
      <w:r w:rsidR="00513844" w:rsidRPr="00F54B6C">
        <w:t>&lt; 9) but that are promising solutions to decarbonise the indu</w:t>
      </w:r>
      <w:r w:rsidR="006E4A0C" w:rsidRPr="00F54B6C">
        <w:t>stry.</w:t>
      </w:r>
    </w:p>
    <w:p w14:paraId="600A26F3" w14:textId="77777777" w:rsidR="00F54B6C" w:rsidRPr="007C1142" w:rsidRDefault="00F54B6C" w:rsidP="00F54B6C">
      <w:pPr>
        <w:pStyle w:val="Lijstalinea"/>
        <w:numPr>
          <w:ilvl w:val="0"/>
          <w:numId w:val="0"/>
        </w:numPr>
        <w:ind w:left="1287"/>
        <w:rPr>
          <w:highlight w:val="yellow"/>
        </w:rPr>
      </w:pPr>
    </w:p>
    <w:p w14:paraId="6A5994A0" w14:textId="3C1B388C" w:rsidR="000C0A9C" w:rsidRDefault="000C0A9C" w:rsidP="001A3CCD">
      <w:pPr>
        <w:pStyle w:val="Kop2"/>
      </w:pPr>
      <w:bookmarkStart w:id="44" w:name="_Ref137116834"/>
      <w:bookmarkStart w:id="45" w:name="_Toc138492603"/>
      <w:bookmarkStart w:id="46" w:name="_Toc144803010"/>
      <w:r>
        <w:t xml:space="preserve">Risk 4: </w:t>
      </w:r>
      <w:r w:rsidRPr="000C0A9C">
        <w:t xml:space="preserve">Developments in global energy markets </w:t>
      </w:r>
      <w:r w:rsidR="00F63E15" w:rsidRPr="00F63E15">
        <w:t>impact competitiveness of gas decarbonisation solutions</w:t>
      </w:r>
      <w:bookmarkEnd w:id="44"/>
      <w:bookmarkEnd w:id="45"/>
      <w:bookmarkEnd w:id="46"/>
    </w:p>
    <w:p w14:paraId="7FB9B6AA" w14:textId="339D6733" w:rsidR="000C0A9C" w:rsidRPr="00163523" w:rsidRDefault="000C0A9C" w:rsidP="000C0A9C">
      <w:pPr>
        <w:pStyle w:val="Kop4"/>
        <w:rPr>
          <w:lang w:val="en-GB"/>
        </w:rPr>
      </w:pPr>
      <w:r>
        <w:rPr>
          <w:lang w:val="en-GB"/>
        </w:rPr>
        <w:t>D</w:t>
      </w:r>
      <w:r w:rsidRPr="00163523">
        <w:rPr>
          <w:lang w:val="en-GB"/>
        </w:rPr>
        <w:t xml:space="preserve">escription of the risk, </w:t>
      </w:r>
      <w:r w:rsidR="00803ADE" w:rsidRPr="00163523">
        <w:rPr>
          <w:lang w:val="en-GB"/>
        </w:rPr>
        <w:t>covering the Baltic Regional Gas Market</w:t>
      </w:r>
    </w:p>
    <w:p w14:paraId="12A1890D" w14:textId="67EF3A04" w:rsidR="000C0A9C" w:rsidRPr="00163523" w:rsidRDefault="00054DA5" w:rsidP="000C0A9C">
      <w:pPr>
        <w:rPr>
          <w:lang w:val="en-GB"/>
        </w:rPr>
      </w:pPr>
      <w:r w:rsidRPr="00163523">
        <w:rPr>
          <w:lang w:val="en-GB"/>
        </w:rPr>
        <w:t>The c</w:t>
      </w:r>
      <w:r w:rsidR="005D4ECC" w:rsidRPr="00163523">
        <w:rPr>
          <w:lang w:val="en-GB"/>
        </w:rPr>
        <w:t>ompetitiveness of gas decarbonization solutions can be defined as the ability to produce and use affordable, reliable and accessible renewable and low-carbon gas alternatives</w:t>
      </w:r>
      <w:r w:rsidR="001E2B97" w:rsidRPr="00163523">
        <w:rPr>
          <w:lang w:val="en-GB"/>
        </w:rPr>
        <w:t xml:space="preserve">, which </w:t>
      </w:r>
      <w:r w:rsidR="005D4ECC" w:rsidRPr="00163523">
        <w:rPr>
          <w:lang w:val="en-GB"/>
        </w:rPr>
        <w:t>compete against fossil fuel-based solutions.</w:t>
      </w:r>
      <w:r w:rsidR="0007600A" w:rsidRPr="00163523">
        <w:rPr>
          <w:lang w:val="en-GB"/>
        </w:rPr>
        <w:t xml:space="preserve"> This competitiveness has been affected </w:t>
      </w:r>
      <w:r w:rsidR="00197DE3" w:rsidRPr="00163523">
        <w:rPr>
          <w:lang w:val="en-GB"/>
        </w:rPr>
        <w:t xml:space="preserve">in </w:t>
      </w:r>
      <w:r w:rsidR="004C1FB5" w:rsidRPr="00163523">
        <w:rPr>
          <w:lang w:val="en-GB"/>
        </w:rPr>
        <w:t xml:space="preserve">different ways </w:t>
      </w:r>
      <w:r w:rsidR="0007600A" w:rsidRPr="00163523">
        <w:rPr>
          <w:lang w:val="en-GB"/>
        </w:rPr>
        <w:t xml:space="preserve">by </w:t>
      </w:r>
      <w:r w:rsidR="00C4734F" w:rsidRPr="00163523">
        <w:rPr>
          <w:lang w:val="en-GB"/>
        </w:rPr>
        <w:t>developments in global energy markets.</w:t>
      </w:r>
      <w:r w:rsidR="00BA359E" w:rsidRPr="00163523">
        <w:rPr>
          <w:lang w:val="en-GB"/>
        </w:rPr>
        <w:t xml:space="preserve"> </w:t>
      </w:r>
      <w:r w:rsidR="001E3F48" w:rsidRPr="00163523">
        <w:rPr>
          <w:lang w:val="en-GB"/>
        </w:rPr>
        <w:t>Since 2021, t</w:t>
      </w:r>
      <w:r w:rsidR="00797F6A" w:rsidRPr="00163523">
        <w:rPr>
          <w:lang w:val="en-GB"/>
        </w:rPr>
        <w:t xml:space="preserve">here has been high </w:t>
      </w:r>
      <w:r w:rsidR="00251579" w:rsidRPr="00163523">
        <w:rPr>
          <w:lang w:val="en-GB"/>
        </w:rPr>
        <w:t xml:space="preserve">volatility in energy prices on global energy markets. </w:t>
      </w:r>
      <w:r w:rsidR="001E3F48" w:rsidRPr="00163523">
        <w:rPr>
          <w:lang w:val="en-GB"/>
        </w:rPr>
        <w:t>To some extent, t</w:t>
      </w:r>
      <w:r w:rsidR="007D3527" w:rsidRPr="00163523">
        <w:rPr>
          <w:lang w:val="en-GB"/>
        </w:rPr>
        <w:t xml:space="preserve">his was expected </w:t>
      </w:r>
      <w:r w:rsidR="00E7073B" w:rsidRPr="00163523">
        <w:rPr>
          <w:lang w:val="en-GB"/>
        </w:rPr>
        <w:t>considering</w:t>
      </w:r>
      <w:r w:rsidR="007D3527" w:rsidRPr="00163523">
        <w:rPr>
          <w:lang w:val="en-GB"/>
        </w:rPr>
        <w:t xml:space="preserve"> </w:t>
      </w:r>
      <w:r w:rsidR="002B5DD7" w:rsidRPr="00163523">
        <w:rPr>
          <w:lang w:val="en-GB"/>
        </w:rPr>
        <w:t xml:space="preserve">the </w:t>
      </w:r>
      <w:r w:rsidR="007D3527" w:rsidRPr="00163523">
        <w:rPr>
          <w:lang w:val="en-GB"/>
        </w:rPr>
        <w:t>economic recovery and relaxation of lock-down measures in many countries following the Covid-19 pandemic. Nevertheless</w:t>
      </w:r>
      <w:r w:rsidR="000F7729" w:rsidRPr="00163523">
        <w:rPr>
          <w:lang w:val="en-GB"/>
        </w:rPr>
        <w:t xml:space="preserve">, energy prices </w:t>
      </w:r>
      <w:r w:rsidR="000E18BE" w:rsidRPr="00163523">
        <w:rPr>
          <w:lang w:val="en-GB"/>
        </w:rPr>
        <w:t xml:space="preserve">have reached peaks that were not </w:t>
      </w:r>
      <w:r w:rsidR="000F7729" w:rsidRPr="00163523">
        <w:rPr>
          <w:lang w:val="en-GB"/>
        </w:rPr>
        <w:t xml:space="preserve">anticipated. </w:t>
      </w:r>
      <w:r w:rsidR="000E18BE" w:rsidRPr="00163523">
        <w:rPr>
          <w:lang w:val="en-GB"/>
        </w:rPr>
        <w:t>Th</w:t>
      </w:r>
      <w:r w:rsidR="003845AD" w:rsidRPr="00163523">
        <w:rPr>
          <w:lang w:val="en-GB"/>
        </w:rPr>
        <w:t>e</w:t>
      </w:r>
      <w:r w:rsidR="000E18BE" w:rsidRPr="00163523">
        <w:rPr>
          <w:lang w:val="en-GB"/>
        </w:rPr>
        <w:t xml:space="preserve"> </w:t>
      </w:r>
      <w:r w:rsidR="005D2969" w:rsidRPr="00163523">
        <w:rPr>
          <w:lang w:val="en-GB"/>
        </w:rPr>
        <w:t>increases in gas prices on the global markets (more than 170% increase in 2021) and in the EU (more than 150% increase between July 2021 and July 2022)</w:t>
      </w:r>
      <w:r w:rsidR="003B25B2" w:rsidRPr="00163523">
        <w:rPr>
          <w:lang w:val="en-GB"/>
        </w:rPr>
        <w:t xml:space="preserve"> can be attributed to </w:t>
      </w:r>
      <w:r w:rsidR="00D02735" w:rsidRPr="00163523">
        <w:rPr>
          <w:lang w:val="en-GB"/>
        </w:rPr>
        <w:t>several</w:t>
      </w:r>
      <w:r w:rsidR="003B25B2" w:rsidRPr="00163523">
        <w:rPr>
          <w:lang w:val="en-GB"/>
        </w:rPr>
        <w:t xml:space="preserve"> factors</w:t>
      </w:r>
      <w:r w:rsidR="00D02735" w:rsidRPr="00163523">
        <w:rPr>
          <w:lang w:val="en-GB"/>
        </w:rPr>
        <w:t>/events</w:t>
      </w:r>
      <w:r w:rsidR="003B25B2" w:rsidRPr="00163523">
        <w:rPr>
          <w:lang w:val="en-GB"/>
        </w:rPr>
        <w:t>:</w:t>
      </w:r>
      <w:r w:rsidR="003B25B2" w:rsidRPr="00163523">
        <w:rPr>
          <w:rStyle w:val="Voetnootmarkering"/>
          <w:lang w:val="en-GB"/>
        </w:rPr>
        <w:t xml:space="preserve"> </w:t>
      </w:r>
      <w:r w:rsidR="003B25B2" w:rsidRPr="00163523">
        <w:rPr>
          <w:rStyle w:val="Voetnootmarkering"/>
          <w:lang w:val="en-GB"/>
        </w:rPr>
        <w:footnoteReference w:id="33"/>
      </w:r>
    </w:p>
    <w:p w14:paraId="5DD4E1F5" w14:textId="66F61794" w:rsidR="006D09F9" w:rsidRPr="00B806B5" w:rsidRDefault="00D914B1" w:rsidP="00241B82">
      <w:pPr>
        <w:pStyle w:val="Bulletpoint"/>
      </w:pPr>
      <w:r>
        <w:t xml:space="preserve">Disrupted </w:t>
      </w:r>
      <w:r w:rsidR="007C27BF">
        <w:t>pipeline gas supply f</w:t>
      </w:r>
      <w:r w:rsidR="00022AC5">
        <w:t>rom</w:t>
      </w:r>
      <w:r w:rsidR="007C27BF">
        <w:t xml:space="preserve"> </w:t>
      </w:r>
      <w:r w:rsidR="00B52236">
        <w:t>Russia</w:t>
      </w:r>
      <w:r w:rsidR="003B25B2">
        <w:t>;</w:t>
      </w:r>
    </w:p>
    <w:p w14:paraId="4AED6B5D" w14:textId="64054C6C" w:rsidR="006D09F9" w:rsidRPr="00B806B5" w:rsidRDefault="003B25B2" w:rsidP="00241B82">
      <w:pPr>
        <w:pStyle w:val="Bulletpoint"/>
      </w:pPr>
      <w:r>
        <w:t>E</w:t>
      </w:r>
      <w:r w:rsidR="006D09F9" w:rsidRPr="00B806B5">
        <w:t xml:space="preserve">xtreme climate conditions, including summer heatwaves </w:t>
      </w:r>
      <w:r w:rsidR="00A3225E">
        <w:t xml:space="preserve">and droughts </w:t>
      </w:r>
      <w:r w:rsidR="006D09F9" w:rsidRPr="00B806B5">
        <w:t>across Europe which push up energy demand for cooling and add pressure on electricity generation</w:t>
      </w:r>
      <w:r>
        <w:t>;</w:t>
      </w:r>
    </w:p>
    <w:p w14:paraId="113CB630" w14:textId="03184D8B" w:rsidR="006D09F9" w:rsidRPr="00B806B5" w:rsidRDefault="005C705E" w:rsidP="00241B82">
      <w:pPr>
        <w:pStyle w:val="Bulletpoint"/>
      </w:pPr>
      <w:r>
        <w:t>I</w:t>
      </w:r>
      <w:r w:rsidR="006D09F9" w:rsidRPr="00B806B5">
        <w:t xml:space="preserve">ncreased demand for </w:t>
      </w:r>
      <w:r>
        <w:t>LNG</w:t>
      </w:r>
      <w:r w:rsidR="006D09F9" w:rsidRPr="00B806B5">
        <w:t xml:space="preserve"> and a consequent spike in its price</w:t>
      </w:r>
      <w:r>
        <w:t>;</w:t>
      </w:r>
    </w:p>
    <w:p w14:paraId="61261C63" w14:textId="2EDBB7B3" w:rsidR="006D09F9" w:rsidRPr="00B806B5" w:rsidRDefault="005C705E" w:rsidP="00241B82">
      <w:pPr>
        <w:pStyle w:val="Bulletpoint"/>
      </w:pPr>
      <w:r>
        <w:t>G</w:t>
      </w:r>
      <w:r w:rsidR="006D09F9" w:rsidRPr="00B806B5">
        <w:t>reater consumption of gas in Asia due to the economic recovery</w:t>
      </w:r>
      <w:r>
        <w:t>;</w:t>
      </w:r>
    </w:p>
    <w:p w14:paraId="0E1BF0B6" w14:textId="5B4F0DF9" w:rsidR="006D09F9" w:rsidRPr="00B806B5" w:rsidRDefault="002376FA" w:rsidP="00241B82">
      <w:pPr>
        <w:pStyle w:val="Bulletpoint"/>
      </w:pPr>
      <w:r>
        <w:t xml:space="preserve">Lower availability </w:t>
      </w:r>
      <w:r w:rsidR="006D09F9" w:rsidRPr="00B806B5">
        <w:t>of nuclear and hydropower electricity generation, partly linked to climate conditions</w:t>
      </w:r>
      <w:r w:rsidR="0007600A">
        <w:t>.</w:t>
      </w:r>
    </w:p>
    <w:p w14:paraId="138B0579" w14:textId="77777777" w:rsidR="0071539D" w:rsidRPr="00163523" w:rsidRDefault="0071539D" w:rsidP="0071539D">
      <w:pPr>
        <w:rPr>
          <w:lang w:val="en-GB"/>
        </w:rPr>
      </w:pPr>
    </w:p>
    <w:p w14:paraId="629DB11C" w14:textId="0199BC9E" w:rsidR="00596D52" w:rsidRPr="00163523" w:rsidRDefault="0071539D" w:rsidP="0071539D">
      <w:pPr>
        <w:rPr>
          <w:lang w:val="en-GB"/>
        </w:rPr>
      </w:pPr>
      <w:r w:rsidRPr="00163523">
        <w:rPr>
          <w:lang w:val="en-GB"/>
        </w:rPr>
        <w:t>E</w:t>
      </w:r>
      <w:r w:rsidR="006D09F9" w:rsidRPr="00163523">
        <w:rPr>
          <w:lang w:val="en-GB"/>
        </w:rPr>
        <w:t xml:space="preserve">nergy prices </w:t>
      </w:r>
      <w:r w:rsidR="000650EB" w:rsidRPr="00163523">
        <w:rPr>
          <w:lang w:val="en-GB"/>
        </w:rPr>
        <w:t>increases</w:t>
      </w:r>
      <w:r w:rsidRPr="00163523">
        <w:rPr>
          <w:lang w:val="en-GB"/>
        </w:rPr>
        <w:t xml:space="preserve"> </w:t>
      </w:r>
      <w:r w:rsidR="006D09F9" w:rsidRPr="00163523">
        <w:rPr>
          <w:lang w:val="en-GB"/>
        </w:rPr>
        <w:t xml:space="preserve">have </w:t>
      </w:r>
      <w:r w:rsidR="00DD6A37" w:rsidRPr="00163523">
        <w:rPr>
          <w:lang w:val="en-GB"/>
        </w:rPr>
        <w:t xml:space="preserve">in particular </w:t>
      </w:r>
      <w:r w:rsidR="006D09F9" w:rsidRPr="00163523">
        <w:rPr>
          <w:lang w:val="en-GB"/>
        </w:rPr>
        <w:t xml:space="preserve">been </w:t>
      </w:r>
      <w:r w:rsidR="00C31E52" w:rsidRPr="00163523">
        <w:rPr>
          <w:lang w:val="en-GB"/>
        </w:rPr>
        <w:t>aggravated</w:t>
      </w:r>
      <w:r w:rsidR="006D09F9" w:rsidRPr="00163523">
        <w:rPr>
          <w:lang w:val="en-GB"/>
        </w:rPr>
        <w:t xml:space="preserve"> by the </w:t>
      </w:r>
      <w:r w:rsidR="00C31E52" w:rsidRPr="00163523">
        <w:rPr>
          <w:lang w:val="en-GB"/>
        </w:rPr>
        <w:t>Russian invasion in Ukraine</w:t>
      </w:r>
      <w:r w:rsidR="0074324C" w:rsidRPr="00163523">
        <w:rPr>
          <w:lang w:val="en-GB"/>
        </w:rPr>
        <w:t xml:space="preserve"> in 2022</w:t>
      </w:r>
      <w:r w:rsidR="006D09F9" w:rsidRPr="00163523">
        <w:rPr>
          <w:lang w:val="en-GB"/>
        </w:rPr>
        <w:t>.</w:t>
      </w:r>
      <w:r w:rsidRPr="00163523">
        <w:rPr>
          <w:rStyle w:val="Voetnootmarkering"/>
          <w:lang w:val="en-GB"/>
        </w:rPr>
        <w:t xml:space="preserve"> </w:t>
      </w:r>
      <w:r w:rsidRPr="00163523">
        <w:rPr>
          <w:rStyle w:val="Voetnootmarkering"/>
          <w:lang w:val="en-GB"/>
        </w:rPr>
        <w:footnoteReference w:id="34"/>
      </w:r>
      <w:r w:rsidRPr="00163523">
        <w:rPr>
          <w:lang w:val="en-GB"/>
        </w:rPr>
        <w:t xml:space="preserve"> </w:t>
      </w:r>
      <w:r w:rsidR="000650EB" w:rsidRPr="00163523">
        <w:rPr>
          <w:lang w:val="en-GB"/>
        </w:rPr>
        <w:t>As</w:t>
      </w:r>
      <w:r w:rsidR="006D09F9" w:rsidRPr="00163523">
        <w:rPr>
          <w:lang w:val="en-GB"/>
        </w:rPr>
        <w:t xml:space="preserve"> Russia has </w:t>
      </w:r>
      <w:r w:rsidR="00596D52" w:rsidRPr="00163523">
        <w:rPr>
          <w:lang w:val="en-GB"/>
        </w:rPr>
        <w:t>ceased supply</w:t>
      </w:r>
      <w:r w:rsidR="0074324C" w:rsidRPr="00163523">
        <w:rPr>
          <w:lang w:val="en-GB"/>
        </w:rPr>
        <w:t>ing</w:t>
      </w:r>
      <w:r w:rsidR="00596D52" w:rsidRPr="00163523">
        <w:rPr>
          <w:lang w:val="en-GB"/>
        </w:rPr>
        <w:t xml:space="preserve"> natural gas to several EU countries</w:t>
      </w:r>
      <w:r w:rsidR="000650EB" w:rsidRPr="00163523">
        <w:rPr>
          <w:lang w:val="en-GB"/>
        </w:rPr>
        <w:t xml:space="preserve">, </w:t>
      </w:r>
      <w:r w:rsidR="004843D8" w:rsidRPr="00163523">
        <w:rPr>
          <w:lang w:val="en-GB"/>
        </w:rPr>
        <w:t xml:space="preserve">the supply </w:t>
      </w:r>
      <w:r w:rsidR="000650EB" w:rsidRPr="00163523">
        <w:rPr>
          <w:lang w:val="en-GB"/>
        </w:rPr>
        <w:t xml:space="preserve">uncertainty </w:t>
      </w:r>
      <w:r w:rsidR="0074324C" w:rsidRPr="00163523">
        <w:rPr>
          <w:lang w:val="en-GB"/>
        </w:rPr>
        <w:t>increased</w:t>
      </w:r>
      <w:r w:rsidR="000650EB" w:rsidRPr="00163523">
        <w:rPr>
          <w:lang w:val="en-GB"/>
        </w:rPr>
        <w:t xml:space="preserve"> which </w:t>
      </w:r>
      <w:r w:rsidR="0074324C" w:rsidRPr="00163523">
        <w:rPr>
          <w:lang w:val="en-GB"/>
        </w:rPr>
        <w:t>pushed</w:t>
      </w:r>
      <w:r w:rsidR="000650EB" w:rsidRPr="00163523">
        <w:rPr>
          <w:lang w:val="en-GB"/>
        </w:rPr>
        <w:t xml:space="preserve"> gas prices </w:t>
      </w:r>
      <w:r w:rsidR="0074324C" w:rsidRPr="00163523">
        <w:rPr>
          <w:lang w:val="en-GB"/>
        </w:rPr>
        <w:t>further up</w:t>
      </w:r>
      <w:r w:rsidR="00340E74" w:rsidRPr="00163523">
        <w:rPr>
          <w:lang w:val="en-GB"/>
        </w:rPr>
        <w:t xml:space="preserve">. </w:t>
      </w:r>
      <w:r w:rsidR="001E2B97" w:rsidRPr="00163523">
        <w:rPr>
          <w:lang w:val="en-GB"/>
        </w:rPr>
        <w:t xml:space="preserve">Electricity prices also increased steeply as they are </w:t>
      </w:r>
      <w:r w:rsidR="004817FD" w:rsidRPr="00163523">
        <w:rPr>
          <w:lang w:val="en-GB"/>
        </w:rPr>
        <w:t xml:space="preserve">to some extent </w:t>
      </w:r>
      <w:r w:rsidR="001E2B97" w:rsidRPr="00163523">
        <w:rPr>
          <w:lang w:val="en-GB"/>
        </w:rPr>
        <w:t>based on the gas prices in the EU energy market.</w:t>
      </w:r>
    </w:p>
    <w:p w14:paraId="2BEDFBC8" w14:textId="77777777" w:rsidR="000B6E87" w:rsidRPr="00163523" w:rsidRDefault="000B6E87" w:rsidP="0071539D">
      <w:pPr>
        <w:rPr>
          <w:lang w:val="en-GB"/>
        </w:rPr>
      </w:pPr>
    </w:p>
    <w:p w14:paraId="46432201" w14:textId="34611B19" w:rsidR="000B6E87" w:rsidRPr="00163523" w:rsidRDefault="000B6E87" w:rsidP="0071539D">
      <w:pPr>
        <w:rPr>
          <w:lang w:val="en-GB"/>
        </w:rPr>
      </w:pPr>
      <w:r w:rsidRPr="00163523">
        <w:rPr>
          <w:lang w:val="en-GB"/>
        </w:rPr>
        <w:t>The European Commission issues every year since 2020 a report on the competitiveness of clean energy technologies</w:t>
      </w:r>
      <w:r w:rsidR="009327E9" w:rsidRPr="00163523">
        <w:rPr>
          <w:lang w:val="en-GB"/>
        </w:rPr>
        <w:t>. This report presents</w:t>
      </w:r>
      <w:r w:rsidRPr="00163523">
        <w:rPr>
          <w:lang w:val="en-GB"/>
        </w:rPr>
        <w:t xml:space="preserve"> the current and projected state of pla</w:t>
      </w:r>
      <w:r w:rsidR="00805FFF" w:rsidRPr="00163523">
        <w:rPr>
          <w:lang w:val="en-GB"/>
        </w:rPr>
        <w:t>y</w:t>
      </w:r>
      <w:r w:rsidRPr="00163523">
        <w:rPr>
          <w:lang w:val="en-GB"/>
        </w:rPr>
        <w:t xml:space="preserve"> of different technologies, </w:t>
      </w:r>
      <w:r w:rsidRPr="00163523">
        <w:rPr>
          <w:lang w:val="en-GB"/>
        </w:rPr>
        <w:lastRenderedPageBreak/>
        <w:t xml:space="preserve">including gas </w:t>
      </w:r>
      <w:r w:rsidR="00BA359E" w:rsidRPr="00163523">
        <w:rPr>
          <w:lang w:val="en-GB"/>
        </w:rPr>
        <w:t>decarbonization</w:t>
      </w:r>
      <w:r w:rsidRPr="00163523">
        <w:rPr>
          <w:lang w:val="en-GB"/>
        </w:rPr>
        <w:t xml:space="preserve"> solutions (i.e. renewable hydrogen</w:t>
      </w:r>
      <w:r w:rsidR="00BA359E" w:rsidRPr="00163523">
        <w:rPr>
          <w:lang w:val="en-GB"/>
        </w:rPr>
        <w:t xml:space="preserve"> production through water electrolysis</w:t>
      </w:r>
      <w:r w:rsidRPr="00163523">
        <w:rPr>
          <w:lang w:val="en-GB"/>
        </w:rPr>
        <w:t xml:space="preserve">, </w:t>
      </w:r>
      <w:r w:rsidR="00BA359E" w:rsidRPr="00163523">
        <w:rPr>
          <w:lang w:val="en-GB"/>
        </w:rPr>
        <w:t>biomethane</w:t>
      </w:r>
      <w:r w:rsidRPr="00163523">
        <w:rPr>
          <w:lang w:val="en-GB"/>
        </w:rPr>
        <w:t xml:space="preserve">). The 2022 </w:t>
      </w:r>
      <w:r w:rsidR="007B7886" w:rsidRPr="00163523">
        <w:rPr>
          <w:lang w:val="en-GB"/>
        </w:rPr>
        <w:t>report considers the impact of the energy crisis.</w:t>
      </w:r>
      <w:r w:rsidR="00AD0CD1" w:rsidRPr="00163523">
        <w:rPr>
          <w:lang w:val="en-GB"/>
        </w:rPr>
        <w:t xml:space="preserve"> Developments in global energy markets have </w:t>
      </w:r>
      <w:r w:rsidR="00454385" w:rsidRPr="00163523">
        <w:rPr>
          <w:lang w:val="en-GB"/>
        </w:rPr>
        <w:t>impacted</w:t>
      </w:r>
      <w:r w:rsidR="00AD0CD1" w:rsidRPr="00163523">
        <w:rPr>
          <w:lang w:val="en-GB"/>
        </w:rPr>
        <w:t xml:space="preserve"> </w:t>
      </w:r>
      <w:r w:rsidR="00454385" w:rsidRPr="00163523">
        <w:rPr>
          <w:lang w:val="en-GB"/>
        </w:rPr>
        <w:t xml:space="preserve">the competitiveness of gas </w:t>
      </w:r>
      <w:r w:rsidR="00E8521D" w:rsidRPr="00163523">
        <w:rPr>
          <w:lang w:val="en-GB"/>
        </w:rPr>
        <w:t>decarbonization</w:t>
      </w:r>
      <w:r w:rsidR="00454385" w:rsidRPr="00163523">
        <w:rPr>
          <w:lang w:val="en-GB"/>
        </w:rPr>
        <w:t xml:space="preserve"> solutions</w:t>
      </w:r>
      <w:r w:rsidR="001E2B97" w:rsidRPr="00163523">
        <w:rPr>
          <w:lang w:val="en-GB"/>
        </w:rPr>
        <w:t xml:space="preserve"> (</w:t>
      </w:r>
      <w:r w:rsidR="00D454D0" w:rsidRPr="00163523">
        <w:rPr>
          <w:lang w:val="en-GB"/>
        </w:rPr>
        <w:t>mainly</w:t>
      </w:r>
      <w:r w:rsidR="001E2B97" w:rsidRPr="00163523">
        <w:rPr>
          <w:lang w:val="en-GB"/>
        </w:rPr>
        <w:t xml:space="preserve"> hydrogen)</w:t>
      </w:r>
      <w:r w:rsidR="00454385" w:rsidRPr="00163523">
        <w:rPr>
          <w:lang w:val="en-GB"/>
        </w:rPr>
        <w:t xml:space="preserve"> in </w:t>
      </w:r>
      <w:r w:rsidR="0038354A" w:rsidRPr="00163523">
        <w:rPr>
          <w:lang w:val="en-GB"/>
        </w:rPr>
        <w:t>the following</w:t>
      </w:r>
      <w:r w:rsidR="00454385" w:rsidRPr="00163523">
        <w:rPr>
          <w:lang w:val="en-GB"/>
        </w:rPr>
        <w:t xml:space="preserve"> ways:</w:t>
      </w:r>
      <w:r w:rsidR="00C45695" w:rsidRPr="00163523">
        <w:rPr>
          <w:rStyle w:val="Voetnootmarkering"/>
          <w:lang w:val="en-GB"/>
        </w:rPr>
        <w:footnoteReference w:id="35"/>
      </w:r>
    </w:p>
    <w:p w14:paraId="2B66BEF9" w14:textId="62C303FD" w:rsidR="00FA0827" w:rsidRDefault="00D454D0" w:rsidP="00241B82">
      <w:pPr>
        <w:pStyle w:val="Bulletpoint"/>
      </w:pPr>
      <w:r>
        <w:rPr>
          <w:b/>
          <w:bCs/>
        </w:rPr>
        <w:t>H</w:t>
      </w:r>
      <w:r w:rsidR="00454385" w:rsidRPr="00454385">
        <w:rPr>
          <w:b/>
          <w:bCs/>
        </w:rPr>
        <w:t xml:space="preserve">igh </w:t>
      </w:r>
      <w:r w:rsidR="001E2B97">
        <w:rPr>
          <w:b/>
          <w:bCs/>
        </w:rPr>
        <w:t>electricity</w:t>
      </w:r>
      <w:r w:rsidR="00454385" w:rsidRPr="00454385">
        <w:rPr>
          <w:b/>
          <w:bCs/>
        </w:rPr>
        <w:t xml:space="preserve"> prices</w:t>
      </w:r>
      <w:r w:rsidR="00454385">
        <w:t xml:space="preserve"> </w:t>
      </w:r>
      <w:r w:rsidR="00E31434">
        <w:t>– As the p</w:t>
      </w:r>
      <w:r w:rsidR="00FA0827">
        <w:t xml:space="preserve">roduction of renewable hydrogen through water </w:t>
      </w:r>
      <w:r w:rsidR="00FA0827" w:rsidRPr="00241B82">
        <w:t>electrolysi</w:t>
      </w:r>
      <w:r w:rsidR="00E31434" w:rsidRPr="00241B82">
        <w:t>s</w:t>
      </w:r>
      <w:r w:rsidR="00E31434">
        <w:t xml:space="preserve"> is highly dependent on</w:t>
      </w:r>
      <w:r w:rsidR="00FA0827">
        <w:t xml:space="preserve"> the </w:t>
      </w:r>
      <w:r w:rsidR="007447C3">
        <w:t xml:space="preserve">availability and </w:t>
      </w:r>
      <w:r w:rsidR="00FA0827">
        <w:t xml:space="preserve">cost of </w:t>
      </w:r>
      <w:r w:rsidR="003319C3">
        <w:t>renewable e</w:t>
      </w:r>
      <w:r w:rsidR="00E31434">
        <w:t>lectricity</w:t>
      </w:r>
      <w:r w:rsidR="007447C3">
        <w:t>,</w:t>
      </w:r>
      <w:r w:rsidR="00E31434">
        <w:t xml:space="preserve"> </w:t>
      </w:r>
      <w:r w:rsidR="00FA0827">
        <w:t>the economic viability of electrolysers</w:t>
      </w:r>
      <w:r w:rsidR="00E31434">
        <w:t xml:space="preserve"> has been affected by the energy crisis</w:t>
      </w:r>
      <w:r w:rsidR="00FA0827">
        <w:t xml:space="preserve">. </w:t>
      </w:r>
    </w:p>
    <w:p w14:paraId="695D045B" w14:textId="1DF7D1A7" w:rsidR="00467C05" w:rsidRPr="00163523" w:rsidRDefault="00454385" w:rsidP="00C2462F">
      <w:pPr>
        <w:pStyle w:val="Lijstalinea"/>
      </w:pPr>
      <w:r w:rsidRPr="00163523">
        <w:rPr>
          <w:b/>
        </w:rPr>
        <w:t>Supply chain disruptions</w:t>
      </w:r>
      <w:r w:rsidRPr="00163523">
        <w:t xml:space="preserve"> - </w:t>
      </w:r>
      <w:r w:rsidR="00241B82" w:rsidRPr="00163523">
        <w:t>Disruption</w:t>
      </w:r>
      <w:r w:rsidR="00D454D0" w:rsidRPr="00163523">
        <w:t>s</w:t>
      </w:r>
      <w:r w:rsidR="00241B82" w:rsidRPr="00163523">
        <w:t xml:space="preserve"> in some global supply chains of materials and resources have arisen due to the</w:t>
      </w:r>
      <w:r w:rsidR="000F4B2B" w:rsidRPr="00163523">
        <w:t xml:space="preserve"> Covid-19 pandemic and current geopolitical tensions</w:t>
      </w:r>
      <w:r w:rsidR="00321EAF" w:rsidRPr="00163523">
        <w:t>, which ha</w:t>
      </w:r>
      <w:r w:rsidR="00E304D1" w:rsidRPr="00163523">
        <w:t>v</w:t>
      </w:r>
      <w:r w:rsidR="00DC59E8" w:rsidRPr="00163523">
        <w:t xml:space="preserve">e </w:t>
      </w:r>
      <w:r w:rsidR="00321EAF" w:rsidRPr="00163523">
        <w:t>increased raw material prices</w:t>
      </w:r>
      <w:r w:rsidR="007F1176" w:rsidRPr="00163523">
        <w:t>. Prices of</w:t>
      </w:r>
      <w:r w:rsidR="00774385" w:rsidRPr="00163523">
        <w:t xml:space="preserve"> commodities like lithium</w:t>
      </w:r>
      <w:r w:rsidR="00786E6B" w:rsidRPr="00163523">
        <w:t xml:space="preserve"> and</w:t>
      </w:r>
      <w:r w:rsidR="00084CEB" w:rsidRPr="00163523">
        <w:t xml:space="preserve"> </w:t>
      </w:r>
      <w:r w:rsidR="00774385" w:rsidRPr="00163523">
        <w:t>cobalt</w:t>
      </w:r>
      <w:r w:rsidR="00786E6B" w:rsidRPr="00163523">
        <w:t xml:space="preserve"> increased by more than 50% in 2021 and</w:t>
      </w:r>
      <w:r w:rsidR="00851818" w:rsidRPr="00163523">
        <w:t xml:space="preserve"> those of</w:t>
      </w:r>
      <w:r w:rsidR="00084CEB" w:rsidRPr="00163523">
        <w:t xml:space="preserve"> copper and </w:t>
      </w:r>
      <w:r w:rsidR="00163523" w:rsidRPr="00163523">
        <w:t>aluminium</w:t>
      </w:r>
      <w:r w:rsidR="00786E6B" w:rsidRPr="00163523">
        <w:t xml:space="preserve"> </w:t>
      </w:r>
      <w:r w:rsidR="00037737" w:rsidRPr="00163523">
        <w:t>rose between 25% and 40%</w:t>
      </w:r>
      <w:r w:rsidR="00851818" w:rsidRPr="00163523">
        <w:t xml:space="preserve"> in 2021</w:t>
      </w:r>
      <w:r w:rsidR="00774385" w:rsidRPr="00163523">
        <w:t>.</w:t>
      </w:r>
      <w:r w:rsidR="00A67B21" w:rsidRPr="00163523">
        <w:t xml:space="preserve"> </w:t>
      </w:r>
      <w:r w:rsidR="00467C05" w:rsidRPr="00163523">
        <w:t xml:space="preserve">Being highly </w:t>
      </w:r>
      <w:r w:rsidR="00C307BC" w:rsidRPr="00163523">
        <w:t>dependent</w:t>
      </w:r>
      <w:r w:rsidR="00467C05" w:rsidRPr="00163523">
        <w:t xml:space="preserve"> on </w:t>
      </w:r>
      <w:r w:rsidR="00C307BC" w:rsidRPr="00163523">
        <w:t xml:space="preserve">such </w:t>
      </w:r>
      <w:r w:rsidR="00467C05" w:rsidRPr="00163523">
        <w:t>raw materials, the cost of renewable energy technologies has increased</w:t>
      </w:r>
      <w:r w:rsidR="0006224C" w:rsidRPr="00163523">
        <w:t xml:space="preserve">. The price of wind </w:t>
      </w:r>
      <w:r w:rsidR="00FB1CF5" w:rsidRPr="00163523">
        <w:t xml:space="preserve">turbines and solar PV modules increased </w:t>
      </w:r>
      <w:r w:rsidR="00680F53" w:rsidRPr="00163523">
        <w:t xml:space="preserve">in 2022 </w:t>
      </w:r>
      <w:r w:rsidR="00FB1CF5" w:rsidRPr="00163523">
        <w:t>by 9% and 16% respectively</w:t>
      </w:r>
      <w:r w:rsidR="003F6E50" w:rsidRPr="00163523">
        <w:t xml:space="preserve"> compared to 2021, and the price of batteries rose by 15% between 2021 and 2022.</w:t>
      </w:r>
      <w:r w:rsidR="00E7784C" w:rsidRPr="00163523">
        <w:t xml:space="preserve"> As the deployment of renewable </w:t>
      </w:r>
      <w:r w:rsidR="005C3983" w:rsidRPr="00163523">
        <w:t xml:space="preserve">electricity </w:t>
      </w:r>
      <w:r w:rsidR="00E7784C" w:rsidRPr="00163523">
        <w:t xml:space="preserve">technologies is crucial for </w:t>
      </w:r>
      <w:r w:rsidR="000D784E" w:rsidRPr="00163523">
        <w:t xml:space="preserve">the production of </w:t>
      </w:r>
      <w:r w:rsidR="00E7784C" w:rsidRPr="00163523">
        <w:t xml:space="preserve">renewable hydrogen, these </w:t>
      </w:r>
      <w:r w:rsidR="00E23CFE" w:rsidRPr="00163523">
        <w:t xml:space="preserve">cost </w:t>
      </w:r>
      <w:r w:rsidR="00E7784C" w:rsidRPr="00163523">
        <w:t xml:space="preserve">increases have impacted </w:t>
      </w:r>
      <w:r w:rsidR="000D784E" w:rsidRPr="00163523">
        <w:t xml:space="preserve">its development. </w:t>
      </w:r>
    </w:p>
    <w:p w14:paraId="0310CD2D" w14:textId="77777777" w:rsidR="000D784E" w:rsidRPr="00163523" w:rsidRDefault="000D784E" w:rsidP="006D09F9">
      <w:pPr>
        <w:rPr>
          <w:lang w:val="en-GB"/>
        </w:rPr>
      </w:pPr>
    </w:p>
    <w:p w14:paraId="5A1383C6" w14:textId="575327ED" w:rsidR="000C0A9C" w:rsidRPr="00163523" w:rsidRDefault="00AB17A7" w:rsidP="000C0A9C">
      <w:pPr>
        <w:pStyle w:val="Kop4"/>
        <w:rPr>
          <w:lang w:val="en-GB"/>
        </w:rPr>
      </w:pPr>
      <w:r w:rsidRPr="00163523">
        <w:rPr>
          <w:lang w:val="en-GB"/>
        </w:rPr>
        <w:t>Rating</w:t>
      </w:r>
      <w:r w:rsidR="000C0A9C" w:rsidRPr="00163523">
        <w:rPr>
          <w:lang w:val="en-GB"/>
        </w:rPr>
        <w:t xml:space="preserve"> of the </w:t>
      </w:r>
      <w:r w:rsidRPr="00163523">
        <w:rPr>
          <w:lang w:val="en-GB"/>
        </w:rPr>
        <w:t xml:space="preserve">risk </w:t>
      </w:r>
      <w:r w:rsidR="000C0A9C" w:rsidRPr="00163523">
        <w:rPr>
          <w:lang w:val="en-GB"/>
        </w:rPr>
        <w:t>based on likelihood and severity</w:t>
      </w:r>
    </w:p>
    <w:p w14:paraId="134B13E9" w14:textId="0D6C3614" w:rsidR="00C719FE" w:rsidRDefault="00E37E88" w:rsidP="000C0A9C">
      <w:pPr>
        <w:rPr>
          <w:lang w:val="en-GB"/>
        </w:rPr>
      </w:pPr>
      <w:r>
        <w:rPr>
          <w:lang w:val="en-GB"/>
        </w:rPr>
        <w:t xml:space="preserve">If developments on global energy markets negatively impact the competitiveness of </w:t>
      </w:r>
      <w:r w:rsidR="00D24902">
        <w:rPr>
          <w:lang w:val="en-GB"/>
        </w:rPr>
        <w:t xml:space="preserve">gas </w:t>
      </w:r>
      <w:r>
        <w:rPr>
          <w:lang w:val="en-GB"/>
        </w:rPr>
        <w:t xml:space="preserve">decarbonisation </w:t>
      </w:r>
      <w:r w:rsidR="00D24902">
        <w:rPr>
          <w:lang w:val="en-GB"/>
        </w:rPr>
        <w:t>solutions</w:t>
      </w:r>
      <w:r>
        <w:rPr>
          <w:lang w:val="en-GB"/>
        </w:rPr>
        <w:t xml:space="preserve">, </w:t>
      </w:r>
      <w:r w:rsidR="00926D13">
        <w:rPr>
          <w:lang w:val="en-GB"/>
        </w:rPr>
        <w:t xml:space="preserve">the achievement of </w:t>
      </w:r>
      <w:r w:rsidR="009E7F84">
        <w:rPr>
          <w:lang w:val="en-GB"/>
        </w:rPr>
        <w:t xml:space="preserve">the gas </w:t>
      </w:r>
      <w:r w:rsidR="00926D13">
        <w:rPr>
          <w:lang w:val="en-GB"/>
        </w:rPr>
        <w:t xml:space="preserve">decarbonisation scenarios </w:t>
      </w:r>
      <w:r w:rsidR="00102CFC">
        <w:rPr>
          <w:lang w:val="en-GB"/>
        </w:rPr>
        <w:t xml:space="preserve">may be hindered </w:t>
      </w:r>
      <w:r w:rsidR="00926D13">
        <w:rPr>
          <w:lang w:val="en-GB"/>
        </w:rPr>
        <w:t>as investments in fossil fuel technologies remain more attractive.</w:t>
      </w:r>
      <w:r w:rsidR="000361A5">
        <w:rPr>
          <w:lang w:val="en-GB"/>
        </w:rPr>
        <w:t xml:space="preserve"> </w:t>
      </w:r>
      <w:r w:rsidR="003E5EAA">
        <w:rPr>
          <w:lang w:val="en-GB"/>
        </w:rPr>
        <w:t>However, an energy crisis</w:t>
      </w:r>
      <w:r w:rsidR="00D57D75">
        <w:rPr>
          <w:lang w:val="en-GB"/>
        </w:rPr>
        <w:t xml:space="preserve"> </w:t>
      </w:r>
      <w:r w:rsidR="00B1027C">
        <w:rPr>
          <w:lang w:val="en-GB"/>
        </w:rPr>
        <w:t xml:space="preserve">leading to </w:t>
      </w:r>
      <w:r w:rsidR="00E43024">
        <w:rPr>
          <w:lang w:val="en-GB"/>
        </w:rPr>
        <w:t>h</w:t>
      </w:r>
      <w:r w:rsidR="00D57D75">
        <w:rPr>
          <w:lang w:val="en-GB"/>
        </w:rPr>
        <w:t>igh fo</w:t>
      </w:r>
      <w:r w:rsidR="00D955FC">
        <w:rPr>
          <w:lang w:val="en-GB"/>
        </w:rPr>
        <w:t>ssil gas prices</w:t>
      </w:r>
      <w:r w:rsidR="00D728B8">
        <w:rPr>
          <w:lang w:val="en-GB"/>
        </w:rPr>
        <w:t xml:space="preserve"> can also contribute to the acceleration of the energy transition, and in turn increase the competitiveness of gas decarbonisation technologies. Therefore, we assess </w:t>
      </w:r>
      <w:r w:rsidR="00D728B8" w:rsidRPr="00C719FE">
        <w:rPr>
          <w:b/>
          <w:bCs/>
          <w:lang w:val="en-GB"/>
        </w:rPr>
        <w:t>the severity of the risk as ‘medium’</w:t>
      </w:r>
      <w:r w:rsidR="00D728B8">
        <w:rPr>
          <w:lang w:val="en-GB"/>
        </w:rPr>
        <w:t>.</w:t>
      </w:r>
    </w:p>
    <w:p w14:paraId="4EECEF5C" w14:textId="77777777" w:rsidR="00C719FE" w:rsidRDefault="00C719FE" w:rsidP="000C0A9C">
      <w:pPr>
        <w:rPr>
          <w:lang w:val="en-GB"/>
        </w:rPr>
      </w:pPr>
    </w:p>
    <w:p w14:paraId="3EF99959" w14:textId="1FAA4ADF" w:rsidR="005D1A21" w:rsidRDefault="005D1A21" w:rsidP="000C0A9C">
      <w:pPr>
        <w:rPr>
          <w:lang w:val="en-GB"/>
        </w:rPr>
      </w:pPr>
      <w:r>
        <w:rPr>
          <w:lang w:val="en-GB"/>
        </w:rPr>
        <w:t xml:space="preserve">The </w:t>
      </w:r>
      <w:r w:rsidRPr="007D0D0C">
        <w:rPr>
          <w:b/>
          <w:bCs/>
          <w:lang w:val="en-GB"/>
        </w:rPr>
        <w:t>likelihood can be rated as ‘medium’</w:t>
      </w:r>
      <w:r>
        <w:rPr>
          <w:lang w:val="en-GB"/>
        </w:rPr>
        <w:t xml:space="preserve">. </w:t>
      </w:r>
      <w:r w:rsidR="00AB4AF2">
        <w:rPr>
          <w:lang w:val="en-GB"/>
        </w:rPr>
        <w:t>E</w:t>
      </w:r>
      <w:r w:rsidR="008B7C09">
        <w:rPr>
          <w:lang w:val="en-GB"/>
        </w:rPr>
        <w:t>nergy cris</w:t>
      </w:r>
      <w:r w:rsidR="00AC6AE7">
        <w:rPr>
          <w:lang w:val="en-GB"/>
        </w:rPr>
        <w:t>e</w:t>
      </w:r>
      <w:r w:rsidR="008B7C09">
        <w:rPr>
          <w:lang w:val="en-GB"/>
        </w:rPr>
        <w:t xml:space="preserve">s are more likely to </w:t>
      </w:r>
      <w:r w:rsidR="00AC6AE7">
        <w:rPr>
          <w:lang w:val="en-GB"/>
        </w:rPr>
        <w:t>occur</w:t>
      </w:r>
      <w:r w:rsidR="008B7C09">
        <w:rPr>
          <w:lang w:val="en-GB"/>
        </w:rPr>
        <w:t xml:space="preserve"> in the short- and medium term, </w:t>
      </w:r>
      <w:r w:rsidR="0064310F">
        <w:rPr>
          <w:lang w:val="en-GB"/>
        </w:rPr>
        <w:t xml:space="preserve">when </w:t>
      </w:r>
      <w:r w:rsidR="006B7A07">
        <w:rPr>
          <w:lang w:val="en-GB"/>
        </w:rPr>
        <w:t xml:space="preserve">the energy system is still majorly fossil fuels-based, </w:t>
      </w:r>
      <w:r w:rsidR="00643BF8">
        <w:rPr>
          <w:lang w:val="en-GB"/>
        </w:rPr>
        <w:t xml:space="preserve">and the </w:t>
      </w:r>
      <w:r w:rsidR="0064310F">
        <w:rPr>
          <w:lang w:val="en-GB"/>
        </w:rPr>
        <w:t xml:space="preserve">energy </w:t>
      </w:r>
      <w:r w:rsidR="00643BF8">
        <w:rPr>
          <w:lang w:val="en-GB"/>
        </w:rPr>
        <w:t xml:space="preserve">import </w:t>
      </w:r>
      <w:r w:rsidR="0064310F">
        <w:rPr>
          <w:lang w:val="en-GB"/>
        </w:rPr>
        <w:t xml:space="preserve">dependence is still high and </w:t>
      </w:r>
      <w:r w:rsidR="006B7A07">
        <w:rPr>
          <w:lang w:val="en-GB"/>
        </w:rPr>
        <w:t xml:space="preserve">thus </w:t>
      </w:r>
      <w:r w:rsidR="0064310F">
        <w:rPr>
          <w:lang w:val="en-GB"/>
        </w:rPr>
        <w:t>easily impacted by geopolitical tensions</w:t>
      </w:r>
      <w:r w:rsidR="00CF1FF2">
        <w:rPr>
          <w:lang w:val="en-GB"/>
        </w:rPr>
        <w:t>.</w:t>
      </w:r>
      <w:r w:rsidR="000B6A08">
        <w:rPr>
          <w:lang w:val="en-GB"/>
        </w:rPr>
        <w:t xml:space="preserve"> </w:t>
      </w:r>
      <w:r w:rsidR="00DC3CC6">
        <w:rPr>
          <w:lang w:val="en-GB"/>
        </w:rPr>
        <w:t xml:space="preserve">The competitiveness of decarbonised gas solutions is likely to increase over time thanks to </w:t>
      </w:r>
      <w:r w:rsidR="00B73AB5">
        <w:rPr>
          <w:lang w:val="en-GB"/>
        </w:rPr>
        <w:t xml:space="preserve">further </w:t>
      </w:r>
      <w:r w:rsidR="00DC3CC6">
        <w:rPr>
          <w:lang w:val="en-GB"/>
        </w:rPr>
        <w:t>decreas</w:t>
      </w:r>
      <w:r w:rsidR="00B73AB5">
        <w:rPr>
          <w:lang w:val="en-GB"/>
        </w:rPr>
        <w:t>ing</w:t>
      </w:r>
      <w:r w:rsidR="00DC3CC6">
        <w:rPr>
          <w:lang w:val="en-GB"/>
        </w:rPr>
        <w:t xml:space="preserve"> </w:t>
      </w:r>
      <w:r w:rsidR="00070913">
        <w:rPr>
          <w:lang w:val="en-GB"/>
        </w:rPr>
        <w:t>production costs</w:t>
      </w:r>
      <w:r w:rsidR="00397B40">
        <w:rPr>
          <w:lang w:val="en-GB"/>
        </w:rPr>
        <w:t xml:space="preserve"> and</w:t>
      </w:r>
      <w:r w:rsidR="00070913">
        <w:rPr>
          <w:lang w:val="en-GB"/>
        </w:rPr>
        <w:t xml:space="preserve"> favourable climate and energy policies</w:t>
      </w:r>
      <w:r w:rsidR="005425B7">
        <w:rPr>
          <w:lang w:val="en-GB"/>
        </w:rPr>
        <w:t xml:space="preserve">, including </w:t>
      </w:r>
      <w:r w:rsidR="002F3E8F">
        <w:rPr>
          <w:lang w:val="en-GB"/>
        </w:rPr>
        <w:t>carbon taxation</w:t>
      </w:r>
      <w:r w:rsidR="00070913">
        <w:rPr>
          <w:lang w:val="en-GB"/>
        </w:rPr>
        <w:t>.</w:t>
      </w:r>
    </w:p>
    <w:p w14:paraId="32A85D0F" w14:textId="77777777" w:rsidR="005D1A21" w:rsidRDefault="005D1A21" w:rsidP="000C0A9C">
      <w:pPr>
        <w:rPr>
          <w:lang w:val="en-GB"/>
        </w:rPr>
      </w:pPr>
    </w:p>
    <w:p w14:paraId="704A9907" w14:textId="03A31B28" w:rsidR="00706F19" w:rsidRDefault="00AC0C91" w:rsidP="000C0A9C">
      <w:pPr>
        <w:rPr>
          <w:lang w:val="en-GB"/>
        </w:rPr>
      </w:pPr>
      <w:r>
        <w:rPr>
          <w:lang w:val="en-GB"/>
        </w:rPr>
        <w:t>As</w:t>
      </w:r>
      <w:r w:rsidR="00706F19" w:rsidRPr="00706F19">
        <w:rPr>
          <w:lang w:val="en-GB"/>
        </w:rPr>
        <w:t xml:space="preserve"> the REN-Hydrogen scenario leads to the highest renewable electricity requirements in the 4 countries</w:t>
      </w:r>
      <w:r w:rsidR="00006972">
        <w:rPr>
          <w:lang w:val="en-GB"/>
        </w:rPr>
        <w:t xml:space="preserve"> (</w:t>
      </w:r>
      <w:r w:rsidR="00706F19" w:rsidRPr="00706F19">
        <w:rPr>
          <w:lang w:val="en-GB"/>
        </w:rPr>
        <w:t>with notably Lithuania requiring as much or more electricity than Estonia, Latvia and Finland combined</w:t>
      </w:r>
      <w:r w:rsidR="00006972">
        <w:rPr>
          <w:lang w:val="en-GB"/>
        </w:rPr>
        <w:t xml:space="preserve">), it is likely to be </w:t>
      </w:r>
      <w:r w:rsidR="006E466E">
        <w:rPr>
          <w:lang w:val="en-GB"/>
        </w:rPr>
        <w:t xml:space="preserve">more </w:t>
      </w:r>
      <w:r w:rsidR="00006972">
        <w:rPr>
          <w:lang w:val="en-GB"/>
        </w:rPr>
        <w:t xml:space="preserve">impacted by the </w:t>
      </w:r>
      <w:r w:rsidR="006E466E">
        <w:rPr>
          <w:lang w:val="en-GB"/>
        </w:rPr>
        <w:t>high</w:t>
      </w:r>
      <w:r w:rsidR="00006972">
        <w:rPr>
          <w:lang w:val="en-GB"/>
        </w:rPr>
        <w:t xml:space="preserve"> electricity prices</w:t>
      </w:r>
      <w:r w:rsidR="00B5191E">
        <w:rPr>
          <w:lang w:val="en-GB"/>
        </w:rPr>
        <w:t xml:space="preserve"> in the short-term</w:t>
      </w:r>
      <w:r w:rsidR="00706F19">
        <w:rPr>
          <w:lang w:val="en-GB"/>
        </w:rPr>
        <w:t>.</w:t>
      </w:r>
      <w:r w:rsidR="00B5191E">
        <w:rPr>
          <w:lang w:val="en-GB"/>
        </w:rPr>
        <w:t xml:space="preserve"> In the long-term, the BAU scenario will be more impacted </w:t>
      </w:r>
      <w:r w:rsidR="00172733">
        <w:rPr>
          <w:lang w:val="en-GB"/>
        </w:rPr>
        <w:t xml:space="preserve">by this risk </w:t>
      </w:r>
      <w:r w:rsidR="00B5191E">
        <w:rPr>
          <w:lang w:val="en-GB"/>
        </w:rPr>
        <w:t xml:space="preserve">than the decarbonisation scenarios as </w:t>
      </w:r>
      <w:r w:rsidR="005B2D9D">
        <w:rPr>
          <w:lang w:val="en-GB"/>
        </w:rPr>
        <w:t xml:space="preserve">fossil-fuel technologies will </w:t>
      </w:r>
      <w:r w:rsidR="0070597C">
        <w:rPr>
          <w:lang w:val="en-GB"/>
        </w:rPr>
        <w:t>in that sce</w:t>
      </w:r>
      <w:r w:rsidR="00945529">
        <w:rPr>
          <w:lang w:val="en-GB"/>
        </w:rPr>
        <w:t xml:space="preserve">nario </w:t>
      </w:r>
      <w:r w:rsidR="005B2D9D">
        <w:rPr>
          <w:lang w:val="en-GB"/>
        </w:rPr>
        <w:t xml:space="preserve">continue to play a significant role, and gas decarbonisation solutions will thus </w:t>
      </w:r>
      <w:r w:rsidR="00B922E0">
        <w:rPr>
          <w:lang w:val="en-GB"/>
        </w:rPr>
        <w:t>face</w:t>
      </w:r>
      <w:r w:rsidR="005B2D9D">
        <w:rPr>
          <w:lang w:val="en-GB"/>
        </w:rPr>
        <w:t xml:space="preserve"> </w:t>
      </w:r>
      <w:r w:rsidR="00213A0F">
        <w:rPr>
          <w:lang w:val="en-GB"/>
        </w:rPr>
        <w:t xml:space="preserve">more difficulties </w:t>
      </w:r>
      <w:r w:rsidR="005B2D9D">
        <w:rPr>
          <w:lang w:val="en-GB"/>
        </w:rPr>
        <w:t>to become competitive.</w:t>
      </w:r>
    </w:p>
    <w:p w14:paraId="6A566556" w14:textId="77777777" w:rsidR="00706F19" w:rsidRPr="00DD2713" w:rsidRDefault="00706F19" w:rsidP="000C0A9C">
      <w:pPr>
        <w:rPr>
          <w:lang w:val="en-GB"/>
        </w:rPr>
      </w:pPr>
    </w:p>
    <w:tbl>
      <w:tblPr>
        <w:tblStyle w:val="Table1"/>
        <w:tblW w:w="8449" w:type="dxa"/>
        <w:tblLayout w:type="fixed"/>
        <w:tblLook w:val="04A0" w:firstRow="1" w:lastRow="0" w:firstColumn="1" w:lastColumn="0" w:noHBand="0" w:noVBand="1"/>
      </w:tblPr>
      <w:tblGrid>
        <w:gridCol w:w="2689"/>
        <w:gridCol w:w="864"/>
        <w:gridCol w:w="864"/>
        <w:gridCol w:w="865"/>
        <w:gridCol w:w="1731"/>
        <w:gridCol w:w="1436"/>
      </w:tblGrid>
      <w:tr w:rsidR="006E18C3" w:rsidRPr="00801E6C" w14:paraId="7A240FA2" w14:textId="77777777" w:rsidTr="0076227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89" w:type="dxa"/>
            <w:vMerge w:val="restart"/>
            <w:noWrap/>
          </w:tcPr>
          <w:p w14:paraId="6AB036A1" w14:textId="77777777" w:rsidR="006E18C3" w:rsidRPr="00163523" w:rsidRDefault="006E18C3" w:rsidP="0076227C">
            <w:pPr>
              <w:keepNext/>
              <w:spacing w:line="240" w:lineRule="auto"/>
              <w:ind w:left="0"/>
              <w:rPr>
                <w:rFonts w:eastAsia="Times New Roman"/>
                <w:sz w:val="16"/>
                <w:szCs w:val="16"/>
                <w:lang w:val="en-GB" w:eastAsia="en-GB"/>
              </w:rPr>
            </w:pPr>
            <w:r w:rsidRPr="00163523">
              <w:rPr>
                <w:rFonts w:eastAsia="Arial"/>
                <w:sz w:val="16"/>
                <w:szCs w:val="16"/>
                <w:lang w:val="en-GB"/>
              </w:rPr>
              <w:t>Risk</w:t>
            </w:r>
          </w:p>
        </w:tc>
        <w:tc>
          <w:tcPr>
            <w:tcW w:w="2593" w:type="dxa"/>
            <w:gridSpan w:val="3"/>
          </w:tcPr>
          <w:p w14:paraId="052CADE9" w14:textId="77777777" w:rsidR="006E18C3" w:rsidRPr="00163523" w:rsidRDefault="006E18C3" w:rsidP="0076227C">
            <w:pPr>
              <w:keepNext/>
              <w:spacing w:line="240" w:lineRule="auto"/>
              <w:ind w:left="0"/>
              <w:cnfStyle w:val="100000000000" w:firstRow="1" w:lastRow="0" w:firstColumn="0" w:lastColumn="0" w:oddVBand="0" w:evenVBand="0" w:oddHBand="0" w:evenHBand="0" w:firstRowFirstColumn="0" w:firstRowLastColumn="0" w:lastRowFirstColumn="0" w:lastRowLastColumn="0"/>
              <w:rPr>
                <w:rFonts w:eastAsia="Arial"/>
                <w:sz w:val="16"/>
                <w:szCs w:val="16"/>
                <w:lang w:val="en-GB"/>
              </w:rPr>
            </w:pPr>
            <w:r w:rsidRPr="00801E6C">
              <w:rPr>
                <w:rFonts w:eastAsia="Arial"/>
                <w:sz w:val="16"/>
                <w:szCs w:val="16"/>
                <w:lang w:val="en-GB"/>
              </w:rPr>
              <w:t>Applicable scenarios</w:t>
            </w:r>
          </w:p>
        </w:tc>
        <w:tc>
          <w:tcPr>
            <w:tcW w:w="1731" w:type="dxa"/>
            <w:vMerge w:val="restart"/>
            <w:noWrap/>
          </w:tcPr>
          <w:p w14:paraId="1E187AF2" w14:textId="77777777" w:rsidR="006E18C3" w:rsidRPr="00163523" w:rsidRDefault="006E18C3" w:rsidP="0076227C">
            <w:pPr>
              <w:keepNext/>
              <w:spacing w:line="240" w:lineRule="auto"/>
              <w:ind w:left="0"/>
              <w:cnfStyle w:val="100000000000" w:firstRow="1" w:lastRow="0" w:firstColumn="0" w:lastColumn="0" w:oddVBand="0" w:evenVBand="0" w:oddHBand="0" w:evenHBand="0" w:firstRowFirstColumn="0" w:firstRowLastColumn="0" w:lastRowFirstColumn="0" w:lastRowLastColumn="0"/>
              <w:rPr>
                <w:rFonts w:eastAsia="Times New Roman"/>
                <w:i/>
                <w:sz w:val="16"/>
                <w:szCs w:val="16"/>
                <w:lang w:val="en-GB" w:eastAsia="en-GB"/>
              </w:rPr>
            </w:pPr>
            <w:r w:rsidRPr="00163523">
              <w:rPr>
                <w:rFonts w:eastAsia="Arial"/>
                <w:sz w:val="16"/>
                <w:szCs w:val="16"/>
                <w:lang w:val="en-GB"/>
              </w:rPr>
              <w:t>Likelihood</w:t>
            </w:r>
          </w:p>
        </w:tc>
        <w:tc>
          <w:tcPr>
            <w:tcW w:w="1436" w:type="dxa"/>
            <w:vMerge w:val="restart"/>
            <w:noWrap/>
          </w:tcPr>
          <w:p w14:paraId="2C314B57" w14:textId="77777777" w:rsidR="006E18C3" w:rsidRPr="00163523" w:rsidRDefault="006E18C3" w:rsidP="0076227C">
            <w:pPr>
              <w:keepNext/>
              <w:spacing w:line="240" w:lineRule="auto"/>
              <w:ind w:left="0"/>
              <w:cnfStyle w:val="100000000000" w:firstRow="1" w:lastRow="0" w:firstColumn="0" w:lastColumn="0" w:oddVBand="0" w:evenVBand="0" w:oddHBand="0" w:evenHBand="0" w:firstRowFirstColumn="0" w:firstRowLastColumn="0" w:lastRowFirstColumn="0" w:lastRowLastColumn="0"/>
              <w:rPr>
                <w:rFonts w:eastAsia="Times New Roman"/>
                <w:i/>
                <w:sz w:val="16"/>
                <w:szCs w:val="16"/>
                <w:lang w:val="en-GB" w:eastAsia="en-GB"/>
              </w:rPr>
            </w:pPr>
            <w:r w:rsidRPr="00163523">
              <w:rPr>
                <w:rFonts w:eastAsia="Arial"/>
                <w:sz w:val="16"/>
                <w:szCs w:val="16"/>
                <w:lang w:val="en-GB"/>
              </w:rPr>
              <w:t>Severity</w:t>
            </w:r>
          </w:p>
        </w:tc>
      </w:tr>
      <w:tr w:rsidR="006E18C3" w:rsidRPr="00801E6C" w14:paraId="1EC25F39" w14:textId="77777777" w:rsidTr="00097AD7">
        <w:trPr>
          <w:trHeight w:val="20"/>
        </w:trPr>
        <w:tc>
          <w:tcPr>
            <w:cnfStyle w:val="001000000000" w:firstRow="0" w:lastRow="0" w:firstColumn="1" w:lastColumn="0" w:oddVBand="0" w:evenVBand="0" w:oddHBand="0" w:evenHBand="0" w:firstRowFirstColumn="0" w:firstRowLastColumn="0" w:lastRowFirstColumn="0" w:lastRowLastColumn="0"/>
            <w:tcW w:w="2689" w:type="dxa"/>
            <w:vMerge/>
            <w:noWrap/>
          </w:tcPr>
          <w:p w14:paraId="5478C18C" w14:textId="77777777" w:rsidR="006E18C3" w:rsidRPr="00801E6C" w:rsidRDefault="006E18C3" w:rsidP="0076227C">
            <w:pPr>
              <w:spacing w:line="240" w:lineRule="auto"/>
              <w:ind w:left="0"/>
              <w:jc w:val="center"/>
              <w:rPr>
                <w:rFonts w:eastAsia="Arial"/>
                <w:sz w:val="16"/>
                <w:szCs w:val="16"/>
                <w:lang w:val="en-GB"/>
              </w:rPr>
            </w:pPr>
          </w:p>
        </w:tc>
        <w:tc>
          <w:tcPr>
            <w:tcW w:w="864" w:type="dxa"/>
          </w:tcPr>
          <w:p w14:paraId="73F134CD" w14:textId="77777777" w:rsidR="006E18C3" w:rsidRPr="00163523" w:rsidRDefault="006E18C3" w:rsidP="0076227C">
            <w:pPr>
              <w:spacing w:line="240" w:lineRule="auto"/>
              <w:ind w:left="0"/>
              <w:cnfStyle w:val="000000000000" w:firstRow="0" w:lastRow="0" w:firstColumn="0" w:lastColumn="0" w:oddVBand="0" w:evenVBand="0" w:oddHBand="0" w:evenHBand="0" w:firstRowFirstColumn="0" w:firstRowLastColumn="0" w:lastRowFirstColumn="0" w:lastRowLastColumn="0"/>
              <w:rPr>
                <w:rFonts w:eastAsia="Times New Roman"/>
                <w:b/>
                <w:color w:val="000000"/>
                <w:sz w:val="14"/>
                <w:szCs w:val="14"/>
                <w:lang w:val="en-GB" w:eastAsia="en-GB"/>
              </w:rPr>
            </w:pPr>
            <w:r w:rsidRPr="00163523">
              <w:rPr>
                <w:rFonts w:eastAsia="Arial"/>
                <w:sz w:val="14"/>
                <w:szCs w:val="14"/>
                <w:lang w:val="en-GB"/>
              </w:rPr>
              <w:t>REN-M</w:t>
            </w:r>
          </w:p>
        </w:tc>
        <w:tc>
          <w:tcPr>
            <w:tcW w:w="864" w:type="dxa"/>
          </w:tcPr>
          <w:p w14:paraId="07838C0B" w14:textId="77777777" w:rsidR="006E18C3" w:rsidRPr="00163523" w:rsidRDefault="006E18C3" w:rsidP="0076227C">
            <w:pPr>
              <w:spacing w:line="240" w:lineRule="auto"/>
              <w:ind w:left="0"/>
              <w:cnfStyle w:val="000000000000" w:firstRow="0" w:lastRow="0" w:firstColumn="0" w:lastColumn="0" w:oddVBand="0" w:evenVBand="0" w:oddHBand="0" w:evenHBand="0" w:firstRowFirstColumn="0" w:firstRowLastColumn="0" w:lastRowFirstColumn="0" w:lastRowLastColumn="0"/>
              <w:rPr>
                <w:rFonts w:eastAsia="Times New Roman"/>
                <w:b/>
                <w:color w:val="000000"/>
                <w:sz w:val="14"/>
                <w:szCs w:val="14"/>
                <w:lang w:val="en-GB" w:eastAsia="en-GB"/>
              </w:rPr>
            </w:pPr>
            <w:r w:rsidRPr="00163523">
              <w:rPr>
                <w:rFonts w:eastAsia="Arial"/>
                <w:sz w:val="14"/>
                <w:szCs w:val="14"/>
                <w:lang w:val="en-GB"/>
              </w:rPr>
              <w:t>REN-H</w:t>
            </w:r>
          </w:p>
        </w:tc>
        <w:tc>
          <w:tcPr>
            <w:tcW w:w="865" w:type="dxa"/>
          </w:tcPr>
          <w:p w14:paraId="5CA0474E" w14:textId="77777777" w:rsidR="006E18C3" w:rsidRPr="00163523" w:rsidRDefault="006E18C3" w:rsidP="0076227C">
            <w:pPr>
              <w:spacing w:line="240" w:lineRule="auto"/>
              <w:ind w:left="0"/>
              <w:cnfStyle w:val="000000000000" w:firstRow="0" w:lastRow="0" w:firstColumn="0" w:lastColumn="0" w:oddVBand="0" w:evenVBand="0" w:oddHBand="0" w:evenHBand="0" w:firstRowFirstColumn="0" w:firstRowLastColumn="0" w:lastRowFirstColumn="0" w:lastRowLastColumn="0"/>
              <w:rPr>
                <w:rFonts w:eastAsia="Times New Roman"/>
                <w:b/>
                <w:color w:val="000000"/>
                <w:sz w:val="14"/>
                <w:szCs w:val="14"/>
                <w:lang w:val="en-GB" w:eastAsia="en-GB"/>
              </w:rPr>
            </w:pPr>
            <w:r w:rsidRPr="00163523">
              <w:rPr>
                <w:rFonts w:eastAsia="Arial"/>
                <w:sz w:val="14"/>
                <w:szCs w:val="14"/>
                <w:lang w:val="en-GB"/>
              </w:rPr>
              <w:t>CM</w:t>
            </w:r>
          </w:p>
        </w:tc>
        <w:tc>
          <w:tcPr>
            <w:tcW w:w="1731" w:type="dxa"/>
            <w:vMerge/>
            <w:shd w:val="clear" w:color="auto" w:fill="F9B7AC" w:themeFill="accent2" w:themeFillTint="66"/>
            <w:noWrap/>
          </w:tcPr>
          <w:p w14:paraId="0BDC55DA" w14:textId="77777777" w:rsidR="006E18C3" w:rsidRPr="00163523" w:rsidRDefault="006E18C3" w:rsidP="0076227C">
            <w:pPr>
              <w:spacing w:line="240" w:lineRule="auto"/>
              <w:ind w:left="0"/>
              <w:cnfStyle w:val="000000000000" w:firstRow="0" w:lastRow="0" w:firstColumn="0" w:lastColumn="0" w:oddVBand="0" w:evenVBand="0" w:oddHBand="0" w:evenHBand="0" w:firstRowFirstColumn="0" w:firstRowLastColumn="0" w:lastRowFirstColumn="0" w:lastRowLastColumn="0"/>
              <w:rPr>
                <w:rFonts w:eastAsia="Times New Roman"/>
                <w:b/>
                <w:color w:val="000000"/>
                <w:sz w:val="16"/>
                <w:szCs w:val="16"/>
                <w:lang w:val="en-GB" w:eastAsia="en-GB"/>
              </w:rPr>
            </w:pPr>
          </w:p>
        </w:tc>
        <w:tc>
          <w:tcPr>
            <w:tcW w:w="1436" w:type="dxa"/>
            <w:vMerge/>
            <w:shd w:val="clear" w:color="auto" w:fill="FFD57B" w:themeFill="accent4" w:themeFillShade="E6"/>
            <w:noWrap/>
          </w:tcPr>
          <w:p w14:paraId="1ED64FDC" w14:textId="77777777" w:rsidR="006E18C3" w:rsidRPr="00163523" w:rsidRDefault="006E18C3" w:rsidP="0076227C">
            <w:pPr>
              <w:spacing w:line="240" w:lineRule="auto"/>
              <w:ind w:left="0"/>
              <w:cnfStyle w:val="000000000000" w:firstRow="0" w:lastRow="0" w:firstColumn="0" w:lastColumn="0" w:oddVBand="0" w:evenVBand="0" w:oddHBand="0" w:evenHBand="0" w:firstRowFirstColumn="0" w:firstRowLastColumn="0" w:lastRowFirstColumn="0" w:lastRowLastColumn="0"/>
              <w:rPr>
                <w:rFonts w:eastAsia="Arial"/>
                <w:b/>
                <w:sz w:val="16"/>
                <w:szCs w:val="16"/>
                <w:lang w:val="en-GB"/>
              </w:rPr>
            </w:pPr>
          </w:p>
        </w:tc>
      </w:tr>
      <w:tr w:rsidR="006E18C3" w:rsidRPr="00801E6C" w14:paraId="7D621258" w14:textId="77777777" w:rsidTr="00097AD7">
        <w:trPr>
          <w:trHeight w:val="20"/>
        </w:trPr>
        <w:tc>
          <w:tcPr>
            <w:cnfStyle w:val="001000000000" w:firstRow="0" w:lastRow="0" w:firstColumn="1" w:lastColumn="0" w:oddVBand="0" w:evenVBand="0" w:oddHBand="0" w:evenHBand="0" w:firstRowFirstColumn="0" w:firstRowLastColumn="0" w:lastRowFirstColumn="0" w:lastRowLastColumn="0"/>
            <w:tcW w:w="2689" w:type="dxa"/>
            <w:noWrap/>
          </w:tcPr>
          <w:p w14:paraId="21CBDF4E" w14:textId="231B0DAB" w:rsidR="006E18C3" w:rsidRPr="00801E6C" w:rsidRDefault="001168D2" w:rsidP="0076227C">
            <w:pPr>
              <w:spacing w:line="240" w:lineRule="auto"/>
              <w:ind w:left="0"/>
              <w:jc w:val="center"/>
              <w:rPr>
                <w:rFonts w:eastAsia="Times New Roman"/>
                <w:color w:val="000000"/>
                <w:sz w:val="16"/>
                <w:szCs w:val="16"/>
                <w:lang w:val="en-GB" w:eastAsia="en-GB"/>
              </w:rPr>
            </w:pPr>
            <w:r w:rsidRPr="00801E6C">
              <w:rPr>
                <w:rFonts w:eastAsia="Arial"/>
                <w:sz w:val="16"/>
                <w:szCs w:val="16"/>
                <w:lang w:val="en-GB"/>
              </w:rPr>
              <w:t>Developments in global energy markets impact competitiveness of gas decarbonisation solutions</w:t>
            </w:r>
          </w:p>
        </w:tc>
        <w:tc>
          <w:tcPr>
            <w:tcW w:w="864" w:type="dxa"/>
          </w:tcPr>
          <w:p w14:paraId="041235D4" w14:textId="77777777" w:rsidR="006E18C3" w:rsidRPr="00163523" w:rsidRDefault="006E18C3" w:rsidP="0076227C">
            <w:pPr>
              <w:spacing w:line="240" w:lineRule="auto"/>
              <w:ind w:left="0"/>
              <w:cnfStyle w:val="000000000000" w:firstRow="0" w:lastRow="0" w:firstColumn="0" w:lastColumn="0" w:oddVBand="0" w:evenVBand="0" w:oddHBand="0" w:evenHBand="0" w:firstRowFirstColumn="0" w:firstRowLastColumn="0" w:lastRowFirstColumn="0" w:lastRowLastColumn="0"/>
              <w:rPr>
                <w:rFonts w:eastAsia="Times New Roman"/>
                <w:b/>
                <w:color w:val="000000"/>
                <w:sz w:val="16"/>
                <w:szCs w:val="16"/>
                <w:lang w:val="en-GB" w:eastAsia="en-GB"/>
              </w:rPr>
            </w:pPr>
            <w:r w:rsidRPr="00163523">
              <w:rPr>
                <w:rFonts w:ascii="Wingdings" w:eastAsia="Wingdings" w:hAnsi="Wingdings" w:cs="Wingdings"/>
                <w:b/>
                <w:color w:val="000000"/>
                <w:sz w:val="16"/>
                <w:szCs w:val="16"/>
                <w:lang w:val="en-GB" w:eastAsia="en-GB"/>
              </w:rPr>
              <w:sym w:font="Wingdings" w:char="F0FC"/>
            </w:r>
          </w:p>
        </w:tc>
        <w:tc>
          <w:tcPr>
            <w:tcW w:w="864" w:type="dxa"/>
          </w:tcPr>
          <w:p w14:paraId="49A7AB08" w14:textId="77777777" w:rsidR="006E18C3" w:rsidRPr="00163523" w:rsidRDefault="006E18C3" w:rsidP="0076227C">
            <w:pPr>
              <w:spacing w:line="240" w:lineRule="auto"/>
              <w:ind w:left="0"/>
              <w:cnfStyle w:val="000000000000" w:firstRow="0" w:lastRow="0" w:firstColumn="0" w:lastColumn="0" w:oddVBand="0" w:evenVBand="0" w:oddHBand="0" w:evenHBand="0" w:firstRowFirstColumn="0" w:firstRowLastColumn="0" w:lastRowFirstColumn="0" w:lastRowLastColumn="0"/>
              <w:rPr>
                <w:rFonts w:eastAsia="Times New Roman"/>
                <w:b/>
                <w:color w:val="000000"/>
                <w:sz w:val="16"/>
                <w:szCs w:val="16"/>
                <w:lang w:val="en-GB" w:eastAsia="en-GB"/>
              </w:rPr>
            </w:pPr>
            <w:r w:rsidRPr="00163523">
              <w:rPr>
                <w:rFonts w:ascii="Wingdings" w:eastAsia="Wingdings" w:hAnsi="Wingdings" w:cs="Wingdings"/>
                <w:b/>
                <w:color w:val="000000"/>
                <w:sz w:val="16"/>
                <w:szCs w:val="16"/>
                <w:lang w:val="en-GB" w:eastAsia="en-GB"/>
              </w:rPr>
              <w:sym w:font="Wingdings" w:char="F0FC"/>
            </w:r>
            <w:r w:rsidRPr="00163523">
              <w:rPr>
                <w:rFonts w:ascii="Wingdings" w:eastAsia="Wingdings" w:hAnsi="Wingdings" w:cs="Wingdings"/>
                <w:b/>
                <w:color w:val="000000"/>
                <w:sz w:val="16"/>
                <w:szCs w:val="16"/>
                <w:lang w:val="en-GB" w:eastAsia="en-GB"/>
              </w:rPr>
              <w:sym w:font="Wingdings" w:char="F0FC"/>
            </w:r>
          </w:p>
        </w:tc>
        <w:tc>
          <w:tcPr>
            <w:tcW w:w="865" w:type="dxa"/>
          </w:tcPr>
          <w:p w14:paraId="40592168" w14:textId="77777777" w:rsidR="006E18C3" w:rsidRPr="00163523" w:rsidRDefault="006E18C3" w:rsidP="0076227C">
            <w:pPr>
              <w:spacing w:line="240" w:lineRule="auto"/>
              <w:ind w:left="0"/>
              <w:cnfStyle w:val="000000000000" w:firstRow="0" w:lastRow="0" w:firstColumn="0" w:lastColumn="0" w:oddVBand="0" w:evenVBand="0" w:oddHBand="0" w:evenHBand="0" w:firstRowFirstColumn="0" w:firstRowLastColumn="0" w:lastRowFirstColumn="0" w:lastRowLastColumn="0"/>
              <w:rPr>
                <w:rFonts w:eastAsia="Times New Roman"/>
                <w:b/>
                <w:color w:val="000000"/>
                <w:sz w:val="16"/>
                <w:szCs w:val="16"/>
                <w:lang w:val="en-GB" w:eastAsia="en-GB"/>
              </w:rPr>
            </w:pPr>
            <w:r w:rsidRPr="00163523">
              <w:rPr>
                <w:rFonts w:ascii="Wingdings" w:eastAsia="Wingdings" w:hAnsi="Wingdings" w:cs="Wingdings"/>
                <w:b/>
                <w:color w:val="000000"/>
                <w:sz w:val="16"/>
                <w:szCs w:val="16"/>
                <w:lang w:val="en-GB" w:eastAsia="en-GB"/>
              </w:rPr>
              <w:sym w:font="Wingdings" w:char="F0FC"/>
            </w:r>
          </w:p>
        </w:tc>
        <w:tc>
          <w:tcPr>
            <w:tcW w:w="1731" w:type="dxa"/>
            <w:shd w:val="clear" w:color="auto" w:fill="FFD57B" w:themeFill="accent4" w:themeFillShade="E6"/>
            <w:noWrap/>
          </w:tcPr>
          <w:p w14:paraId="366361E8" w14:textId="1A0C3EDA" w:rsidR="006E18C3" w:rsidRPr="00163523" w:rsidRDefault="00706F19" w:rsidP="0076227C">
            <w:pPr>
              <w:spacing w:line="240" w:lineRule="auto"/>
              <w:ind w:left="0"/>
              <w:cnfStyle w:val="000000000000" w:firstRow="0" w:lastRow="0" w:firstColumn="0" w:lastColumn="0" w:oddVBand="0" w:evenVBand="0" w:oddHBand="0" w:evenHBand="0" w:firstRowFirstColumn="0" w:firstRowLastColumn="0" w:lastRowFirstColumn="0" w:lastRowLastColumn="0"/>
              <w:rPr>
                <w:rFonts w:eastAsia="Times New Roman"/>
                <w:b/>
                <w:color w:val="000000"/>
                <w:sz w:val="16"/>
                <w:szCs w:val="16"/>
                <w:lang w:val="en-GB" w:eastAsia="en-GB"/>
              </w:rPr>
            </w:pPr>
            <w:r w:rsidRPr="00163523">
              <w:rPr>
                <w:rFonts w:eastAsia="Times New Roman"/>
                <w:b/>
                <w:color w:val="000000"/>
                <w:sz w:val="16"/>
                <w:szCs w:val="16"/>
                <w:lang w:val="en-GB" w:eastAsia="en-GB"/>
              </w:rPr>
              <w:t>Medium</w:t>
            </w:r>
          </w:p>
        </w:tc>
        <w:tc>
          <w:tcPr>
            <w:tcW w:w="1436" w:type="dxa"/>
            <w:shd w:val="clear" w:color="auto" w:fill="FFD57B" w:themeFill="accent4" w:themeFillShade="E6"/>
            <w:noWrap/>
          </w:tcPr>
          <w:p w14:paraId="1DAFD3EE" w14:textId="0AABE4DE" w:rsidR="006E18C3" w:rsidRPr="00163523" w:rsidRDefault="001168D2" w:rsidP="0076227C">
            <w:pPr>
              <w:spacing w:line="240" w:lineRule="auto"/>
              <w:ind w:left="0"/>
              <w:cnfStyle w:val="000000000000" w:firstRow="0" w:lastRow="0" w:firstColumn="0" w:lastColumn="0" w:oddVBand="0" w:evenVBand="0" w:oddHBand="0" w:evenHBand="0" w:firstRowFirstColumn="0" w:firstRowLastColumn="0" w:lastRowFirstColumn="0" w:lastRowLastColumn="0"/>
              <w:rPr>
                <w:rFonts w:eastAsia="Times New Roman"/>
                <w:b/>
                <w:i/>
                <w:color w:val="000000"/>
                <w:sz w:val="16"/>
                <w:szCs w:val="16"/>
                <w:lang w:val="en-GB" w:eastAsia="en-GB"/>
              </w:rPr>
            </w:pPr>
            <w:r w:rsidRPr="00163523">
              <w:rPr>
                <w:rFonts w:eastAsia="Arial"/>
                <w:b/>
                <w:sz w:val="16"/>
                <w:szCs w:val="16"/>
                <w:lang w:val="en-GB"/>
              </w:rPr>
              <w:t>Medium</w:t>
            </w:r>
          </w:p>
        </w:tc>
      </w:tr>
    </w:tbl>
    <w:p w14:paraId="5206D1EC" w14:textId="77777777" w:rsidR="006E18C3" w:rsidRPr="00163523" w:rsidRDefault="006E18C3" w:rsidP="000C0A9C">
      <w:pPr>
        <w:rPr>
          <w:lang w:val="en-GB"/>
        </w:rPr>
      </w:pPr>
    </w:p>
    <w:p w14:paraId="37AF876A" w14:textId="77777777" w:rsidR="00FC13C0" w:rsidRPr="00163523" w:rsidRDefault="000C0A9C" w:rsidP="00FC13C0">
      <w:pPr>
        <w:pStyle w:val="Kop4"/>
        <w:rPr>
          <w:lang w:val="en-GB"/>
        </w:rPr>
      </w:pPr>
      <w:r>
        <w:rPr>
          <w:lang w:val="en-GB"/>
        </w:rPr>
        <w:lastRenderedPageBreak/>
        <w:t xml:space="preserve">Potential </w:t>
      </w:r>
      <w:r w:rsidRPr="00163523">
        <w:rPr>
          <w:lang w:val="en-GB"/>
        </w:rPr>
        <w:t>mitigation measures</w:t>
      </w:r>
    </w:p>
    <w:p w14:paraId="0D64F01A" w14:textId="64A57BAA" w:rsidR="0017067B" w:rsidRPr="00163523" w:rsidRDefault="007D0D0C" w:rsidP="0017067B">
      <w:pPr>
        <w:rPr>
          <w:lang w:val="en-GB"/>
        </w:rPr>
      </w:pPr>
      <w:r w:rsidRPr="00163523">
        <w:rPr>
          <w:lang w:val="en-GB"/>
        </w:rPr>
        <w:t xml:space="preserve">The </w:t>
      </w:r>
      <w:r w:rsidR="00C46487" w:rsidRPr="00163523">
        <w:rPr>
          <w:rStyle w:val="cf01"/>
          <w:rFonts w:ascii="Trebuchet MS" w:hAnsi="Trebuchet MS"/>
          <w:lang w:val="en-GB"/>
        </w:rPr>
        <w:t>developments in global energy markets cannot be directly addressed by national or regional measures</w:t>
      </w:r>
      <w:r w:rsidR="00413800" w:rsidRPr="00163523">
        <w:rPr>
          <w:rStyle w:val="cf01"/>
          <w:rFonts w:ascii="Trebuchet MS" w:hAnsi="Trebuchet MS"/>
          <w:lang w:val="en-GB"/>
        </w:rPr>
        <w:t>. However</w:t>
      </w:r>
      <w:r w:rsidR="00C46487" w:rsidRPr="00163523">
        <w:rPr>
          <w:rStyle w:val="cf01"/>
          <w:rFonts w:ascii="Trebuchet MS" w:hAnsi="Trebuchet MS"/>
          <w:lang w:val="en-GB"/>
        </w:rPr>
        <w:t xml:space="preserve">, policies and scenarios that reduce the energy import dependency of the BRGM countries will also reduce the severity </w:t>
      </w:r>
      <w:r w:rsidR="007C5276" w:rsidRPr="00163523">
        <w:rPr>
          <w:rStyle w:val="cf01"/>
          <w:rFonts w:ascii="Trebuchet MS" w:hAnsi="Trebuchet MS"/>
          <w:lang w:val="en-GB"/>
        </w:rPr>
        <w:t xml:space="preserve">(impacts) </w:t>
      </w:r>
      <w:r w:rsidR="00C46487" w:rsidRPr="00163523">
        <w:rPr>
          <w:rStyle w:val="cf01"/>
          <w:rFonts w:ascii="Trebuchet MS" w:hAnsi="Trebuchet MS"/>
          <w:lang w:val="en-GB"/>
        </w:rPr>
        <w:t>of this risk</w:t>
      </w:r>
      <w:r w:rsidR="007C5276" w:rsidRPr="00163523">
        <w:rPr>
          <w:rStyle w:val="cf01"/>
          <w:rFonts w:ascii="Trebuchet MS" w:hAnsi="Trebuchet MS"/>
          <w:lang w:val="en-GB"/>
        </w:rPr>
        <w:t xml:space="preserve"> for the </w:t>
      </w:r>
      <w:r w:rsidR="00575814" w:rsidRPr="00163523">
        <w:rPr>
          <w:rStyle w:val="cf01"/>
          <w:rFonts w:ascii="Trebuchet MS" w:hAnsi="Trebuchet MS"/>
          <w:lang w:val="en-GB"/>
        </w:rPr>
        <w:t>considered countries</w:t>
      </w:r>
      <w:r w:rsidR="00C46487" w:rsidRPr="00163523">
        <w:rPr>
          <w:rStyle w:val="cf01"/>
          <w:rFonts w:ascii="Trebuchet MS" w:hAnsi="Trebuchet MS"/>
          <w:lang w:val="en-GB"/>
        </w:rPr>
        <w:t xml:space="preserve">. </w:t>
      </w:r>
      <w:r w:rsidR="0017067B" w:rsidRPr="00163523">
        <w:rPr>
          <w:rStyle w:val="cf01"/>
          <w:rFonts w:ascii="Trebuchet MS" w:hAnsi="Trebuchet MS"/>
          <w:lang w:val="en-GB"/>
        </w:rPr>
        <w:t xml:space="preserve">Another relevant mitigation measure is to </w:t>
      </w:r>
      <w:r w:rsidR="00552389" w:rsidRPr="00163523">
        <w:rPr>
          <w:lang w:val="en-GB"/>
        </w:rPr>
        <w:t>i</w:t>
      </w:r>
      <w:r w:rsidR="0017067B" w:rsidRPr="00163523">
        <w:rPr>
          <w:lang w:val="en-GB"/>
        </w:rPr>
        <w:t>mplement mechanisms to stabilize energy prices, such as feed-in tariffs or long-term power purchase agreements. This will provide economic certainty and mitigate the risk of price fluctuations for renewable electricity, ensuring the financial viability of both hydrogen and biomethane production.</w:t>
      </w:r>
    </w:p>
    <w:p w14:paraId="6B6DEC86" w14:textId="77777777" w:rsidR="0017067B" w:rsidRPr="00163523" w:rsidRDefault="0017067B" w:rsidP="0017067B">
      <w:pPr>
        <w:rPr>
          <w:lang w:val="en-GB"/>
        </w:rPr>
      </w:pPr>
    </w:p>
    <w:p w14:paraId="3E81EC7E" w14:textId="05B9E0A2" w:rsidR="00FC13C0" w:rsidRPr="00163523" w:rsidRDefault="0017067B" w:rsidP="00FC13C0">
      <w:pPr>
        <w:rPr>
          <w:rStyle w:val="cf01"/>
          <w:rFonts w:ascii="Trebuchet MS" w:hAnsi="Trebuchet MS"/>
          <w:lang w:val="en-GB"/>
        </w:rPr>
      </w:pPr>
      <w:r w:rsidRPr="00163523">
        <w:rPr>
          <w:rStyle w:val="cf01"/>
          <w:rFonts w:ascii="Trebuchet MS" w:hAnsi="Trebuchet MS"/>
          <w:lang w:val="en-GB"/>
        </w:rPr>
        <w:t>The risk's likelihood cannot be mitigated by specific national or regional measures.</w:t>
      </w:r>
    </w:p>
    <w:p w14:paraId="70D28128" w14:textId="77777777" w:rsidR="0017067B" w:rsidRPr="00163523" w:rsidRDefault="0017067B" w:rsidP="00FC13C0">
      <w:pPr>
        <w:rPr>
          <w:lang w:val="en-GB"/>
        </w:rPr>
      </w:pPr>
    </w:p>
    <w:p w14:paraId="52583FC1" w14:textId="415E7E79" w:rsidR="00F63E15" w:rsidRPr="00CE0AC5" w:rsidRDefault="00F63E15" w:rsidP="00CE0AC5">
      <w:pPr>
        <w:pStyle w:val="Kop2"/>
      </w:pPr>
      <w:bookmarkStart w:id="47" w:name="_Ref137116836"/>
      <w:bookmarkStart w:id="48" w:name="_Toc138492604"/>
      <w:bookmarkStart w:id="49" w:name="_Toc144803011"/>
      <w:r>
        <w:t xml:space="preserve">Risk 5: </w:t>
      </w:r>
      <w:r w:rsidRPr="00F63E15">
        <w:t>Fragmentation of regional/national gas networks and markets</w:t>
      </w:r>
      <w:bookmarkEnd w:id="47"/>
      <w:bookmarkEnd w:id="48"/>
      <w:bookmarkEnd w:id="49"/>
    </w:p>
    <w:p w14:paraId="1E92B7CA" w14:textId="6E3C540B" w:rsidR="00F63E15" w:rsidRPr="00163523" w:rsidRDefault="00F63E15" w:rsidP="00F63E15">
      <w:pPr>
        <w:pStyle w:val="Kop4"/>
        <w:rPr>
          <w:lang w:val="en-GB"/>
        </w:rPr>
      </w:pPr>
      <w:r>
        <w:rPr>
          <w:lang w:val="en-GB"/>
        </w:rPr>
        <w:t>D</w:t>
      </w:r>
      <w:r w:rsidRPr="00163523">
        <w:rPr>
          <w:lang w:val="en-GB"/>
        </w:rPr>
        <w:t>escription of the risk</w:t>
      </w:r>
      <w:r w:rsidR="00673984" w:rsidRPr="00163523">
        <w:rPr>
          <w:lang w:val="en-GB"/>
        </w:rPr>
        <w:t xml:space="preserve"> for the</w:t>
      </w:r>
      <w:r w:rsidRPr="00163523">
        <w:rPr>
          <w:lang w:val="en-GB"/>
        </w:rPr>
        <w:t xml:space="preserve"> Baltic Regional Gas Market</w:t>
      </w:r>
    </w:p>
    <w:p w14:paraId="7DA190B4" w14:textId="376BB0BA" w:rsidR="00F63E15" w:rsidRPr="00163523" w:rsidRDefault="00C21EF7" w:rsidP="00F63E15">
      <w:pPr>
        <w:rPr>
          <w:lang w:val="en-GB"/>
        </w:rPr>
      </w:pPr>
      <w:r w:rsidRPr="00163523">
        <w:rPr>
          <w:lang w:val="en-GB"/>
        </w:rPr>
        <w:t xml:space="preserve">Due to </w:t>
      </w:r>
      <w:r w:rsidR="00E63165" w:rsidRPr="00163523">
        <w:rPr>
          <w:lang w:val="en-GB"/>
        </w:rPr>
        <w:t xml:space="preserve">the decarbonisation of </w:t>
      </w:r>
      <w:r w:rsidR="00ED3A5B" w:rsidRPr="00163523">
        <w:rPr>
          <w:lang w:val="en-GB"/>
        </w:rPr>
        <w:t xml:space="preserve">gas </w:t>
      </w:r>
      <w:r w:rsidR="00E63165" w:rsidRPr="00163523">
        <w:rPr>
          <w:lang w:val="en-GB"/>
        </w:rPr>
        <w:t>supply</w:t>
      </w:r>
      <w:r w:rsidR="00ED3A5B" w:rsidRPr="00163523">
        <w:rPr>
          <w:lang w:val="en-GB"/>
        </w:rPr>
        <w:t xml:space="preserve">, the paradigm of all </w:t>
      </w:r>
      <w:r w:rsidR="00AD3C87" w:rsidRPr="00163523">
        <w:rPr>
          <w:lang w:val="en-GB"/>
        </w:rPr>
        <w:t xml:space="preserve">methane </w:t>
      </w:r>
      <w:r w:rsidR="00ED3A5B" w:rsidRPr="00163523">
        <w:rPr>
          <w:lang w:val="en-GB"/>
        </w:rPr>
        <w:t xml:space="preserve">networks within </w:t>
      </w:r>
      <w:r w:rsidR="00535CFD" w:rsidRPr="00163523">
        <w:rPr>
          <w:lang w:val="en-GB"/>
        </w:rPr>
        <w:t>the regional Baltic gas market</w:t>
      </w:r>
      <w:r w:rsidR="00ED3A5B" w:rsidRPr="00163523">
        <w:rPr>
          <w:lang w:val="en-GB"/>
        </w:rPr>
        <w:t xml:space="preserve">, </w:t>
      </w:r>
      <w:r w:rsidR="004C7399" w:rsidRPr="00163523">
        <w:rPr>
          <w:lang w:val="en-GB"/>
        </w:rPr>
        <w:t xml:space="preserve">transporting </w:t>
      </w:r>
      <w:r w:rsidR="00ED3A5B" w:rsidRPr="00163523">
        <w:rPr>
          <w:lang w:val="en-GB"/>
        </w:rPr>
        <w:t xml:space="preserve">a </w:t>
      </w:r>
      <w:r w:rsidR="00D8159F" w:rsidRPr="00163523">
        <w:rPr>
          <w:lang w:val="en-GB"/>
        </w:rPr>
        <w:t xml:space="preserve">quite </w:t>
      </w:r>
      <w:r w:rsidR="00ED3A5B" w:rsidRPr="00163523">
        <w:rPr>
          <w:lang w:val="en-GB"/>
        </w:rPr>
        <w:t xml:space="preserve">homogeneous methane product </w:t>
      </w:r>
      <w:r w:rsidR="004C7399" w:rsidRPr="00163523">
        <w:rPr>
          <w:lang w:val="en-GB"/>
        </w:rPr>
        <w:t>may</w:t>
      </w:r>
      <w:r w:rsidR="00ED3A5B" w:rsidRPr="00163523">
        <w:rPr>
          <w:lang w:val="en-GB"/>
        </w:rPr>
        <w:t xml:space="preserve"> gradually transform into a patchwork of networks carrying different gases including hydrogen. </w:t>
      </w:r>
      <w:r w:rsidR="007569BE" w:rsidRPr="00163523">
        <w:rPr>
          <w:lang w:val="en-GB"/>
        </w:rPr>
        <w:t>Methane networks</w:t>
      </w:r>
      <w:r w:rsidR="00330F9B" w:rsidRPr="00163523">
        <w:rPr>
          <w:lang w:val="en-GB"/>
        </w:rPr>
        <w:t xml:space="preserve"> will</w:t>
      </w:r>
      <w:r w:rsidR="007569BE" w:rsidRPr="00163523">
        <w:rPr>
          <w:lang w:val="en-GB"/>
        </w:rPr>
        <w:t xml:space="preserve"> transport natural gas, biomethane and in some cases </w:t>
      </w:r>
      <w:r w:rsidR="00330F9B" w:rsidRPr="00163523">
        <w:rPr>
          <w:lang w:val="en-GB"/>
        </w:rPr>
        <w:t xml:space="preserve">limited hydrogen </w:t>
      </w:r>
      <w:r w:rsidR="008C2AF2" w:rsidRPr="00163523">
        <w:rPr>
          <w:lang w:val="en-GB"/>
        </w:rPr>
        <w:t xml:space="preserve">volumes (blending), and </w:t>
      </w:r>
      <w:r w:rsidR="00356879" w:rsidRPr="00163523">
        <w:rPr>
          <w:lang w:val="en-GB"/>
        </w:rPr>
        <w:t xml:space="preserve">cross-border </w:t>
      </w:r>
      <w:r w:rsidR="008C2AF2" w:rsidRPr="00163523">
        <w:rPr>
          <w:lang w:val="en-GB"/>
        </w:rPr>
        <w:t xml:space="preserve">physical trade may not be possible </w:t>
      </w:r>
      <w:r w:rsidR="00E81A90" w:rsidRPr="00163523">
        <w:rPr>
          <w:lang w:val="en-GB"/>
        </w:rPr>
        <w:t xml:space="preserve">any more </w:t>
      </w:r>
      <w:r w:rsidR="008C2AF2" w:rsidRPr="00163523">
        <w:rPr>
          <w:lang w:val="en-GB"/>
        </w:rPr>
        <w:t xml:space="preserve">if the </w:t>
      </w:r>
      <w:r w:rsidR="00780741" w:rsidRPr="00163523">
        <w:rPr>
          <w:lang w:val="en-GB"/>
        </w:rPr>
        <w:t xml:space="preserve">quality specifications are </w:t>
      </w:r>
      <w:r w:rsidR="00055A20" w:rsidRPr="00163523">
        <w:rPr>
          <w:lang w:val="en-GB"/>
        </w:rPr>
        <w:t xml:space="preserve">not </w:t>
      </w:r>
      <w:r w:rsidR="006A2E39" w:rsidRPr="00163523">
        <w:rPr>
          <w:lang w:val="en-GB"/>
        </w:rPr>
        <w:t xml:space="preserve">harmonized. </w:t>
      </w:r>
      <w:r w:rsidR="00ED3A5B" w:rsidRPr="00163523">
        <w:rPr>
          <w:lang w:val="en-GB"/>
        </w:rPr>
        <w:t xml:space="preserve">This </w:t>
      </w:r>
      <w:r w:rsidR="0009374C" w:rsidRPr="00163523">
        <w:rPr>
          <w:lang w:val="en-GB"/>
        </w:rPr>
        <w:t>may</w:t>
      </w:r>
      <w:r w:rsidR="00ED3A5B" w:rsidRPr="00163523">
        <w:rPr>
          <w:lang w:val="en-GB"/>
        </w:rPr>
        <w:t xml:space="preserve"> impact the single </w:t>
      </w:r>
      <w:r w:rsidR="0009374C" w:rsidRPr="00163523">
        <w:rPr>
          <w:lang w:val="en-GB"/>
        </w:rPr>
        <w:t xml:space="preserve">regional </w:t>
      </w:r>
      <w:r w:rsidR="00ED3A5B" w:rsidRPr="00163523">
        <w:rPr>
          <w:lang w:val="en-GB"/>
        </w:rPr>
        <w:t xml:space="preserve">gas market and could make redundant </w:t>
      </w:r>
      <w:r w:rsidR="00F75B97" w:rsidRPr="00163523">
        <w:rPr>
          <w:lang w:val="en-GB"/>
        </w:rPr>
        <w:t xml:space="preserve">some </w:t>
      </w:r>
      <w:r w:rsidR="00ED3A5B" w:rsidRPr="00163523">
        <w:rPr>
          <w:lang w:val="en-GB"/>
        </w:rPr>
        <w:t>pipeline interconnections which have been</w:t>
      </w:r>
      <w:r w:rsidR="0070515E" w:rsidRPr="00163523">
        <w:rPr>
          <w:lang w:val="en-GB"/>
        </w:rPr>
        <w:t xml:space="preserve"> est</w:t>
      </w:r>
      <w:r w:rsidR="00A90ADE" w:rsidRPr="00163523">
        <w:rPr>
          <w:lang w:val="en-GB"/>
        </w:rPr>
        <w:t>ablished</w:t>
      </w:r>
      <w:r w:rsidR="00ED3A5B" w:rsidRPr="00163523">
        <w:rPr>
          <w:lang w:val="en-GB"/>
        </w:rPr>
        <w:t xml:space="preserve">. A transition to national (and </w:t>
      </w:r>
      <w:r w:rsidR="00A90ADE" w:rsidRPr="00163523">
        <w:rPr>
          <w:lang w:val="en-GB"/>
        </w:rPr>
        <w:t>sub-national</w:t>
      </w:r>
      <w:r w:rsidR="00ED3A5B" w:rsidRPr="00163523">
        <w:rPr>
          <w:lang w:val="en-GB"/>
        </w:rPr>
        <w:t xml:space="preserve">) networks carrying different </w:t>
      </w:r>
      <w:r w:rsidR="000178F3" w:rsidRPr="00163523">
        <w:rPr>
          <w:lang w:val="en-GB"/>
        </w:rPr>
        <w:t xml:space="preserve">gas </w:t>
      </w:r>
      <w:r w:rsidR="00ED3A5B" w:rsidRPr="00163523">
        <w:rPr>
          <w:lang w:val="en-GB"/>
        </w:rPr>
        <w:t xml:space="preserve">products </w:t>
      </w:r>
      <w:r w:rsidR="000178F3" w:rsidRPr="00163523">
        <w:rPr>
          <w:lang w:val="en-GB"/>
        </w:rPr>
        <w:t>c</w:t>
      </w:r>
      <w:r w:rsidR="00ED3A5B" w:rsidRPr="00163523">
        <w:rPr>
          <w:lang w:val="en-GB"/>
        </w:rPr>
        <w:t xml:space="preserve">ould significantly impact </w:t>
      </w:r>
      <w:r w:rsidR="00B16C9F" w:rsidRPr="00163523">
        <w:rPr>
          <w:lang w:val="en-GB"/>
        </w:rPr>
        <w:t xml:space="preserve">the </w:t>
      </w:r>
      <w:r w:rsidR="00F30CC5" w:rsidRPr="00163523">
        <w:rPr>
          <w:lang w:val="en-GB"/>
        </w:rPr>
        <w:t xml:space="preserve">regional </w:t>
      </w:r>
      <w:r w:rsidR="00B16C9F" w:rsidRPr="00163523">
        <w:rPr>
          <w:lang w:val="en-GB"/>
        </w:rPr>
        <w:t xml:space="preserve">gas market liquidity and </w:t>
      </w:r>
      <w:r w:rsidR="00ED3A5B" w:rsidRPr="00163523">
        <w:rPr>
          <w:lang w:val="en-GB"/>
        </w:rPr>
        <w:t xml:space="preserve">security of </w:t>
      </w:r>
      <w:r w:rsidR="000178F3" w:rsidRPr="00163523">
        <w:rPr>
          <w:lang w:val="en-GB"/>
        </w:rPr>
        <w:t xml:space="preserve">gas </w:t>
      </w:r>
      <w:r w:rsidR="00ED3A5B" w:rsidRPr="00163523">
        <w:rPr>
          <w:lang w:val="en-GB"/>
        </w:rPr>
        <w:t xml:space="preserve">supply </w:t>
      </w:r>
      <w:r w:rsidR="000178F3" w:rsidRPr="00163523">
        <w:rPr>
          <w:lang w:val="en-GB"/>
        </w:rPr>
        <w:t>arrangements</w:t>
      </w:r>
      <w:r w:rsidR="00ED3A5B" w:rsidRPr="00163523">
        <w:rPr>
          <w:lang w:val="en-GB"/>
        </w:rPr>
        <w:t xml:space="preserve"> in place as, in the case of a supply shortage, it </w:t>
      </w:r>
      <w:r w:rsidR="005260E8" w:rsidRPr="00163523">
        <w:rPr>
          <w:lang w:val="en-GB"/>
        </w:rPr>
        <w:t>may</w:t>
      </w:r>
      <w:r w:rsidR="00ED3A5B" w:rsidRPr="00163523">
        <w:rPr>
          <w:lang w:val="en-GB"/>
        </w:rPr>
        <w:t xml:space="preserve"> disrupt the solidarity principles governing sharing of available gas between </w:t>
      </w:r>
      <w:r w:rsidR="00D41D17" w:rsidRPr="00163523">
        <w:rPr>
          <w:lang w:val="en-GB"/>
        </w:rPr>
        <w:t xml:space="preserve">the </w:t>
      </w:r>
      <w:r w:rsidR="0029473A" w:rsidRPr="00163523">
        <w:rPr>
          <w:lang w:val="en-GB"/>
        </w:rPr>
        <w:t xml:space="preserve">BRGM </w:t>
      </w:r>
      <w:r w:rsidR="00ED3A5B" w:rsidRPr="00163523">
        <w:rPr>
          <w:lang w:val="en-GB"/>
        </w:rPr>
        <w:t>countries.</w:t>
      </w:r>
      <w:r w:rsidR="0013599B" w:rsidRPr="00163523">
        <w:rPr>
          <w:lang w:val="en-GB"/>
        </w:rPr>
        <w:t xml:space="preserve"> </w:t>
      </w:r>
      <w:r w:rsidR="00ED3A5B" w:rsidRPr="00163523">
        <w:rPr>
          <w:lang w:val="en-GB"/>
        </w:rPr>
        <w:t xml:space="preserve">This </w:t>
      </w:r>
      <w:r w:rsidR="00635269" w:rsidRPr="00163523">
        <w:rPr>
          <w:lang w:val="en-GB"/>
        </w:rPr>
        <w:t xml:space="preserve">risk </w:t>
      </w:r>
      <w:r w:rsidR="00ED3A5B" w:rsidRPr="00163523">
        <w:rPr>
          <w:lang w:val="en-GB"/>
        </w:rPr>
        <w:t xml:space="preserve">would emphasise the advantages of a transition to synthetic methane of a defined calorific value - derived from hydrogen - rather than different gases. </w:t>
      </w:r>
      <w:r w:rsidR="002A24CD" w:rsidRPr="00163523">
        <w:rPr>
          <w:lang w:val="en-GB"/>
        </w:rPr>
        <w:t xml:space="preserve">Such an approach </w:t>
      </w:r>
      <w:r w:rsidR="00ED3A5B" w:rsidRPr="00163523">
        <w:rPr>
          <w:lang w:val="en-GB"/>
        </w:rPr>
        <w:t xml:space="preserve">would also remove the necessity to convert existing networks and </w:t>
      </w:r>
      <w:r w:rsidR="00857517" w:rsidRPr="00163523">
        <w:rPr>
          <w:lang w:val="en-GB"/>
        </w:rPr>
        <w:t>end-users</w:t>
      </w:r>
      <w:r w:rsidR="00ED3A5B" w:rsidRPr="00163523">
        <w:rPr>
          <w:lang w:val="en-GB"/>
        </w:rPr>
        <w:t xml:space="preserve"> to a different non-methane product. However, these advantages would be counter-balanced - and </w:t>
      </w:r>
      <w:r w:rsidR="0028125B" w:rsidRPr="00163523">
        <w:rPr>
          <w:lang w:val="en-GB"/>
        </w:rPr>
        <w:t xml:space="preserve">most probably </w:t>
      </w:r>
      <w:r w:rsidR="00ED3A5B" w:rsidRPr="00163523">
        <w:rPr>
          <w:lang w:val="en-GB"/>
        </w:rPr>
        <w:t xml:space="preserve">outweighed - by the increased costs and </w:t>
      </w:r>
      <w:r w:rsidR="00D902E3" w:rsidRPr="00163523">
        <w:rPr>
          <w:lang w:val="en-GB"/>
        </w:rPr>
        <w:t xml:space="preserve">energy </w:t>
      </w:r>
      <w:r w:rsidR="00ED3A5B" w:rsidRPr="00163523">
        <w:rPr>
          <w:lang w:val="en-GB"/>
        </w:rPr>
        <w:t>loss</w:t>
      </w:r>
      <w:r w:rsidR="00D902E3" w:rsidRPr="00163523">
        <w:rPr>
          <w:lang w:val="en-GB"/>
        </w:rPr>
        <w:t>es</w:t>
      </w:r>
      <w:r w:rsidR="00ED3A5B" w:rsidRPr="00163523">
        <w:rPr>
          <w:lang w:val="en-GB"/>
        </w:rPr>
        <w:t xml:space="preserve"> from </w:t>
      </w:r>
      <w:r w:rsidR="00B12092" w:rsidRPr="00163523">
        <w:rPr>
          <w:lang w:val="en-GB"/>
        </w:rPr>
        <w:t xml:space="preserve">the </w:t>
      </w:r>
      <w:r w:rsidR="00ED3A5B" w:rsidRPr="00163523">
        <w:rPr>
          <w:lang w:val="en-GB"/>
        </w:rPr>
        <w:t>conversion processes</w:t>
      </w:r>
      <w:r w:rsidR="00D902E3" w:rsidRPr="00163523">
        <w:rPr>
          <w:lang w:val="en-GB"/>
        </w:rPr>
        <w:t>.</w:t>
      </w:r>
      <w:r w:rsidR="00D60457" w:rsidRPr="00163523">
        <w:rPr>
          <w:rStyle w:val="Voetnootmarkering"/>
          <w:lang w:val="en-GB"/>
        </w:rPr>
        <w:footnoteReference w:id="36"/>
      </w:r>
    </w:p>
    <w:p w14:paraId="36001F0C" w14:textId="77777777" w:rsidR="00ED3A5B" w:rsidRPr="00163523" w:rsidRDefault="00ED3A5B" w:rsidP="0003771E">
      <w:pPr>
        <w:rPr>
          <w:lang w:val="en-GB"/>
        </w:rPr>
      </w:pPr>
    </w:p>
    <w:p w14:paraId="412B3097" w14:textId="1ADED93D" w:rsidR="00F63E15" w:rsidRPr="00163523" w:rsidRDefault="00AB17A7" w:rsidP="00CE0AC5">
      <w:pPr>
        <w:pStyle w:val="Kop4"/>
        <w:rPr>
          <w:lang w:val="en-GB"/>
        </w:rPr>
      </w:pPr>
      <w:r w:rsidRPr="00163523">
        <w:rPr>
          <w:lang w:val="en-GB"/>
        </w:rPr>
        <w:t>Rating</w:t>
      </w:r>
      <w:r w:rsidR="00F63E15" w:rsidRPr="00163523">
        <w:rPr>
          <w:lang w:val="en-GB"/>
        </w:rPr>
        <w:t xml:space="preserve"> of the </w:t>
      </w:r>
      <w:r w:rsidRPr="00163523">
        <w:rPr>
          <w:lang w:val="en-GB"/>
        </w:rPr>
        <w:t xml:space="preserve">risk </w:t>
      </w:r>
      <w:r w:rsidR="00F63E15" w:rsidRPr="00163523">
        <w:rPr>
          <w:lang w:val="en-GB"/>
        </w:rPr>
        <w:t>based on likelihood and severity</w:t>
      </w:r>
    </w:p>
    <w:p w14:paraId="758B3948" w14:textId="5F6216FE" w:rsidR="00920786" w:rsidRPr="00163523" w:rsidRDefault="005C59F6" w:rsidP="006228D2">
      <w:pPr>
        <w:rPr>
          <w:lang w:val="en-GB"/>
        </w:rPr>
      </w:pPr>
      <w:r w:rsidRPr="00163523">
        <w:rPr>
          <w:lang w:val="en-GB"/>
        </w:rPr>
        <w:t>T</w:t>
      </w:r>
      <w:r w:rsidR="00860DEF" w:rsidRPr="00163523">
        <w:rPr>
          <w:lang w:val="en-GB"/>
        </w:rPr>
        <w:t xml:space="preserve">he </w:t>
      </w:r>
      <w:r w:rsidR="00246217" w:rsidRPr="00163523">
        <w:rPr>
          <w:lang w:val="en-GB"/>
        </w:rPr>
        <w:t xml:space="preserve">fragmentation of </w:t>
      </w:r>
      <w:r w:rsidR="00860DEF" w:rsidRPr="00163523">
        <w:rPr>
          <w:lang w:val="en-GB"/>
        </w:rPr>
        <w:t xml:space="preserve">the </w:t>
      </w:r>
      <w:r w:rsidR="006552F8" w:rsidRPr="00163523">
        <w:rPr>
          <w:lang w:val="en-GB"/>
        </w:rPr>
        <w:t xml:space="preserve">gas networks/markets </w:t>
      </w:r>
      <w:r w:rsidR="00AD04F2" w:rsidRPr="00163523">
        <w:rPr>
          <w:lang w:val="en-GB"/>
        </w:rPr>
        <w:t xml:space="preserve">as a consequence of the introduction of </w:t>
      </w:r>
      <w:r w:rsidR="00244F0A" w:rsidRPr="00163523">
        <w:rPr>
          <w:lang w:val="en-GB"/>
        </w:rPr>
        <w:t>different gas</w:t>
      </w:r>
      <w:r w:rsidR="00AD04F2" w:rsidRPr="00163523">
        <w:rPr>
          <w:lang w:val="en-GB"/>
        </w:rPr>
        <w:t>es with no</w:t>
      </w:r>
      <w:r w:rsidR="00C861C8" w:rsidRPr="00163523">
        <w:rPr>
          <w:lang w:val="en-GB"/>
        </w:rPr>
        <w:t>n</w:t>
      </w:r>
      <w:r w:rsidR="00AD04F2" w:rsidRPr="00163523">
        <w:rPr>
          <w:lang w:val="en-GB"/>
        </w:rPr>
        <w:t>-</w:t>
      </w:r>
      <w:r w:rsidR="00CB7595" w:rsidRPr="00163523">
        <w:rPr>
          <w:lang w:val="en-GB"/>
        </w:rPr>
        <w:t xml:space="preserve">harmonised </w:t>
      </w:r>
      <w:r w:rsidR="00244F0A" w:rsidRPr="00163523">
        <w:rPr>
          <w:lang w:val="en-GB"/>
        </w:rPr>
        <w:t xml:space="preserve">qualities </w:t>
      </w:r>
      <w:r w:rsidR="006552F8" w:rsidRPr="00163523">
        <w:rPr>
          <w:lang w:val="en-GB"/>
        </w:rPr>
        <w:t xml:space="preserve">would negatively affect </w:t>
      </w:r>
      <w:r w:rsidR="00CB7595" w:rsidRPr="00163523">
        <w:rPr>
          <w:lang w:val="en-GB"/>
        </w:rPr>
        <w:t xml:space="preserve">the </w:t>
      </w:r>
      <w:r w:rsidR="00DA5D65" w:rsidRPr="00163523">
        <w:rPr>
          <w:lang w:val="en-GB"/>
        </w:rPr>
        <w:t xml:space="preserve">domestic and cross-border gas </w:t>
      </w:r>
      <w:r w:rsidR="006552F8" w:rsidRPr="00163523">
        <w:rPr>
          <w:lang w:val="en-GB"/>
        </w:rPr>
        <w:t>trade</w:t>
      </w:r>
      <w:r w:rsidR="00DE0C30" w:rsidRPr="00163523">
        <w:rPr>
          <w:lang w:val="en-GB"/>
        </w:rPr>
        <w:t xml:space="preserve"> and hence have a negative impact on </w:t>
      </w:r>
      <w:r w:rsidR="00197BC4" w:rsidRPr="00163523">
        <w:rPr>
          <w:lang w:val="en-GB"/>
        </w:rPr>
        <w:t xml:space="preserve">the </w:t>
      </w:r>
      <w:r w:rsidR="00316CF4" w:rsidRPr="00163523">
        <w:rPr>
          <w:lang w:val="en-GB"/>
        </w:rPr>
        <w:t xml:space="preserve">regional </w:t>
      </w:r>
      <w:r w:rsidR="00197BC4" w:rsidRPr="00163523">
        <w:rPr>
          <w:lang w:val="en-GB"/>
        </w:rPr>
        <w:t xml:space="preserve">gas </w:t>
      </w:r>
      <w:r w:rsidR="00A81B7D" w:rsidRPr="00163523">
        <w:rPr>
          <w:lang w:val="en-GB"/>
        </w:rPr>
        <w:t xml:space="preserve">market liquidity, </w:t>
      </w:r>
      <w:r w:rsidR="00DE0C30" w:rsidRPr="00163523">
        <w:rPr>
          <w:lang w:val="en-GB"/>
        </w:rPr>
        <w:t>competition and security of supply</w:t>
      </w:r>
      <w:r w:rsidRPr="00163523">
        <w:rPr>
          <w:lang w:val="en-GB"/>
        </w:rPr>
        <w:t>.</w:t>
      </w:r>
    </w:p>
    <w:p w14:paraId="2E2F8935" w14:textId="77777777" w:rsidR="005C59F6" w:rsidRPr="00163523" w:rsidRDefault="005C59F6" w:rsidP="006228D2">
      <w:pPr>
        <w:rPr>
          <w:lang w:val="en-GB"/>
        </w:rPr>
      </w:pPr>
    </w:p>
    <w:p w14:paraId="43A13810" w14:textId="5E8E6262" w:rsidR="00FC525E" w:rsidRPr="00163523" w:rsidRDefault="00633BC4" w:rsidP="00633BC4">
      <w:pPr>
        <w:rPr>
          <w:lang w:val="en-GB"/>
        </w:rPr>
      </w:pPr>
      <w:r w:rsidRPr="00163523">
        <w:rPr>
          <w:lang w:val="en-GB"/>
        </w:rPr>
        <w:t>All</w:t>
      </w:r>
      <w:r w:rsidR="00CA0ECA" w:rsidRPr="00163523">
        <w:rPr>
          <w:lang w:val="en-GB"/>
        </w:rPr>
        <w:t xml:space="preserve"> steps of the value chain would be affected </w:t>
      </w:r>
      <w:r w:rsidR="003858CA" w:rsidRPr="00163523">
        <w:rPr>
          <w:lang w:val="en-GB"/>
        </w:rPr>
        <w:t xml:space="preserve">by this risk, </w:t>
      </w:r>
      <w:r w:rsidR="00CA0ECA" w:rsidRPr="00163523">
        <w:rPr>
          <w:lang w:val="en-GB"/>
        </w:rPr>
        <w:t xml:space="preserve">including local gas production, </w:t>
      </w:r>
      <w:r w:rsidR="002A4B80" w:rsidRPr="00163523">
        <w:rPr>
          <w:lang w:val="en-GB"/>
        </w:rPr>
        <w:t>transport and distribution, trade and supply, and end-use</w:t>
      </w:r>
      <w:r w:rsidR="00037D9F" w:rsidRPr="00163523">
        <w:rPr>
          <w:lang w:val="en-GB"/>
        </w:rPr>
        <w:t>.</w:t>
      </w:r>
    </w:p>
    <w:p w14:paraId="7921814E" w14:textId="22D0E9AC" w:rsidR="00920786" w:rsidRPr="00163523" w:rsidRDefault="00CA0ECA" w:rsidP="00633BC4">
      <w:pPr>
        <w:rPr>
          <w:lang w:val="en-GB"/>
        </w:rPr>
      </w:pPr>
      <w:r w:rsidRPr="00163523">
        <w:rPr>
          <w:lang w:val="en-GB"/>
        </w:rPr>
        <w:t xml:space="preserve"> </w:t>
      </w:r>
    </w:p>
    <w:p w14:paraId="013C8281" w14:textId="0C0C9B7A" w:rsidR="005B4F5F" w:rsidRPr="00163523" w:rsidRDefault="00C72B04" w:rsidP="00290BA4">
      <w:pPr>
        <w:rPr>
          <w:lang w:val="en-GB"/>
        </w:rPr>
      </w:pPr>
      <w:r w:rsidRPr="00163523">
        <w:rPr>
          <w:b/>
          <w:lang w:val="en-GB"/>
        </w:rPr>
        <w:t>We cons</w:t>
      </w:r>
      <w:r w:rsidR="00E55488" w:rsidRPr="00163523">
        <w:rPr>
          <w:b/>
          <w:lang w:val="en-GB"/>
        </w:rPr>
        <w:t xml:space="preserve">ider </w:t>
      </w:r>
      <w:r w:rsidR="00E66FEC" w:rsidRPr="00163523">
        <w:rPr>
          <w:b/>
          <w:lang w:val="en-GB"/>
        </w:rPr>
        <w:t xml:space="preserve">both </w:t>
      </w:r>
      <w:r w:rsidR="00DB739C" w:rsidRPr="00163523">
        <w:rPr>
          <w:b/>
          <w:lang w:val="en-GB"/>
        </w:rPr>
        <w:t xml:space="preserve">the </w:t>
      </w:r>
      <w:r w:rsidR="005D3EE7" w:rsidRPr="00163523">
        <w:rPr>
          <w:b/>
          <w:lang w:val="en-GB"/>
        </w:rPr>
        <w:t xml:space="preserve">severity </w:t>
      </w:r>
      <w:r w:rsidR="00E2214E" w:rsidRPr="00163523">
        <w:rPr>
          <w:b/>
          <w:lang w:val="en-GB"/>
        </w:rPr>
        <w:t>and likel</w:t>
      </w:r>
      <w:r w:rsidR="00C652C4" w:rsidRPr="00163523">
        <w:rPr>
          <w:b/>
          <w:lang w:val="en-GB"/>
        </w:rPr>
        <w:t xml:space="preserve">ihood </w:t>
      </w:r>
      <w:r w:rsidR="00071558" w:rsidRPr="00163523">
        <w:rPr>
          <w:b/>
          <w:lang w:val="en-GB"/>
        </w:rPr>
        <w:t>of this risk</w:t>
      </w:r>
      <w:r w:rsidR="00F136DD" w:rsidRPr="00163523">
        <w:rPr>
          <w:b/>
          <w:lang w:val="en-GB"/>
        </w:rPr>
        <w:t xml:space="preserve"> </w:t>
      </w:r>
      <w:r w:rsidR="005D3EE7" w:rsidRPr="00163523">
        <w:rPr>
          <w:b/>
          <w:lang w:val="en-GB"/>
        </w:rPr>
        <w:t>as ‘</w:t>
      </w:r>
      <w:r w:rsidR="00071558" w:rsidRPr="00163523">
        <w:rPr>
          <w:b/>
          <w:lang w:val="en-GB"/>
        </w:rPr>
        <w:t>medium</w:t>
      </w:r>
      <w:r w:rsidR="005D3EE7" w:rsidRPr="00163523">
        <w:rPr>
          <w:b/>
          <w:lang w:val="en-GB"/>
        </w:rPr>
        <w:t>’</w:t>
      </w:r>
      <w:r w:rsidR="003858CA" w:rsidRPr="00163523">
        <w:rPr>
          <w:lang w:val="en-GB"/>
        </w:rPr>
        <w:t xml:space="preserve">, but mitigation measures (mainly by harmonizing the gas quality specifications at regional level) can </w:t>
      </w:r>
      <w:r w:rsidR="0096205D" w:rsidRPr="00163523">
        <w:rPr>
          <w:lang w:val="en-GB"/>
        </w:rPr>
        <w:t xml:space="preserve">proactively </w:t>
      </w:r>
      <w:r w:rsidR="003858CA" w:rsidRPr="00163523">
        <w:rPr>
          <w:lang w:val="en-GB"/>
        </w:rPr>
        <w:t>be taken</w:t>
      </w:r>
      <w:r w:rsidR="00644D21" w:rsidRPr="00163523">
        <w:rPr>
          <w:lang w:val="en-GB"/>
        </w:rPr>
        <w:t xml:space="preserve"> to reduce the </w:t>
      </w:r>
      <w:r w:rsidR="002163E7" w:rsidRPr="00163523">
        <w:rPr>
          <w:lang w:val="en-GB"/>
        </w:rPr>
        <w:t xml:space="preserve">likelihood </w:t>
      </w:r>
      <w:r w:rsidR="0096205D" w:rsidRPr="00163523">
        <w:rPr>
          <w:lang w:val="en-GB"/>
        </w:rPr>
        <w:t>of the risk</w:t>
      </w:r>
      <w:r w:rsidR="00F136DD" w:rsidRPr="00163523">
        <w:rPr>
          <w:lang w:val="en-GB"/>
        </w:rPr>
        <w:t xml:space="preserve">. </w:t>
      </w:r>
      <w:r w:rsidR="009D6A6F" w:rsidRPr="00163523">
        <w:rPr>
          <w:lang w:val="en-GB"/>
        </w:rPr>
        <w:t>Th</w:t>
      </w:r>
      <w:r w:rsidR="008B7F4E" w:rsidRPr="00163523">
        <w:rPr>
          <w:lang w:val="en-GB"/>
        </w:rPr>
        <w:t>e</w:t>
      </w:r>
      <w:r w:rsidR="009D6A6F" w:rsidRPr="00163523">
        <w:rPr>
          <w:lang w:val="en-GB"/>
        </w:rPr>
        <w:t xml:space="preserve"> risk w</w:t>
      </w:r>
      <w:r w:rsidR="00997F0C" w:rsidRPr="00163523">
        <w:rPr>
          <w:lang w:val="en-GB"/>
        </w:rPr>
        <w:t xml:space="preserve">ill </w:t>
      </w:r>
      <w:r w:rsidR="002F742C" w:rsidRPr="00163523">
        <w:rPr>
          <w:lang w:val="en-GB"/>
        </w:rPr>
        <w:t xml:space="preserve">gradually occur </w:t>
      </w:r>
      <w:r w:rsidR="00997F0C" w:rsidRPr="00163523">
        <w:rPr>
          <w:lang w:val="en-GB"/>
        </w:rPr>
        <w:t>to the extent that n</w:t>
      </w:r>
      <w:r w:rsidR="0059645F" w:rsidRPr="00163523">
        <w:rPr>
          <w:lang w:val="en-GB"/>
        </w:rPr>
        <w:t xml:space="preserve">atural gas </w:t>
      </w:r>
      <w:r w:rsidR="00997F0C" w:rsidRPr="00163523">
        <w:rPr>
          <w:lang w:val="en-GB"/>
        </w:rPr>
        <w:t>will be</w:t>
      </w:r>
      <w:r w:rsidR="0059645F" w:rsidRPr="00163523">
        <w:rPr>
          <w:lang w:val="en-GB"/>
        </w:rPr>
        <w:t xml:space="preserve"> subs</w:t>
      </w:r>
      <w:r w:rsidR="00036E1B" w:rsidRPr="00163523">
        <w:rPr>
          <w:lang w:val="en-GB"/>
        </w:rPr>
        <w:t xml:space="preserve">tituted by </w:t>
      </w:r>
      <w:r w:rsidR="000371E9" w:rsidRPr="00163523">
        <w:rPr>
          <w:lang w:val="en-GB"/>
        </w:rPr>
        <w:t xml:space="preserve">renewable </w:t>
      </w:r>
      <w:r w:rsidR="00036E1B" w:rsidRPr="00163523">
        <w:rPr>
          <w:lang w:val="en-GB"/>
        </w:rPr>
        <w:t xml:space="preserve">gases (biomethane </w:t>
      </w:r>
      <w:r w:rsidR="00E938FB" w:rsidRPr="00163523">
        <w:rPr>
          <w:lang w:val="en-GB"/>
        </w:rPr>
        <w:t>and hydrogen) other than synthetic methane</w:t>
      </w:r>
      <w:r w:rsidR="008B7F4E" w:rsidRPr="00163523">
        <w:rPr>
          <w:lang w:val="en-GB"/>
        </w:rPr>
        <w:t xml:space="preserve">. </w:t>
      </w:r>
      <w:r w:rsidR="00290BA4" w:rsidRPr="00163523">
        <w:rPr>
          <w:lang w:val="en-GB"/>
        </w:rPr>
        <w:t xml:space="preserve">The </w:t>
      </w:r>
      <w:r w:rsidR="003E4C3E" w:rsidRPr="00163523">
        <w:rPr>
          <w:lang w:val="en-GB"/>
        </w:rPr>
        <w:t xml:space="preserve">qualitative </w:t>
      </w:r>
      <w:r w:rsidR="00053606" w:rsidRPr="00163523">
        <w:rPr>
          <w:lang w:val="en-GB"/>
        </w:rPr>
        <w:t xml:space="preserve">impacts </w:t>
      </w:r>
      <w:r w:rsidR="00290BA4" w:rsidRPr="00163523">
        <w:rPr>
          <w:lang w:val="en-GB"/>
        </w:rPr>
        <w:t xml:space="preserve">of early versus late occurrence </w:t>
      </w:r>
      <w:r w:rsidR="000C5EBA" w:rsidRPr="00163523">
        <w:rPr>
          <w:lang w:val="en-GB"/>
        </w:rPr>
        <w:t xml:space="preserve">of this risk </w:t>
      </w:r>
      <w:r w:rsidR="00053606" w:rsidRPr="00163523">
        <w:rPr>
          <w:lang w:val="en-GB"/>
        </w:rPr>
        <w:t>would be similar</w:t>
      </w:r>
      <w:r w:rsidR="00BE0628" w:rsidRPr="00163523">
        <w:rPr>
          <w:lang w:val="en-GB"/>
        </w:rPr>
        <w:t xml:space="preserve">, but </w:t>
      </w:r>
      <w:r w:rsidR="003E4C3E" w:rsidRPr="00163523">
        <w:rPr>
          <w:lang w:val="en-GB"/>
        </w:rPr>
        <w:t xml:space="preserve">late </w:t>
      </w:r>
      <w:r w:rsidR="00AC0666" w:rsidRPr="00163523">
        <w:rPr>
          <w:lang w:val="en-GB"/>
        </w:rPr>
        <w:t xml:space="preserve">occurrence </w:t>
      </w:r>
      <w:r w:rsidR="00AC0666" w:rsidRPr="00163523">
        <w:rPr>
          <w:lang w:val="en-GB"/>
        </w:rPr>
        <w:lastRenderedPageBreak/>
        <w:t xml:space="preserve">may have lower </w:t>
      </w:r>
      <w:r w:rsidR="006E305F" w:rsidRPr="00163523">
        <w:rPr>
          <w:lang w:val="en-GB"/>
        </w:rPr>
        <w:t>global</w:t>
      </w:r>
      <w:r w:rsidR="00AC0666" w:rsidRPr="00163523">
        <w:rPr>
          <w:lang w:val="en-GB"/>
        </w:rPr>
        <w:t xml:space="preserve"> impacts as the </w:t>
      </w:r>
      <w:r w:rsidR="003D7C0D" w:rsidRPr="00163523">
        <w:rPr>
          <w:lang w:val="en-GB"/>
        </w:rPr>
        <w:t xml:space="preserve">overall gas use is expected to decrease </w:t>
      </w:r>
      <w:r w:rsidR="006E305F" w:rsidRPr="00163523">
        <w:rPr>
          <w:lang w:val="en-GB"/>
        </w:rPr>
        <w:t>due to e</w:t>
      </w:r>
      <w:r w:rsidR="00D3238D" w:rsidRPr="00163523">
        <w:rPr>
          <w:lang w:val="en-GB"/>
        </w:rPr>
        <w:t>nergy saving measures and electrification</w:t>
      </w:r>
      <w:r w:rsidR="005B4F5F" w:rsidRPr="00163523">
        <w:rPr>
          <w:lang w:val="en-GB"/>
        </w:rPr>
        <w:t>.</w:t>
      </w:r>
    </w:p>
    <w:p w14:paraId="5807452F" w14:textId="77777777" w:rsidR="005B4F5F" w:rsidRPr="00163523" w:rsidRDefault="005B4F5F" w:rsidP="00290BA4">
      <w:pPr>
        <w:rPr>
          <w:lang w:val="en-GB"/>
        </w:rPr>
      </w:pPr>
    </w:p>
    <w:p w14:paraId="3580E9F1" w14:textId="77777777" w:rsidR="00637435" w:rsidRPr="00163523" w:rsidRDefault="005B4F5F" w:rsidP="005B4F5F">
      <w:pPr>
        <w:rPr>
          <w:lang w:val="en-GB"/>
        </w:rPr>
      </w:pPr>
      <w:r w:rsidRPr="00163523">
        <w:rPr>
          <w:lang w:val="en-GB"/>
        </w:rPr>
        <w:t>A</w:t>
      </w:r>
      <w:r w:rsidR="004B79C6" w:rsidRPr="00163523">
        <w:rPr>
          <w:lang w:val="en-GB"/>
        </w:rPr>
        <w:t xml:space="preserve">ll </w:t>
      </w:r>
      <w:r w:rsidRPr="00163523">
        <w:rPr>
          <w:lang w:val="en-GB"/>
        </w:rPr>
        <w:t xml:space="preserve">gas </w:t>
      </w:r>
      <w:r w:rsidR="004B79C6" w:rsidRPr="00163523">
        <w:rPr>
          <w:lang w:val="en-GB"/>
        </w:rPr>
        <w:t xml:space="preserve">decarbonisation scenarios </w:t>
      </w:r>
      <w:r w:rsidR="00C677C7" w:rsidRPr="00163523">
        <w:rPr>
          <w:lang w:val="en-GB"/>
        </w:rPr>
        <w:t>are affected</w:t>
      </w:r>
      <w:r w:rsidRPr="00163523">
        <w:rPr>
          <w:lang w:val="en-GB"/>
        </w:rPr>
        <w:t xml:space="preserve"> by this risk</w:t>
      </w:r>
      <w:r w:rsidR="00C677C7" w:rsidRPr="00163523">
        <w:rPr>
          <w:lang w:val="en-GB"/>
        </w:rPr>
        <w:t xml:space="preserve">, but the </w:t>
      </w:r>
      <w:r w:rsidR="00B7295E" w:rsidRPr="00163523">
        <w:rPr>
          <w:lang w:val="en-GB"/>
        </w:rPr>
        <w:t xml:space="preserve">methane based scenario would be the least affected while the </w:t>
      </w:r>
      <w:r w:rsidR="001D096B" w:rsidRPr="00163523">
        <w:rPr>
          <w:lang w:val="en-GB"/>
        </w:rPr>
        <w:t xml:space="preserve">hydrogen based </w:t>
      </w:r>
      <w:r w:rsidR="00057A76" w:rsidRPr="00163523">
        <w:rPr>
          <w:lang w:val="en-GB"/>
        </w:rPr>
        <w:t xml:space="preserve">scenario </w:t>
      </w:r>
      <w:r w:rsidR="001D096B" w:rsidRPr="00163523">
        <w:rPr>
          <w:lang w:val="en-GB"/>
        </w:rPr>
        <w:t>would be most impacted</w:t>
      </w:r>
      <w:r w:rsidR="009D06E9" w:rsidRPr="00163523">
        <w:rPr>
          <w:lang w:val="en-GB"/>
        </w:rPr>
        <w:t>.</w:t>
      </w:r>
      <w:r w:rsidR="00363F1D" w:rsidRPr="00163523">
        <w:rPr>
          <w:lang w:val="en-GB"/>
        </w:rPr>
        <w:t xml:space="preserve">  </w:t>
      </w:r>
      <w:r w:rsidR="009D06E9" w:rsidRPr="00163523">
        <w:rPr>
          <w:lang w:val="en-GB"/>
        </w:rPr>
        <w:t xml:space="preserve"> </w:t>
      </w:r>
    </w:p>
    <w:p w14:paraId="74E8B037" w14:textId="77777777" w:rsidR="00E834AE" w:rsidRPr="00163523" w:rsidRDefault="00E834AE" w:rsidP="005B4F5F">
      <w:pPr>
        <w:rPr>
          <w:lang w:val="en-GB"/>
        </w:rPr>
      </w:pPr>
    </w:p>
    <w:p w14:paraId="06E8B904" w14:textId="129CA0A5" w:rsidR="00920786" w:rsidRPr="00163523" w:rsidRDefault="00E834AE" w:rsidP="00E834AE">
      <w:pPr>
        <w:rPr>
          <w:lang w:val="en-GB"/>
        </w:rPr>
      </w:pPr>
      <w:r w:rsidRPr="00163523">
        <w:rPr>
          <w:lang w:val="en-GB"/>
        </w:rPr>
        <w:t xml:space="preserve">This </w:t>
      </w:r>
      <w:r w:rsidR="009854E8" w:rsidRPr="00163523">
        <w:rPr>
          <w:lang w:val="en-GB"/>
        </w:rPr>
        <w:t xml:space="preserve">risk will </w:t>
      </w:r>
      <w:r w:rsidR="00971D62" w:rsidRPr="00163523">
        <w:rPr>
          <w:lang w:val="en-GB"/>
        </w:rPr>
        <w:t xml:space="preserve">be </w:t>
      </w:r>
      <w:r w:rsidRPr="00163523">
        <w:rPr>
          <w:lang w:val="en-GB"/>
        </w:rPr>
        <w:t xml:space="preserve">the </w:t>
      </w:r>
      <w:r w:rsidR="0005477C" w:rsidRPr="00163523">
        <w:rPr>
          <w:lang w:val="en-GB"/>
        </w:rPr>
        <w:t>high</w:t>
      </w:r>
      <w:r w:rsidR="00DE70E5" w:rsidRPr="00163523">
        <w:rPr>
          <w:lang w:val="en-GB"/>
        </w:rPr>
        <w:t xml:space="preserve">est in </w:t>
      </w:r>
      <w:r w:rsidR="00004CE9" w:rsidRPr="00163523">
        <w:rPr>
          <w:lang w:val="en-GB"/>
        </w:rPr>
        <w:t xml:space="preserve">the BRGM </w:t>
      </w:r>
      <w:r w:rsidR="009854E8" w:rsidRPr="00163523">
        <w:rPr>
          <w:lang w:val="en-GB"/>
        </w:rPr>
        <w:t xml:space="preserve">countries with a </w:t>
      </w:r>
      <w:r w:rsidR="00351B3F" w:rsidRPr="00163523">
        <w:rPr>
          <w:lang w:val="en-GB"/>
        </w:rPr>
        <w:t xml:space="preserve">relatively </w:t>
      </w:r>
      <w:r w:rsidR="009854E8" w:rsidRPr="00163523">
        <w:rPr>
          <w:lang w:val="en-GB"/>
        </w:rPr>
        <w:t xml:space="preserve">high share of hydrogen (blended </w:t>
      </w:r>
      <w:r w:rsidR="00971D62" w:rsidRPr="00163523">
        <w:rPr>
          <w:lang w:val="en-GB"/>
        </w:rPr>
        <w:t>in methane networks or transported in ded</w:t>
      </w:r>
      <w:r w:rsidR="00CA55EC" w:rsidRPr="00163523">
        <w:rPr>
          <w:lang w:val="en-GB"/>
        </w:rPr>
        <w:t>icated pipelines)</w:t>
      </w:r>
      <w:r w:rsidR="00DE70E5" w:rsidRPr="00163523">
        <w:rPr>
          <w:lang w:val="en-GB"/>
        </w:rPr>
        <w:t>;</w:t>
      </w:r>
      <w:r w:rsidR="00351B3F" w:rsidRPr="00163523">
        <w:rPr>
          <w:lang w:val="en-GB"/>
        </w:rPr>
        <w:t xml:space="preserve"> </w:t>
      </w:r>
      <w:r w:rsidR="00C167D5" w:rsidRPr="00163523">
        <w:rPr>
          <w:lang w:val="en-GB"/>
        </w:rPr>
        <w:t>Lithuania and Finland</w:t>
      </w:r>
      <w:r w:rsidR="00DE70E5" w:rsidRPr="00163523">
        <w:rPr>
          <w:lang w:val="en-GB"/>
        </w:rPr>
        <w:t xml:space="preserve"> will hence be </w:t>
      </w:r>
      <w:r w:rsidR="00025121" w:rsidRPr="00163523">
        <w:rPr>
          <w:lang w:val="en-GB"/>
        </w:rPr>
        <w:t xml:space="preserve">relatively </w:t>
      </w:r>
      <w:r w:rsidR="00DE70E5" w:rsidRPr="00163523">
        <w:rPr>
          <w:lang w:val="en-GB"/>
        </w:rPr>
        <w:t>more expose</w:t>
      </w:r>
      <w:r w:rsidR="004F2D3B" w:rsidRPr="00163523">
        <w:rPr>
          <w:lang w:val="en-GB"/>
        </w:rPr>
        <w:t xml:space="preserve">d to this risk than the other 2 </w:t>
      </w:r>
      <w:r w:rsidR="00B030B5" w:rsidRPr="00163523">
        <w:rPr>
          <w:lang w:val="en-GB"/>
        </w:rPr>
        <w:t xml:space="preserve">BRGM </w:t>
      </w:r>
      <w:r w:rsidR="004F2D3B" w:rsidRPr="00163523">
        <w:rPr>
          <w:lang w:val="en-GB"/>
        </w:rPr>
        <w:t>countries</w:t>
      </w:r>
      <w:r w:rsidR="00364BAC" w:rsidRPr="00163523">
        <w:rPr>
          <w:lang w:val="en-GB"/>
        </w:rPr>
        <w:t xml:space="preserve">. </w:t>
      </w:r>
      <w:r w:rsidR="009D3F10" w:rsidRPr="00163523">
        <w:rPr>
          <w:lang w:val="en-GB"/>
        </w:rPr>
        <w:t xml:space="preserve"> </w:t>
      </w:r>
      <w:r w:rsidR="00920786" w:rsidRPr="00163523">
        <w:rPr>
          <w:lang w:val="en-GB"/>
        </w:rPr>
        <w:t xml:space="preserve"> </w:t>
      </w:r>
    </w:p>
    <w:p w14:paraId="2A509B9A" w14:textId="77777777" w:rsidR="00F63E15" w:rsidRPr="00DD2713" w:rsidRDefault="00F63E15" w:rsidP="00F63E15">
      <w:pPr>
        <w:rPr>
          <w:lang w:val="en-GB"/>
        </w:rPr>
      </w:pPr>
    </w:p>
    <w:tbl>
      <w:tblPr>
        <w:tblStyle w:val="Table1"/>
        <w:tblW w:w="8449" w:type="dxa"/>
        <w:tblLayout w:type="fixed"/>
        <w:tblLook w:val="04A0" w:firstRow="1" w:lastRow="0" w:firstColumn="1" w:lastColumn="0" w:noHBand="0" w:noVBand="1"/>
      </w:tblPr>
      <w:tblGrid>
        <w:gridCol w:w="2689"/>
        <w:gridCol w:w="864"/>
        <w:gridCol w:w="864"/>
        <w:gridCol w:w="865"/>
        <w:gridCol w:w="1731"/>
        <w:gridCol w:w="1436"/>
      </w:tblGrid>
      <w:tr w:rsidR="006E18C3" w:rsidRPr="00801E6C" w14:paraId="7D233B1F" w14:textId="77777777" w:rsidTr="0076227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89" w:type="dxa"/>
            <w:vMerge w:val="restart"/>
            <w:noWrap/>
          </w:tcPr>
          <w:p w14:paraId="7D21C873" w14:textId="77777777" w:rsidR="006E18C3" w:rsidRPr="00163523" w:rsidRDefault="006E18C3" w:rsidP="0076227C">
            <w:pPr>
              <w:keepNext/>
              <w:spacing w:line="240" w:lineRule="auto"/>
              <w:ind w:left="0"/>
              <w:rPr>
                <w:rFonts w:eastAsia="Times New Roman"/>
                <w:sz w:val="16"/>
                <w:szCs w:val="16"/>
                <w:lang w:val="en-GB" w:eastAsia="en-GB"/>
              </w:rPr>
            </w:pPr>
            <w:r w:rsidRPr="00163523">
              <w:rPr>
                <w:rFonts w:eastAsia="Arial"/>
                <w:sz w:val="16"/>
                <w:szCs w:val="16"/>
                <w:lang w:val="en-GB"/>
              </w:rPr>
              <w:t>Risk</w:t>
            </w:r>
          </w:p>
        </w:tc>
        <w:tc>
          <w:tcPr>
            <w:tcW w:w="2593" w:type="dxa"/>
            <w:gridSpan w:val="3"/>
          </w:tcPr>
          <w:p w14:paraId="1413E794" w14:textId="77777777" w:rsidR="006E18C3" w:rsidRPr="00163523" w:rsidRDefault="006E18C3" w:rsidP="0076227C">
            <w:pPr>
              <w:keepNext/>
              <w:spacing w:line="240" w:lineRule="auto"/>
              <w:ind w:left="0"/>
              <w:cnfStyle w:val="100000000000" w:firstRow="1" w:lastRow="0" w:firstColumn="0" w:lastColumn="0" w:oddVBand="0" w:evenVBand="0" w:oddHBand="0" w:evenHBand="0" w:firstRowFirstColumn="0" w:firstRowLastColumn="0" w:lastRowFirstColumn="0" w:lastRowLastColumn="0"/>
              <w:rPr>
                <w:rFonts w:eastAsia="Arial"/>
                <w:sz w:val="16"/>
                <w:szCs w:val="16"/>
                <w:lang w:val="en-GB"/>
              </w:rPr>
            </w:pPr>
            <w:r w:rsidRPr="00801E6C">
              <w:rPr>
                <w:rFonts w:eastAsia="Arial"/>
                <w:sz w:val="16"/>
                <w:szCs w:val="16"/>
                <w:lang w:val="en-GB"/>
              </w:rPr>
              <w:t>Applicable scenarios</w:t>
            </w:r>
          </w:p>
        </w:tc>
        <w:tc>
          <w:tcPr>
            <w:tcW w:w="1731" w:type="dxa"/>
            <w:vMerge w:val="restart"/>
            <w:noWrap/>
          </w:tcPr>
          <w:p w14:paraId="5AA7DFB9" w14:textId="77777777" w:rsidR="006E18C3" w:rsidRPr="00163523" w:rsidRDefault="006E18C3" w:rsidP="0076227C">
            <w:pPr>
              <w:keepNext/>
              <w:spacing w:line="240" w:lineRule="auto"/>
              <w:ind w:left="0"/>
              <w:cnfStyle w:val="100000000000" w:firstRow="1" w:lastRow="0" w:firstColumn="0" w:lastColumn="0" w:oddVBand="0" w:evenVBand="0" w:oddHBand="0" w:evenHBand="0" w:firstRowFirstColumn="0" w:firstRowLastColumn="0" w:lastRowFirstColumn="0" w:lastRowLastColumn="0"/>
              <w:rPr>
                <w:rFonts w:eastAsia="Times New Roman"/>
                <w:i/>
                <w:sz w:val="16"/>
                <w:szCs w:val="16"/>
                <w:lang w:val="en-GB" w:eastAsia="en-GB"/>
              </w:rPr>
            </w:pPr>
            <w:r w:rsidRPr="00163523">
              <w:rPr>
                <w:rFonts w:eastAsia="Arial"/>
                <w:sz w:val="16"/>
                <w:szCs w:val="16"/>
                <w:lang w:val="en-GB"/>
              </w:rPr>
              <w:t>Likelihood</w:t>
            </w:r>
          </w:p>
        </w:tc>
        <w:tc>
          <w:tcPr>
            <w:tcW w:w="1436" w:type="dxa"/>
            <w:vMerge w:val="restart"/>
            <w:noWrap/>
          </w:tcPr>
          <w:p w14:paraId="753E9691" w14:textId="77777777" w:rsidR="006E18C3" w:rsidRPr="00163523" w:rsidRDefault="006E18C3" w:rsidP="0076227C">
            <w:pPr>
              <w:keepNext/>
              <w:spacing w:line="240" w:lineRule="auto"/>
              <w:ind w:left="0"/>
              <w:cnfStyle w:val="100000000000" w:firstRow="1" w:lastRow="0" w:firstColumn="0" w:lastColumn="0" w:oddVBand="0" w:evenVBand="0" w:oddHBand="0" w:evenHBand="0" w:firstRowFirstColumn="0" w:firstRowLastColumn="0" w:lastRowFirstColumn="0" w:lastRowLastColumn="0"/>
              <w:rPr>
                <w:rFonts w:eastAsia="Times New Roman"/>
                <w:i/>
                <w:sz w:val="16"/>
                <w:szCs w:val="16"/>
                <w:lang w:val="en-GB" w:eastAsia="en-GB"/>
              </w:rPr>
            </w:pPr>
            <w:r w:rsidRPr="00163523">
              <w:rPr>
                <w:rFonts w:eastAsia="Arial"/>
                <w:sz w:val="16"/>
                <w:szCs w:val="16"/>
                <w:lang w:val="en-GB"/>
              </w:rPr>
              <w:t>Severity</w:t>
            </w:r>
          </w:p>
        </w:tc>
      </w:tr>
      <w:tr w:rsidR="006E18C3" w:rsidRPr="00801E6C" w14:paraId="7F6FBCF0" w14:textId="77777777" w:rsidTr="00097AD7">
        <w:trPr>
          <w:trHeight w:val="20"/>
        </w:trPr>
        <w:tc>
          <w:tcPr>
            <w:cnfStyle w:val="001000000000" w:firstRow="0" w:lastRow="0" w:firstColumn="1" w:lastColumn="0" w:oddVBand="0" w:evenVBand="0" w:oddHBand="0" w:evenHBand="0" w:firstRowFirstColumn="0" w:firstRowLastColumn="0" w:lastRowFirstColumn="0" w:lastRowLastColumn="0"/>
            <w:tcW w:w="2689" w:type="dxa"/>
            <w:vMerge/>
            <w:noWrap/>
          </w:tcPr>
          <w:p w14:paraId="4BA01D9B" w14:textId="77777777" w:rsidR="006E18C3" w:rsidRPr="00801E6C" w:rsidRDefault="006E18C3" w:rsidP="00097AD7">
            <w:pPr>
              <w:keepNext/>
              <w:spacing w:line="240" w:lineRule="auto"/>
              <w:ind w:left="0"/>
              <w:jc w:val="center"/>
              <w:rPr>
                <w:rFonts w:eastAsia="Arial"/>
                <w:sz w:val="16"/>
                <w:szCs w:val="16"/>
                <w:lang w:val="en-GB"/>
              </w:rPr>
            </w:pPr>
          </w:p>
        </w:tc>
        <w:tc>
          <w:tcPr>
            <w:tcW w:w="864" w:type="dxa"/>
          </w:tcPr>
          <w:p w14:paraId="0AFACFD8" w14:textId="77777777" w:rsidR="006E18C3" w:rsidRPr="00163523" w:rsidRDefault="006E18C3" w:rsidP="00097AD7">
            <w:pPr>
              <w:keepNext/>
              <w:spacing w:line="240" w:lineRule="auto"/>
              <w:ind w:left="0"/>
              <w:cnfStyle w:val="000000000000" w:firstRow="0" w:lastRow="0" w:firstColumn="0" w:lastColumn="0" w:oddVBand="0" w:evenVBand="0" w:oddHBand="0" w:evenHBand="0" w:firstRowFirstColumn="0" w:firstRowLastColumn="0" w:lastRowFirstColumn="0" w:lastRowLastColumn="0"/>
              <w:rPr>
                <w:rFonts w:eastAsia="Times New Roman"/>
                <w:b/>
                <w:color w:val="000000"/>
                <w:sz w:val="14"/>
                <w:szCs w:val="14"/>
                <w:lang w:val="en-GB" w:eastAsia="en-GB"/>
              </w:rPr>
            </w:pPr>
            <w:r w:rsidRPr="00163523">
              <w:rPr>
                <w:rFonts w:eastAsia="Arial"/>
                <w:sz w:val="14"/>
                <w:szCs w:val="14"/>
                <w:lang w:val="en-GB"/>
              </w:rPr>
              <w:t>REN-M</w:t>
            </w:r>
          </w:p>
        </w:tc>
        <w:tc>
          <w:tcPr>
            <w:tcW w:w="864" w:type="dxa"/>
          </w:tcPr>
          <w:p w14:paraId="53043C8D" w14:textId="77777777" w:rsidR="006E18C3" w:rsidRPr="00163523" w:rsidRDefault="006E18C3" w:rsidP="00097AD7">
            <w:pPr>
              <w:keepNext/>
              <w:spacing w:line="240" w:lineRule="auto"/>
              <w:ind w:left="0"/>
              <w:cnfStyle w:val="000000000000" w:firstRow="0" w:lastRow="0" w:firstColumn="0" w:lastColumn="0" w:oddVBand="0" w:evenVBand="0" w:oddHBand="0" w:evenHBand="0" w:firstRowFirstColumn="0" w:firstRowLastColumn="0" w:lastRowFirstColumn="0" w:lastRowLastColumn="0"/>
              <w:rPr>
                <w:rFonts w:eastAsia="Times New Roman"/>
                <w:b/>
                <w:color w:val="000000"/>
                <w:sz w:val="14"/>
                <w:szCs w:val="14"/>
                <w:lang w:val="en-GB" w:eastAsia="en-GB"/>
              </w:rPr>
            </w:pPr>
            <w:r w:rsidRPr="00163523">
              <w:rPr>
                <w:rFonts w:eastAsia="Arial"/>
                <w:sz w:val="14"/>
                <w:szCs w:val="14"/>
                <w:lang w:val="en-GB"/>
              </w:rPr>
              <w:t>REN-H</w:t>
            </w:r>
          </w:p>
        </w:tc>
        <w:tc>
          <w:tcPr>
            <w:tcW w:w="865" w:type="dxa"/>
          </w:tcPr>
          <w:p w14:paraId="6493D812" w14:textId="77777777" w:rsidR="006E18C3" w:rsidRPr="00163523" w:rsidRDefault="006E18C3" w:rsidP="00097AD7">
            <w:pPr>
              <w:keepNext/>
              <w:spacing w:line="240" w:lineRule="auto"/>
              <w:ind w:left="0"/>
              <w:cnfStyle w:val="000000000000" w:firstRow="0" w:lastRow="0" w:firstColumn="0" w:lastColumn="0" w:oddVBand="0" w:evenVBand="0" w:oddHBand="0" w:evenHBand="0" w:firstRowFirstColumn="0" w:firstRowLastColumn="0" w:lastRowFirstColumn="0" w:lastRowLastColumn="0"/>
              <w:rPr>
                <w:rFonts w:eastAsia="Times New Roman"/>
                <w:b/>
                <w:color w:val="000000"/>
                <w:sz w:val="14"/>
                <w:szCs w:val="14"/>
                <w:lang w:val="en-GB" w:eastAsia="en-GB"/>
              </w:rPr>
            </w:pPr>
            <w:r w:rsidRPr="00163523">
              <w:rPr>
                <w:rFonts w:eastAsia="Arial"/>
                <w:sz w:val="14"/>
                <w:szCs w:val="14"/>
                <w:lang w:val="en-GB"/>
              </w:rPr>
              <w:t>CM</w:t>
            </w:r>
          </w:p>
        </w:tc>
        <w:tc>
          <w:tcPr>
            <w:tcW w:w="1731" w:type="dxa"/>
            <w:vMerge/>
            <w:shd w:val="clear" w:color="auto" w:fill="F9B7AC" w:themeFill="accent2" w:themeFillTint="66"/>
            <w:noWrap/>
          </w:tcPr>
          <w:p w14:paraId="16D50521" w14:textId="77777777" w:rsidR="006E18C3" w:rsidRPr="00163523" w:rsidRDefault="006E18C3" w:rsidP="00097AD7">
            <w:pPr>
              <w:keepNext/>
              <w:spacing w:line="240" w:lineRule="auto"/>
              <w:ind w:left="0"/>
              <w:cnfStyle w:val="000000000000" w:firstRow="0" w:lastRow="0" w:firstColumn="0" w:lastColumn="0" w:oddVBand="0" w:evenVBand="0" w:oddHBand="0" w:evenHBand="0" w:firstRowFirstColumn="0" w:firstRowLastColumn="0" w:lastRowFirstColumn="0" w:lastRowLastColumn="0"/>
              <w:rPr>
                <w:rFonts w:eastAsia="Times New Roman"/>
                <w:b/>
                <w:color w:val="000000"/>
                <w:sz w:val="16"/>
                <w:szCs w:val="16"/>
                <w:lang w:val="en-GB" w:eastAsia="en-GB"/>
              </w:rPr>
            </w:pPr>
          </w:p>
        </w:tc>
        <w:tc>
          <w:tcPr>
            <w:tcW w:w="1436" w:type="dxa"/>
            <w:vMerge/>
            <w:shd w:val="clear" w:color="auto" w:fill="FFD57B" w:themeFill="accent4" w:themeFillShade="E6"/>
            <w:noWrap/>
          </w:tcPr>
          <w:p w14:paraId="05328D9F" w14:textId="77777777" w:rsidR="006E18C3" w:rsidRPr="00163523" w:rsidRDefault="006E18C3" w:rsidP="00097AD7">
            <w:pPr>
              <w:keepNext/>
              <w:spacing w:line="240" w:lineRule="auto"/>
              <w:ind w:left="0"/>
              <w:cnfStyle w:val="000000000000" w:firstRow="0" w:lastRow="0" w:firstColumn="0" w:lastColumn="0" w:oddVBand="0" w:evenVBand="0" w:oddHBand="0" w:evenHBand="0" w:firstRowFirstColumn="0" w:firstRowLastColumn="0" w:lastRowFirstColumn="0" w:lastRowLastColumn="0"/>
              <w:rPr>
                <w:rFonts w:eastAsia="Arial"/>
                <w:b/>
                <w:sz w:val="16"/>
                <w:szCs w:val="16"/>
                <w:lang w:val="en-GB"/>
              </w:rPr>
            </w:pPr>
          </w:p>
        </w:tc>
      </w:tr>
      <w:tr w:rsidR="006E18C3" w:rsidRPr="00801E6C" w14:paraId="245366E7" w14:textId="77777777" w:rsidTr="00097AD7">
        <w:trPr>
          <w:trHeight w:val="20"/>
        </w:trPr>
        <w:tc>
          <w:tcPr>
            <w:cnfStyle w:val="001000000000" w:firstRow="0" w:lastRow="0" w:firstColumn="1" w:lastColumn="0" w:oddVBand="0" w:evenVBand="0" w:oddHBand="0" w:evenHBand="0" w:firstRowFirstColumn="0" w:firstRowLastColumn="0" w:lastRowFirstColumn="0" w:lastRowLastColumn="0"/>
            <w:tcW w:w="2689" w:type="dxa"/>
            <w:noWrap/>
          </w:tcPr>
          <w:p w14:paraId="7CB03B85" w14:textId="5240ADB1" w:rsidR="006E18C3" w:rsidRPr="00801E6C" w:rsidRDefault="00886E17" w:rsidP="00097AD7">
            <w:pPr>
              <w:keepNext/>
              <w:spacing w:line="240" w:lineRule="auto"/>
              <w:ind w:left="0"/>
              <w:jc w:val="center"/>
              <w:rPr>
                <w:rFonts w:eastAsia="Times New Roman"/>
                <w:color w:val="000000"/>
                <w:sz w:val="16"/>
                <w:szCs w:val="16"/>
                <w:lang w:val="en-GB" w:eastAsia="en-GB"/>
              </w:rPr>
            </w:pPr>
            <w:r w:rsidRPr="00163523">
              <w:rPr>
                <w:sz w:val="16"/>
                <w:szCs w:val="16"/>
                <w:lang w:val="en-GB"/>
              </w:rPr>
              <w:t>Fragmentation of regional/national gas networks and markets</w:t>
            </w:r>
          </w:p>
        </w:tc>
        <w:tc>
          <w:tcPr>
            <w:tcW w:w="864" w:type="dxa"/>
          </w:tcPr>
          <w:p w14:paraId="5EBA9BAF" w14:textId="5CBEA7F2" w:rsidR="006E18C3" w:rsidRPr="00163523" w:rsidRDefault="006E18C3" w:rsidP="00097AD7">
            <w:pPr>
              <w:keepNext/>
              <w:spacing w:line="240" w:lineRule="auto"/>
              <w:ind w:left="0"/>
              <w:cnfStyle w:val="000000000000" w:firstRow="0" w:lastRow="0" w:firstColumn="0" w:lastColumn="0" w:oddVBand="0" w:evenVBand="0" w:oddHBand="0" w:evenHBand="0" w:firstRowFirstColumn="0" w:firstRowLastColumn="0" w:lastRowFirstColumn="0" w:lastRowLastColumn="0"/>
              <w:rPr>
                <w:rFonts w:eastAsia="Times New Roman"/>
                <w:b/>
                <w:color w:val="000000"/>
                <w:sz w:val="16"/>
                <w:szCs w:val="16"/>
                <w:lang w:val="en-GB" w:eastAsia="en-GB"/>
              </w:rPr>
            </w:pPr>
            <w:r w:rsidRPr="00163523">
              <w:rPr>
                <w:rFonts w:ascii="Wingdings" w:eastAsia="Wingdings" w:hAnsi="Wingdings" w:cs="Wingdings"/>
                <w:b/>
                <w:color w:val="000000"/>
                <w:sz w:val="16"/>
                <w:szCs w:val="16"/>
                <w:lang w:val="en-GB" w:eastAsia="en-GB"/>
              </w:rPr>
              <w:sym w:font="Wingdings" w:char="F0FC"/>
            </w:r>
          </w:p>
        </w:tc>
        <w:tc>
          <w:tcPr>
            <w:tcW w:w="864" w:type="dxa"/>
          </w:tcPr>
          <w:p w14:paraId="37F37AEA" w14:textId="77777777" w:rsidR="006E18C3" w:rsidRPr="00163523" w:rsidRDefault="006E18C3" w:rsidP="00097AD7">
            <w:pPr>
              <w:keepNext/>
              <w:spacing w:line="240" w:lineRule="auto"/>
              <w:ind w:left="0"/>
              <w:cnfStyle w:val="000000000000" w:firstRow="0" w:lastRow="0" w:firstColumn="0" w:lastColumn="0" w:oddVBand="0" w:evenVBand="0" w:oddHBand="0" w:evenHBand="0" w:firstRowFirstColumn="0" w:firstRowLastColumn="0" w:lastRowFirstColumn="0" w:lastRowLastColumn="0"/>
              <w:rPr>
                <w:rFonts w:eastAsia="Times New Roman"/>
                <w:b/>
                <w:color w:val="000000"/>
                <w:sz w:val="16"/>
                <w:szCs w:val="16"/>
                <w:lang w:val="en-GB" w:eastAsia="en-GB"/>
              </w:rPr>
            </w:pPr>
            <w:r w:rsidRPr="00163523">
              <w:rPr>
                <w:rFonts w:ascii="Wingdings" w:eastAsia="Wingdings" w:hAnsi="Wingdings" w:cs="Wingdings"/>
                <w:b/>
                <w:color w:val="000000"/>
                <w:sz w:val="16"/>
                <w:szCs w:val="16"/>
                <w:lang w:val="en-GB" w:eastAsia="en-GB"/>
              </w:rPr>
              <w:sym w:font="Wingdings" w:char="F0FC"/>
            </w:r>
            <w:r w:rsidRPr="00163523">
              <w:rPr>
                <w:rFonts w:ascii="Wingdings" w:eastAsia="Wingdings" w:hAnsi="Wingdings" w:cs="Wingdings"/>
                <w:b/>
                <w:color w:val="000000"/>
                <w:sz w:val="16"/>
                <w:szCs w:val="16"/>
                <w:lang w:val="en-GB" w:eastAsia="en-GB"/>
              </w:rPr>
              <w:sym w:font="Wingdings" w:char="F0FC"/>
            </w:r>
          </w:p>
        </w:tc>
        <w:tc>
          <w:tcPr>
            <w:tcW w:w="865" w:type="dxa"/>
          </w:tcPr>
          <w:p w14:paraId="12BF43E5" w14:textId="77777777" w:rsidR="006E18C3" w:rsidRPr="00163523" w:rsidRDefault="006E18C3" w:rsidP="00097AD7">
            <w:pPr>
              <w:keepNext/>
              <w:spacing w:line="240" w:lineRule="auto"/>
              <w:ind w:left="0"/>
              <w:cnfStyle w:val="000000000000" w:firstRow="0" w:lastRow="0" w:firstColumn="0" w:lastColumn="0" w:oddVBand="0" w:evenVBand="0" w:oddHBand="0" w:evenHBand="0" w:firstRowFirstColumn="0" w:firstRowLastColumn="0" w:lastRowFirstColumn="0" w:lastRowLastColumn="0"/>
              <w:rPr>
                <w:rFonts w:eastAsia="Times New Roman"/>
                <w:b/>
                <w:color w:val="000000"/>
                <w:sz w:val="16"/>
                <w:szCs w:val="16"/>
                <w:lang w:val="en-GB" w:eastAsia="en-GB"/>
              </w:rPr>
            </w:pPr>
            <w:r w:rsidRPr="00163523">
              <w:rPr>
                <w:rFonts w:ascii="Wingdings" w:eastAsia="Wingdings" w:hAnsi="Wingdings" w:cs="Wingdings"/>
                <w:b/>
                <w:color w:val="000000"/>
                <w:sz w:val="16"/>
                <w:szCs w:val="16"/>
                <w:lang w:val="en-GB" w:eastAsia="en-GB"/>
              </w:rPr>
              <w:sym w:font="Wingdings" w:char="F0FC"/>
            </w:r>
          </w:p>
        </w:tc>
        <w:tc>
          <w:tcPr>
            <w:tcW w:w="1731" w:type="dxa"/>
            <w:shd w:val="clear" w:color="auto" w:fill="FFD57B" w:themeFill="accent4" w:themeFillShade="E6"/>
            <w:noWrap/>
          </w:tcPr>
          <w:p w14:paraId="4E9C5659" w14:textId="046BAACD" w:rsidR="006E18C3" w:rsidRPr="00163523" w:rsidRDefault="00886E17" w:rsidP="00097AD7">
            <w:pPr>
              <w:keepNext/>
              <w:spacing w:line="240" w:lineRule="auto"/>
              <w:ind w:left="0"/>
              <w:cnfStyle w:val="000000000000" w:firstRow="0" w:lastRow="0" w:firstColumn="0" w:lastColumn="0" w:oddVBand="0" w:evenVBand="0" w:oddHBand="0" w:evenHBand="0" w:firstRowFirstColumn="0" w:firstRowLastColumn="0" w:lastRowFirstColumn="0" w:lastRowLastColumn="0"/>
              <w:rPr>
                <w:rFonts w:eastAsia="Times New Roman"/>
                <w:b/>
                <w:color w:val="000000"/>
                <w:sz w:val="16"/>
                <w:szCs w:val="16"/>
                <w:lang w:val="en-GB" w:eastAsia="en-GB"/>
              </w:rPr>
            </w:pPr>
            <w:r w:rsidRPr="00163523">
              <w:rPr>
                <w:rFonts w:eastAsia="Arial"/>
                <w:b/>
                <w:sz w:val="16"/>
                <w:szCs w:val="16"/>
                <w:lang w:val="en-GB"/>
              </w:rPr>
              <w:t>Medium</w:t>
            </w:r>
          </w:p>
        </w:tc>
        <w:tc>
          <w:tcPr>
            <w:tcW w:w="1436" w:type="dxa"/>
            <w:shd w:val="clear" w:color="auto" w:fill="FFD57B" w:themeFill="accent4" w:themeFillShade="E6"/>
            <w:noWrap/>
          </w:tcPr>
          <w:p w14:paraId="5EA969F9" w14:textId="77777777" w:rsidR="006E18C3" w:rsidRPr="00163523" w:rsidRDefault="006E18C3" w:rsidP="00097AD7">
            <w:pPr>
              <w:keepNext/>
              <w:spacing w:line="240" w:lineRule="auto"/>
              <w:ind w:left="0"/>
              <w:cnfStyle w:val="000000000000" w:firstRow="0" w:lastRow="0" w:firstColumn="0" w:lastColumn="0" w:oddVBand="0" w:evenVBand="0" w:oddHBand="0" w:evenHBand="0" w:firstRowFirstColumn="0" w:firstRowLastColumn="0" w:lastRowFirstColumn="0" w:lastRowLastColumn="0"/>
              <w:rPr>
                <w:rFonts w:eastAsia="Times New Roman"/>
                <w:b/>
                <w:i/>
                <w:color w:val="000000"/>
                <w:sz w:val="16"/>
                <w:szCs w:val="16"/>
                <w:lang w:val="en-GB" w:eastAsia="en-GB"/>
              </w:rPr>
            </w:pPr>
            <w:r w:rsidRPr="00163523">
              <w:rPr>
                <w:rFonts w:eastAsia="Arial"/>
                <w:b/>
                <w:sz w:val="16"/>
                <w:szCs w:val="16"/>
                <w:lang w:val="en-GB"/>
              </w:rPr>
              <w:t>Medium</w:t>
            </w:r>
          </w:p>
        </w:tc>
      </w:tr>
    </w:tbl>
    <w:p w14:paraId="1FBBA7D1" w14:textId="77777777" w:rsidR="006E18C3" w:rsidRPr="00163523" w:rsidRDefault="006E18C3" w:rsidP="00F63E15">
      <w:pPr>
        <w:rPr>
          <w:lang w:val="en-GB"/>
        </w:rPr>
      </w:pPr>
    </w:p>
    <w:p w14:paraId="716E2195" w14:textId="77777777" w:rsidR="00F63E15" w:rsidRPr="00163523" w:rsidRDefault="00F63E15" w:rsidP="00F63E15">
      <w:pPr>
        <w:pStyle w:val="Kop4"/>
        <w:rPr>
          <w:lang w:val="en-GB"/>
        </w:rPr>
      </w:pPr>
      <w:r>
        <w:rPr>
          <w:lang w:val="en-GB"/>
        </w:rPr>
        <w:t xml:space="preserve">Potential </w:t>
      </w:r>
      <w:r w:rsidRPr="00163523">
        <w:rPr>
          <w:lang w:val="en-GB"/>
        </w:rPr>
        <w:t>mitigation measures</w:t>
      </w:r>
    </w:p>
    <w:p w14:paraId="05DDE508" w14:textId="562A5666" w:rsidR="001A3614" w:rsidRPr="00163523" w:rsidRDefault="006425CC" w:rsidP="00F63E15">
      <w:pPr>
        <w:rPr>
          <w:lang w:val="en-GB"/>
        </w:rPr>
      </w:pPr>
      <w:r w:rsidRPr="00163523">
        <w:rPr>
          <w:lang w:val="en-GB"/>
        </w:rPr>
        <w:t xml:space="preserve">The following measures </w:t>
      </w:r>
      <w:r w:rsidR="00F266CE" w:rsidRPr="00163523">
        <w:rPr>
          <w:lang w:val="en-GB"/>
        </w:rPr>
        <w:t>can</w:t>
      </w:r>
      <w:r w:rsidR="001A3614" w:rsidRPr="00163523">
        <w:rPr>
          <w:lang w:val="en-GB"/>
        </w:rPr>
        <w:t xml:space="preserve"> be considered to reduce the likelihood and</w:t>
      </w:r>
      <w:r w:rsidR="00E92B1F" w:rsidRPr="00163523">
        <w:rPr>
          <w:lang w:val="en-GB"/>
        </w:rPr>
        <w:t>/or</w:t>
      </w:r>
      <w:r w:rsidR="001A3614" w:rsidRPr="00163523">
        <w:rPr>
          <w:lang w:val="en-GB"/>
        </w:rPr>
        <w:t xml:space="preserve"> severity of this risk:</w:t>
      </w:r>
    </w:p>
    <w:p w14:paraId="52DB1AC9" w14:textId="72B8F192" w:rsidR="00792C25" w:rsidRPr="00DE1F76" w:rsidRDefault="001A3614" w:rsidP="00DE1F76">
      <w:pPr>
        <w:pStyle w:val="Lijstalinea"/>
        <w:numPr>
          <w:ilvl w:val="0"/>
          <w:numId w:val="42"/>
        </w:numPr>
      </w:pPr>
      <w:r w:rsidRPr="00DE1F76">
        <w:t xml:space="preserve">Coordinated </w:t>
      </w:r>
      <w:r w:rsidR="00F4708A" w:rsidRPr="00DE1F76">
        <w:t xml:space="preserve">supra-national </w:t>
      </w:r>
      <w:r w:rsidRPr="00DE1F76">
        <w:t xml:space="preserve">planning of </w:t>
      </w:r>
      <w:r w:rsidR="0093458D" w:rsidRPr="00DE1F76">
        <w:t xml:space="preserve">methane network </w:t>
      </w:r>
      <w:r w:rsidR="00145424" w:rsidRPr="00DE1F76">
        <w:t>investments (refurbishment, repu</w:t>
      </w:r>
      <w:r w:rsidR="0093458D" w:rsidRPr="00DE1F76">
        <w:t xml:space="preserve">rposing, </w:t>
      </w:r>
      <w:r w:rsidR="00F4708A" w:rsidRPr="00DE1F76">
        <w:t xml:space="preserve">other adaptations) </w:t>
      </w:r>
      <w:r w:rsidR="00792C25" w:rsidRPr="00DE1F76">
        <w:t>and of hydrogen network investments</w:t>
      </w:r>
      <w:r w:rsidR="00944279" w:rsidRPr="00DE1F76">
        <w:t>.</w:t>
      </w:r>
    </w:p>
    <w:p w14:paraId="09F2D98D" w14:textId="7242CBBF" w:rsidR="002F058A" w:rsidRPr="00163523" w:rsidRDefault="00E15588" w:rsidP="00DE1F76">
      <w:pPr>
        <w:pStyle w:val="Lijstalinea"/>
        <w:numPr>
          <w:ilvl w:val="0"/>
          <w:numId w:val="42"/>
        </w:numPr>
      </w:pPr>
      <w:r w:rsidRPr="00163523">
        <w:t>Fully h</w:t>
      </w:r>
      <w:r w:rsidR="008D2F2A" w:rsidRPr="00163523">
        <w:t xml:space="preserve">armonised </w:t>
      </w:r>
      <w:r w:rsidR="004E42F9" w:rsidRPr="00163523">
        <w:t xml:space="preserve">(at </w:t>
      </w:r>
      <w:r w:rsidRPr="00163523">
        <w:t>Ba</w:t>
      </w:r>
      <w:r w:rsidR="00A555ED" w:rsidRPr="00163523">
        <w:t xml:space="preserve">ltic regional </w:t>
      </w:r>
      <w:r w:rsidR="004E42F9" w:rsidRPr="00163523">
        <w:t xml:space="preserve">level) </w:t>
      </w:r>
      <w:r w:rsidR="00705837" w:rsidRPr="00163523">
        <w:t xml:space="preserve">gas quality specifications </w:t>
      </w:r>
      <w:r w:rsidR="004E42F9" w:rsidRPr="00163523">
        <w:t xml:space="preserve">for methane networks, hydrogen blending </w:t>
      </w:r>
      <w:r w:rsidR="00AD6667" w:rsidRPr="00163523">
        <w:t xml:space="preserve">in methane networks and </w:t>
      </w:r>
      <w:r w:rsidR="00A75D08" w:rsidRPr="00163523">
        <w:t xml:space="preserve">for </w:t>
      </w:r>
      <w:r w:rsidR="002F058A" w:rsidRPr="00163523">
        <w:t>dedicated hydrogen networks</w:t>
      </w:r>
      <w:r w:rsidR="00617886" w:rsidRPr="00163523">
        <w:t xml:space="preserve">. </w:t>
      </w:r>
      <w:r w:rsidR="00270638" w:rsidRPr="00163523">
        <w:t xml:space="preserve">As the </w:t>
      </w:r>
      <w:r w:rsidR="00617886" w:rsidRPr="00163523">
        <w:t xml:space="preserve">current </w:t>
      </w:r>
      <w:r w:rsidR="00182CB3" w:rsidRPr="00163523">
        <w:t>g</w:t>
      </w:r>
      <w:r w:rsidR="00617886" w:rsidRPr="00163523">
        <w:t xml:space="preserve">as quality specifications </w:t>
      </w:r>
      <w:r w:rsidR="00355CB6" w:rsidRPr="00163523">
        <w:t xml:space="preserve">(oxygen content) </w:t>
      </w:r>
      <w:r w:rsidR="00617886" w:rsidRPr="00163523">
        <w:t>for the trans</w:t>
      </w:r>
      <w:r w:rsidR="00355CB6" w:rsidRPr="00163523">
        <w:t xml:space="preserve">port </w:t>
      </w:r>
      <w:r w:rsidR="00617886" w:rsidRPr="00163523">
        <w:t xml:space="preserve">grid </w:t>
      </w:r>
      <w:r w:rsidR="00BB73DF" w:rsidRPr="00163523">
        <w:t xml:space="preserve">are considered as a </w:t>
      </w:r>
      <w:r w:rsidR="00617886" w:rsidRPr="00163523">
        <w:t>barrier</w:t>
      </w:r>
      <w:r w:rsidR="00BB73DF" w:rsidRPr="00163523">
        <w:t xml:space="preserve"> for </w:t>
      </w:r>
      <w:r w:rsidR="00617886" w:rsidRPr="00163523">
        <w:t>biomethane injection</w:t>
      </w:r>
      <w:r w:rsidR="00BB73DF" w:rsidRPr="00163523">
        <w:t xml:space="preserve">, the </w:t>
      </w:r>
      <w:r w:rsidR="00E07915" w:rsidRPr="00163523">
        <w:t xml:space="preserve">implementation of </w:t>
      </w:r>
      <w:r w:rsidR="00FC466B" w:rsidRPr="00163523">
        <w:t xml:space="preserve">harmonized specifications should also </w:t>
      </w:r>
      <w:r w:rsidR="0039458A" w:rsidRPr="00163523">
        <w:t xml:space="preserve">address </w:t>
      </w:r>
      <w:r w:rsidR="00FC466B" w:rsidRPr="00163523">
        <w:t>this aspect</w:t>
      </w:r>
      <w:r w:rsidR="0039458A" w:rsidRPr="00163523">
        <w:t xml:space="preserve">. </w:t>
      </w:r>
      <w:r w:rsidR="001727F5" w:rsidRPr="00163523">
        <w:t xml:space="preserve">The </w:t>
      </w:r>
      <w:r w:rsidR="00BB449F" w:rsidRPr="00163523">
        <w:t>prop</w:t>
      </w:r>
      <w:r w:rsidR="008D0EE7" w:rsidRPr="00163523">
        <w:t xml:space="preserve">osed </w:t>
      </w:r>
      <w:r w:rsidR="001727F5" w:rsidRPr="00163523">
        <w:t xml:space="preserve">EU gas package </w:t>
      </w:r>
      <w:r w:rsidR="003E0AC8" w:rsidRPr="00163523">
        <w:t xml:space="preserve">that is currently </w:t>
      </w:r>
      <w:r w:rsidR="00DF5D29" w:rsidRPr="00163523">
        <w:t xml:space="preserve">in the approval phase </w:t>
      </w:r>
      <w:r w:rsidR="004F0466" w:rsidRPr="00163523">
        <w:t>is exp</w:t>
      </w:r>
      <w:r w:rsidR="00647969" w:rsidRPr="00163523">
        <w:t>ected to</w:t>
      </w:r>
      <w:r w:rsidR="001727F5" w:rsidRPr="00163523">
        <w:t xml:space="preserve"> </w:t>
      </w:r>
      <w:r w:rsidR="00B31A1D" w:rsidRPr="00163523">
        <w:t>introduce n</w:t>
      </w:r>
      <w:r w:rsidR="00204929" w:rsidRPr="00163523">
        <w:t xml:space="preserve">ew rules requiring firm </w:t>
      </w:r>
      <w:r w:rsidR="007A4D02" w:rsidRPr="00163523">
        <w:t>network</w:t>
      </w:r>
      <w:r w:rsidR="002C3585" w:rsidRPr="00163523">
        <w:t xml:space="preserve"> </w:t>
      </w:r>
      <w:r w:rsidR="00681DB8" w:rsidRPr="00163523">
        <w:t xml:space="preserve">access </w:t>
      </w:r>
      <w:r w:rsidR="00204929" w:rsidRPr="00163523">
        <w:t>capacity for hydrogen and renewable gases, hydrogen blending with other gases (including an obligation for TSOs to accept a hydrogen content of up to 5 % from 1 October 2025), and cross-border coordination on gas quality (assisted by an ENTSOG monitoring report on gas quality every 2 years). These new firm capacity requirements will apply to both TSOs and DSOs</w:t>
      </w:r>
      <w:r w:rsidR="00673DFD" w:rsidRPr="00163523">
        <w:t>.</w:t>
      </w:r>
      <w:r w:rsidR="003242D2" w:rsidRPr="00163523">
        <w:rPr>
          <w:rStyle w:val="Voetnootmarkering"/>
        </w:rPr>
        <w:footnoteReference w:id="37"/>
      </w:r>
      <w:r w:rsidR="00673DFD" w:rsidRPr="00163523">
        <w:t xml:space="preserve"> </w:t>
      </w:r>
      <w:r w:rsidR="00DE5E41" w:rsidRPr="00163523">
        <w:t xml:space="preserve">The transposition of these new rules in national </w:t>
      </w:r>
      <w:r w:rsidR="00A040CA" w:rsidRPr="00163523">
        <w:t xml:space="preserve">legislation and regulation in the Baltic countries will have to be properly </w:t>
      </w:r>
      <w:r w:rsidR="00003B58" w:rsidRPr="00163523">
        <w:t xml:space="preserve">coordinated and harmonized in order to avoid </w:t>
      </w:r>
      <w:r w:rsidR="009D4999" w:rsidRPr="00163523">
        <w:t xml:space="preserve">market fragmentation, which </w:t>
      </w:r>
      <w:r w:rsidR="003F6BD3" w:rsidRPr="00163523">
        <w:t xml:space="preserve">would also hinder security of gas supply. </w:t>
      </w:r>
      <w:r w:rsidR="009D4999" w:rsidRPr="00163523">
        <w:t xml:space="preserve"> </w:t>
      </w:r>
    </w:p>
    <w:p w14:paraId="77C81A52" w14:textId="1C103138" w:rsidR="00F63E15" w:rsidRPr="001C1ED7" w:rsidRDefault="002F058A" w:rsidP="00DE1F76">
      <w:pPr>
        <w:pStyle w:val="Lijstalinea"/>
        <w:numPr>
          <w:ilvl w:val="0"/>
          <w:numId w:val="42"/>
        </w:numPr>
      </w:pPr>
      <w:r w:rsidRPr="00163523">
        <w:t xml:space="preserve">Consider the possibility of </w:t>
      </w:r>
      <w:r w:rsidR="00BF28D2" w:rsidRPr="00163523">
        <w:t xml:space="preserve">creating </w:t>
      </w:r>
      <w:r w:rsidR="009A1030" w:rsidRPr="00163523">
        <w:t xml:space="preserve">a </w:t>
      </w:r>
      <w:r w:rsidR="00BF28D2" w:rsidRPr="00163523">
        <w:t xml:space="preserve">regional </w:t>
      </w:r>
      <w:r w:rsidR="008D142E" w:rsidRPr="00163523">
        <w:t xml:space="preserve">virtual </w:t>
      </w:r>
      <w:r w:rsidR="00BF28D2" w:rsidRPr="00163523">
        <w:t xml:space="preserve">trade hub for renewable hydrogen and biomethane </w:t>
      </w:r>
      <w:r w:rsidR="00C375E6" w:rsidRPr="00163523">
        <w:t xml:space="preserve">in order to enhance </w:t>
      </w:r>
      <w:r w:rsidR="00815045" w:rsidRPr="00163523">
        <w:t xml:space="preserve">the </w:t>
      </w:r>
      <w:r w:rsidR="00416272" w:rsidRPr="00163523">
        <w:t xml:space="preserve">market </w:t>
      </w:r>
      <w:r w:rsidR="00C375E6" w:rsidRPr="00163523">
        <w:t>liquidity and competiti</w:t>
      </w:r>
      <w:r w:rsidR="00416272" w:rsidRPr="00163523">
        <w:t>on and to have a transparent price formation system</w:t>
      </w:r>
      <w:r w:rsidR="00F266CE" w:rsidRPr="00163523">
        <w:t>.</w:t>
      </w:r>
    </w:p>
    <w:p w14:paraId="08F74841" w14:textId="77777777" w:rsidR="00F63E15" w:rsidRDefault="00F63E15" w:rsidP="000C0A9C">
      <w:pPr>
        <w:rPr>
          <w:lang w:val="en-GB"/>
        </w:rPr>
      </w:pPr>
    </w:p>
    <w:p w14:paraId="1F2B5D6B" w14:textId="1D10AB74" w:rsidR="00CD30AD" w:rsidRPr="00CE0AC5" w:rsidRDefault="00F63E15" w:rsidP="00CE0AC5">
      <w:pPr>
        <w:pStyle w:val="Kop2"/>
      </w:pPr>
      <w:bookmarkStart w:id="50" w:name="_Ref137116838"/>
      <w:bookmarkStart w:id="51" w:name="_Toc138492605"/>
      <w:bookmarkStart w:id="52" w:name="_Hlk138344405"/>
      <w:bookmarkStart w:id="53" w:name="_Toc144803012"/>
      <w:r>
        <w:t xml:space="preserve">Risk 6: </w:t>
      </w:r>
      <w:r w:rsidR="00770242">
        <w:t>Gas network and storage i</w:t>
      </w:r>
      <w:r w:rsidRPr="00F63E15">
        <w:t>nfrastructure cannot be adequately or timely developed, including repurposing or adaptation of natural gas infrastructure</w:t>
      </w:r>
      <w:bookmarkEnd w:id="50"/>
      <w:bookmarkEnd w:id="51"/>
      <w:bookmarkEnd w:id="53"/>
    </w:p>
    <w:p w14:paraId="339B45D3" w14:textId="10157601" w:rsidR="00F63E15" w:rsidRPr="00163523" w:rsidRDefault="00F63E15" w:rsidP="00F63E15">
      <w:pPr>
        <w:pStyle w:val="Kop4"/>
        <w:rPr>
          <w:lang w:val="en-GB"/>
        </w:rPr>
      </w:pPr>
      <w:r>
        <w:rPr>
          <w:lang w:val="en-GB"/>
        </w:rPr>
        <w:t>D</w:t>
      </w:r>
      <w:r w:rsidRPr="00163523">
        <w:rPr>
          <w:lang w:val="en-GB"/>
        </w:rPr>
        <w:t xml:space="preserve">escription of the risk, </w:t>
      </w:r>
      <w:r w:rsidR="00803ADE" w:rsidRPr="00163523">
        <w:rPr>
          <w:lang w:val="en-GB"/>
        </w:rPr>
        <w:t>covering the Baltic Regional Gas Market</w:t>
      </w:r>
    </w:p>
    <w:p w14:paraId="66D2916F" w14:textId="25025D66" w:rsidR="00F63E15" w:rsidRPr="00163523" w:rsidRDefault="005A4834" w:rsidP="00F63E15">
      <w:pPr>
        <w:rPr>
          <w:lang w:val="en-GB"/>
        </w:rPr>
      </w:pPr>
      <w:r w:rsidRPr="00163523">
        <w:rPr>
          <w:lang w:val="en-GB"/>
        </w:rPr>
        <w:t xml:space="preserve">The implementation of gas </w:t>
      </w:r>
      <w:r w:rsidR="0095163E" w:rsidRPr="00163523">
        <w:rPr>
          <w:lang w:val="en-GB"/>
        </w:rPr>
        <w:t>decarboni</w:t>
      </w:r>
      <w:r w:rsidR="003A50C8" w:rsidRPr="00163523">
        <w:rPr>
          <w:lang w:val="en-GB"/>
        </w:rPr>
        <w:t>s</w:t>
      </w:r>
      <w:r w:rsidR="0095163E" w:rsidRPr="00163523">
        <w:rPr>
          <w:lang w:val="en-GB"/>
        </w:rPr>
        <w:t xml:space="preserve">ation </w:t>
      </w:r>
      <w:r w:rsidR="003A50C8" w:rsidRPr="00163523">
        <w:rPr>
          <w:lang w:val="en-GB"/>
        </w:rPr>
        <w:t xml:space="preserve">measures may be </w:t>
      </w:r>
      <w:r w:rsidR="00E567DA" w:rsidRPr="00163523">
        <w:rPr>
          <w:lang w:val="en-GB"/>
        </w:rPr>
        <w:t xml:space="preserve">hindered or </w:t>
      </w:r>
      <w:r w:rsidR="003A50C8" w:rsidRPr="00163523">
        <w:rPr>
          <w:lang w:val="en-GB"/>
        </w:rPr>
        <w:t xml:space="preserve">delayed by </w:t>
      </w:r>
      <w:r w:rsidR="00E567DA" w:rsidRPr="00163523">
        <w:rPr>
          <w:lang w:val="en-GB"/>
        </w:rPr>
        <w:t xml:space="preserve">long lead times to </w:t>
      </w:r>
      <w:r w:rsidR="00CE364C" w:rsidRPr="00163523">
        <w:rPr>
          <w:lang w:val="en-GB"/>
        </w:rPr>
        <w:t xml:space="preserve">build </w:t>
      </w:r>
      <w:r w:rsidR="009B5C35" w:rsidRPr="00163523">
        <w:rPr>
          <w:lang w:val="en-GB"/>
        </w:rPr>
        <w:t xml:space="preserve">new </w:t>
      </w:r>
      <w:r w:rsidR="00E022D4" w:rsidRPr="00163523">
        <w:rPr>
          <w:lang w:val="en-GB"/>
        </w:rPr>
        <w:t xml:space="preserve">dedicated hydrogen </w:t>
      </w:r>
      <w:r w:rsidR="009B5C35" w:rsidRPr="00163523">
        <w:rPr>
          <w:lang w:val="en-GB"/>
        </w:rPr>
        <w:t xml:space="preserve">infrastructure </w:t>
      </w:r>
      <w:r w:rsidR="00CE364C" w:rsidRPr="00163523">
        <w:rPr>
          <w:lang w:val="en-GB"/>
        </w:rPr>
        <w:t xml:space="preserve">or </w:t>
      </w:r>
      <w:r w:rsidR="009B5C35" w:rsidRPr="00163523">
        <w:rPr>
          <w:lang w:val="en-GB"/>
        </w:rPr>
        <w:t>refurbish/rep</w:t>
      </w:r>
      <w:r w:rsidR="00E022D4" w:rsidRPr="00163523">
        <w:rPr>
          <w:lang w:val="en-GB"/>
        </w:rPr>
        <w:t>urpose existing methane</w:t>
      </w:r>
      <w:r w:rsidR="00CE364C" w:rsidRPr="00163523">
        <w:rPr>
          <w:lang w:val="en-GB"/>
        </w:rPr>
        <w:t xml:space="preserve"> </w:t>
      </w:r>
      <w:r w:rsidR="00D521AE" w:rsidRPr="00163523">
        <w:rPr>
          <w:lang w:val="en-GB"/>
        </w:rPr>
        <w:t>infrastructure</w:t>
      </w:r>
      <w:r w:rsidR="006425D8" w:rsidRPr="00163523">
        <w:rPr>
          <w:lang w:val="en-GB"/>
        </w:rPr>
        <w:t>, which can be exa</w:t>
      </w:r>
      <w:r w:rsidR="00F44720" w:rsidRPr="00163523">
        <w:rPr>
          <w:lang w:val="en-GB"/>
        </w:rPr>
        <w:t>c</w:t>
      </w:r>
      <w:r w:rsidR="00F1181E" w:rsidRPr="00163523">
        <w:rPr>
          <w:lang w:val="en-GB"/>
        </w:rPr>
        <w:t>e</w:t>
      </w:r>
      <w:r w:rsidR="008506F2" w:rsidRPr="00163523">
        <w:rPr>
          <w:lang w:val="en-GB"/>
        </w:rPr>
        <w:t>r</w:t>
      </w:r>
      <w:r w:rsidR="00F1181E" w:rsidRPr="00163523">
        <w:rPr>
          <w:lang w:val="en-GB"/>
        </w:rPr>
        <w:t xml:space="preserve">bated by the lack of </w:t>
      </w:r>
      <w:r w:rsidR="00695E44" w:rsidRPr="00163523">
        <w:rPr>
          <w:lang w:val="en-GB"/>
        </w:rPr>
        <w:t xml:space="preserve">an </w:t>
      </w:r>
      <w:r w:rsidR="00EF1CFE" w:rsidRPr="00163523">
        <w:rPr>
          <w:lang w:val="en-GB"/>
        </w:rPr>
        <w:t>adequate planning process at the regional level.</w:t>
      </w:r>
      <w:r w:rsidR="00695E44" w:rsidRPr="00163523">
        <w:rPr>
          <w:lang w:val="en-GB"/>
        </w:rPr>
        <w:t xml:space="preserve"> </w:t>
      </w:r>
      <w:r w:rsidR="00C566FC" w:rsidRPr="00163523">
        <w:rPr>
          <w:lang w:val="en-GB"/>
        </w:rPr>
        <w:t xml:space="preserve">The gas decarbonisation process presents </w:t>
      </w:r>
      <w:r w:rsidR="00695E44" w:rsidRPr="00163523">
        <w:rPr>
          <w:lang w:val="en-GB"/>
        </w:rPr>
        <w:t xml:space="preserve">indeed </w:t>
      </w:r>
      <w:r w:rsidR="00C566FC" w:rsidRPr="00163523">
        <w:rPr>
          <w:lang w:val="en-GB"/>
        </w:rPr>
        <w:t xml:space="preserve">an existential threat particularly for existing methane </w:t>
      </w:r>
      <w:r w:rsidR="00C566FC" w:rsidRPr="00163523">
        <w:rPr>
          <w:lang w:val="en-GB"/>
        </w:rPr>
        <w:lastRenderedPageBreak/>
        <w:t>networks</w:t>
      </w:r>
      <w:r w:rsidR="00A04177" w:rsidRPr="00163523">
        <w:rPr>
          <w:lang w:val="en-GB"/>
        </w:rPr>
        <w:t xml:space="preserve">, </w:t>
      </w:r>
      <w:r w:rsidR="000646E4" w:rsidRPr="00163523">
        <w:rPr>
          <w:lang w:val="en-GB"/>
        </w:rPr>
        <w:t>a</w:t>
      </w:r>
      <w:r w:rsidR="00D12FDC" w:rsidRPr="00163523">
        <w:rPr>
          <w:lang w:val="en-GB"/>
        </w:rPr>
        <w:t>nd</w:t>
      </w:r>
      <w:r w:rsidR="00A04177" w:rsidRPr="00163523">
        <w:rPr>
          <w:lang w:val="en-GB"/>
        </w:rPr>
        <w:t xml:space="preserve"> private </w:t>
      </w:r>
      <w:r w:rsidR="00D77AB2" w:rsidRPr="00163523">
        <w:rPr>
          <w:lang w:val="en-GB"/>
        </w:rPr>
        <w:t xml:space="preserve">companies </w:t>
      </w:r>
      <w:r w:rsidR="00A04177" w:rsidRPr="00163523">
        <w:rPr>
          <w:lang w:val="en-GB"/>
        </w:rPr>
        <w:t xml:space="preserve">may not want to </w:t>
      </w:r>
      <w:r w:rsidR="00360A8C" w:rsidRPr="00163523">
        <w:rPr>
          <w:lang w:val="en-GB"/>
        </w:rPr>
        <w:t xml:space="preserve">timely </w:t>
      </w:r>
      <w:r w:rsidR="00A04177" w:rsidRPr="00163523">
        <w:rPr>
          <w:lang w:val="en-GB"/>
        </w:rPr>
        <w:t xml:space="preserve">invest </w:t>
      </w:r>
      <w:r w:rsidR="00D77AB2" w:rsidRPr="00163523">
        <w:rPr>
          <w:lang w:val="en-GB"/>
        </w:rPr>
        <w:t xml:space="preserve">in </w:t>
      </w:r>
      <w:r w:rsidR="00916247" w:rsidRPr="00163523">
        <w:rPr>
          <w:lang w:val="en-GB"/>
        </w:rPr>
        <w:t xml:space="preserve">dedicated </w:t>
      </w:r>
      <w:r w:rsidR="00392969" w:rsidRPr="00163523">
        <w:rPr>
          <w:lang w:val="en-GB"/>
        </w:rPr>
        <w:t>hydrogen</w:t>
      </w:r>
      <w:r w:rsidR="000C61E8" w:rsidRPr="00163523">
        <w:rPr>
          <w:lang w:val="en-GB"/>
        </w:rPr>
        <w:t xml:space="preserve"> networks because of the high un</w:t>
      </w:r>
      <w:r w:rsidR="00916247" w:rsidRPr="00163523">
        <w:rPr>
          <w:lang w:val="en-GB"/>
        </w:rPr>
        <w:t xml:space="preserve">certainties. </w:t>
      </w:r>
      <w:r w:rsidR="00744536" w:rsidRPr="00163523">
        <w:rPr>
          <w:lang w:val="en-GB"/>
        </w:rPr>
        <w:t>The gas</w:t>
      </w:r>
      <w:r w:rsidR="00C566FC" w:rsidRPr="00163523">
        <w:rPr>
          <w:lang w:val="en-GB"/>
        </w:rPr>
        <w:t xml:space="preserve"> decarbonisation </w:t>
      </w:r>
      <w:r w:rsidR="00744536" w:rsidRPr="00163523">
        <w:rPr>
          <w:lang w:val="en-GB"/>
        </w:rPr>
        <w:t xml:space="preserve">policy </w:t>
      </w:r>
      <w:r w:rsidR="00A23153" w:rsidRPr="00163523">
        <w:rPr>
          <w:lang w:val="en-GB"/>
        </w:rPr>
        <w:t>will</w:t>
      </w:r>
      <w:r w:rsidR="00C566FC" w:rsidRPr="00163523">
        <w:rPr>
          <w:lang w:val="en-GB"/>
        </w:rPr>
        <w:t xml:space="preserve"> </w:t>
      </w:r>
      <w:r w:rsidR="00916247" w:rsidRPr="00163523">
        <w:rPr>
          <w:lang w:val="en-GB"/>
        </w:rPr>
        <w:t xml:space="preserve">hence </w:t>
      </w:r>
      <w:r w:rsidR="00C566FC" w:rsidRPr="00163523">
        <w:rPr>
          <w:lang w:val="en-GB"/>
        </w:rPr>
        <w:t xml:space="preserve">require </w:t>
      </w:r>
      <w:r w:rsidR="00916247" w:rsidRPr="00163523">
        <w:rPr>
          <w:lang w:val="en-GB"/>
        </w:rPr>
        <w:t xml:space="preserve">strict regulation and </w:t>
      </w:r>
      <w:r w:rsidR="0051599D" w:rsidRPr="00163523">
        <w:rPr>
          <w:lang w:val="en-GB"/>
        </w:rPr>
        <w:t>appro</w:t>
      </w:r>
      <w:r w:rsidR="00B25F7C" w:rsidRPr="00163523">
        <w:rPr>
          <w:lang w:val="en-GB"/>
        </w:rPr>
        <w:t xml:space="preserve">priate </w:t>
      </w:r>
      <w:r w:rsidR="00BD674F" w:rsidRPr="00163523">
        <w:rPr>
          <w:lang w:val="en-GB"/>
        </w:rPr>
        <w:t>public involvement in networks, in</w:t>
      </w:r>
      <w:r w:rsidR="00B25F7C" w:rsidRPr="00163523">
        <w:rPr>
          <w:lang w:val="en-GB"/>
        </w:rPr>
        <w:t xml:space="preserve"> partic</w:t>
      </w:r>
      <w:r w:rsidR="002B27D0" w:rsidRPr="00163523">
        <w:rPr>
          <w:lang w:val="en-GB"/>
        </w:rPr>
        <w:t>ular</w:t>
      </w:r>
      <w:r w:rsidR="00C566FC" w:rsidRPr="00163523">
        <w:rPr>
          <w:lang w:val="en-GB"/>
        </w:rPr>
        <w:t xml:space="preserve"> in cases where these need to be re</w:t>
      </w:r>
      <w:r w:rsidR="004D0DE4" w:rsidRPr="00163523">
        <w:rPr>
          <w:lang w:val="en-GB"/>
        </w:rPr>
        <w:t>furbished, repurposed</w:t>
      </w:r>
      <w:r w:rsidR="00C566FC" w:rsidRPr="00163523">
        <w:rPr>
          <w:lang w:val="en-GB"/>
        </w:rPr>
        <w:t xml:space="preserve">, or newly built. An alternative </w:t>
      </w:r>
      <w:r w:rsidR="00E92246" w:rsidRPr="00163523">
        <w:rPr>
          <w:lang w:val="en-GB"/>
        </w:rPr>
        <w:t>c</w:t>
      </w:r>
      <w:r w:rsidR="00C566FC" w:rsidRPr="00163523">
        <w:rPr>
          <w:lang w:val="en-GB"/>
        </w:rPr>
        <w:t xml:space="preserve">ould be a franchise monopoly for investors in new infrastructure with guaranteed regulatory returns over a long period of time. One of the most controversial propositions of this narrative for governments and regulators will be that, although there will be competition in relation to project selection, gas-to-gas competition will almost certainly not operate in the initial stages of establishing a decarbonised gas market. For many years there will be too few sources of biomethane and hydrogen to create a fully competitive market. A major </w:t>
      </w:r>
      <w:r w:rsidR="00236A07" w:rsidRPr="00163523">
        <w:rPr>
          <w:lang w:val="en-GB"/>
        </w:rPr>
        <w:t xml:space="preserve">challenge </w:t>
      </w:r>
      <w:r w:rsidR="00C566FC" w:rsidRPr="00163523">
        <w:rPr>
          <w:lang w:val="en-GB"/>
        </w:rPr>
        <w:t xml:space="preserve">will be to reintegrate a fragmented value chain in order to launch such projects. </w:t>
      </w:r>
      <w:r w:rsidR="00583077" w:rsidRPr="00163523">
        <w:rPr>
          <w:lang w:val="en-GB"/>
        </w:rPr>
        <w:t xml:space="preserve">Market players </w:t>
      </w:r>
      <w:r w:rsidR="00C566FC" w:rsidRPr="00163523">
        <w:rPr>
          <w:lang w:val="en-GB"/>
        </w:rPr>
        <w:t xml:space="preserve">will </w:t>
      </w:r>
      <w:r w:rsidR="004E6CBF" w:rsidRPr="00163523">
        <w:rPr>
          <w:lang w:val="en-GB"/>
        </w:rPr>
        <w:t xml:space="preserve">indeed </w:t>
      </w:r>
      <w:r w:rsidR="00C566FC" w:rsidRPr="00163523">
        <w:rPr>
          <w:lang w:val="en-GB"/>
        </w:rPr>
        <w:t>be l</w:t>
      </w:r>
      <w:r w:rsidR="00234860" w:rsidRPr="00163523">
        <w:rPr>
          <w:lang w:val="en-GB"/>
        </w:rPr>
        <w:t xml:space="preserve">ess </w:t>
      </w:r>
      <w:r w:rsidR="004E6CBF" w:rsidRPr="00163523">
        <w:rPr>
          <w:lang w:val="en-GB"/>
        </w:rPr>
        <w:t>interest</w:t>
      </w:r>
      <w:r w:rsidR="009111A0" w:rsidRPr="00163523">
        <w:rPr>
          <w:lang w:val="en-GB"/>
        </w:rPr>
        <w:t>ed</w:t>
      </w:r>
      <w:r w:rsidR="004E6CBF" w:rsidRPr="00163523">
        <w:rPr>
          <w:lang w:val="en-GB"/>
        </w:rPr>
        <w:t xml:space="preserve"> </w:t>
      </w:r>
      <w:r w:rsidR="00C566FC" w:rsidRPr="00163523">
        <w:rPr>
          <w:lang w:val="en-GB"/>
        </w:rPr>
        <w:t xml:space="preserve">in producing </w:t>
      </w:r>
      <w:r w:rsidR="00512DF0" w:rsidRPr="00163523">
        <w:rPr>
          <w:lang w:val="en-GB"/>
        </w:rPr>
        <w:t xml:space="preserve">renewable (or low-carbon) </w:t>
      </w:r>
      <w:r w:rsidR="00C566FC" w:rsidRPr="00163523">
        <w:rPr>
          <w:lang w:val="en-GB"/>
        </w:rPr>
        <w:t xml:space="preserve">hydrogen </w:t>
      </w:r>
      <w:r w:rsidR="00A422FC" w:rsidRPr="00163523">
        <w:rPr>
          <w:lang w:val="en-GB"/>
        </w:rPr>
        <w:t xml:space="preserve">for </w:t>
      </w:r>
      <w:r w:rsidR="00115D6A" w:rsidRPr="00163523">
        <w:rPr>
          <w:lang w:val="en-GB"/>
        </w:rPr>
        <w:t xml:space="preserve">commercial purposes </w:t>
      </w:r>
      <w:r w:rsidR="00E10F3F" w:rsidRPr="00163523">
        <w:rPr>
          <w:lang w:val="en-GB"/>
        </w:rPr>
        <w:t>if</w:t>
      </w:r>
      <w:r w:rsidR="00C566FC" w:rsidRPr="00163523">
        <w:rPr>
          <w:lang w:val="en-GB"/>
        </w:rPr>
        <w:t xml:space="preserve"> networks are </w:t>
      </w:r>
      <w:r w:rsidR="004B50C9" w:rsidRPr="00163523">
        <w:rPr>
          <w:lang w:val="en-GB"/>
        </w:rPr>
        <w:t xml:space="preserve">not able </w:t>
      </w:r>
      <w:r w:rsidR="00C566FC" w:rsidRPr="00163523">
        <w:rPr>
          <w:lang w:val="en-GB"/>
        </w:rPr>
        <w:t xml:space="preserve">to </w:t>
      </w:r>
      <w:r w:rsidR="0067642E" w:rsidRPr="00163523">
        <w:rPr>
          <w:lang w:val="en-GB"/>
        </w:rPr>
        <w:t xml:space="preserve">transport </w:t>
      </w:r>
      <w:r w:rsidR="00C566FC" w:rsidRPr="00163523">
        <w:rPr>
          <w:lang w:val="en-GB"/>
        </w:rPr>
        <w:t>it</w:t>
      </w:r>
      <w:r w:rsidR="00A07F80" w:rsidRPr="00163523">
        <w:rPr>
          <w:lang w:val="en-GB"/>
        </w:rPr>
        <w:t>. E</w:t>
      </w:r>
      <w:r w:rsidR="00A52668" w:rsidRPr="00163523">
        <w:rPr>
          <w:lang w:val="en-GB"/>
        </w:rPr>
        <w:t xml:space="preserve">nabling </w:t>
      </w:r>
      <w:r w:rsidR="00C566FC" w:rsidRPr="00163523">
        <w:rPr>
          <w:lang w:val="en-GB"/>
        </w:rPr>
        <w:t xml:space="preserve">this will require </w:t>
      </w:r>
      <w:r w:rsidR="004F72A8" w:rsidRPr="00163523">
        <w:rPr>
          <w:lang w:val="en-GB"/>
        </w:rPr>
        <w:t xml:space="preserve">an appropriate planning framework </w:t>
      </w:r>
      <w:r w:rsidR="00BA2C8C" w:rsidRPr="00163523">
        <w:rPr>
          <w:lang w:val="en-GB"/>
        </w:rPr>
        <w:t xml:space="preserve">and </w:t>
      </w:r>
      <w:r w:rsidR="0037722E" w:rsidRPr="00163523">
        <w:rPr>
          <w:lang w:val="en-GB"/>
        </w:rPr>
        <w:t xml:space="preserve">adequate </w:t>
      </w:r>
      <w:r w:rsidR="00C566FC" w:rsidRPr="00163523">
        <w:rPr>
          <w:lang w:val="en-GB"/>
        </w:rPr>
        <w:t>cooperation and coordination between all parties</w:t>
      </w:r>
      <w:r w:rsidR="008E0AE7" w:rsidRPr="00163523">
        <w:rPr>
          <w:lang w:val="en-GB"/>
        </w:rPr>
        <w:t xml:space="preserve">, in particular the national </w:t>
      </w:r>
      <w:r w:rsidR="00887F19" w:rsidRPr="00163523">
        <w:rPr>
          <w:lang w:val="en-GB"/>
        </w:rPr>
        <w:t>authorities and (methane and hydrogen) TSOs</w:t>
      </w:r>
      <w:r w:rsidR="002A0877" w:rsidRPr="00163523">
        <w:rPr>
          <w:lang w:val="en-GB"/>
        </w:rPr>
        <w:t>/DSOs</w:t>
      </w:r>
      <w:r w:rsidR="00887F19" w:rsidRPr="00163523">
        <w:rPr>
          <w:lang w:val="en-GB"/>
        </w:rPr>
        <w:t xml:space="preserve"> of the Baltic regional gas market countries</w:t>
      </w:r>
      <w:r w:rsidR="00C566FC" w:rsidRPr="00163523">
        <w:rPr>
          <w:lang w:val="en-GB"/>
        </w:rPr>
        <w:t xml:space="preserve">. </w:t>
      </w:r>
    </w:p>
    <w:p w14:paraId="549EC389" w14:textId="77777777" w:rsidR="008E0AE7" w:rsidRPr="00163523" w:rsidRDefault="008E0AE7" w:rsidP="0003771E">
      <w:pPr>
        <w:rPr>
          <w:lang w:val="en-GB"/>
        </w:rPr>
      </w:pPr>
    </w:p>
    <w:p w14:paraId="34CE5F37" w14:textId="40A296B9" w:rsidR="00F63E15" w:rsidRPr="00163523" w:rsidRDefault="00AB17A7" w:rsidP="00CE0AC5">
      <w:pPr>
        <w:pStyle w:val="Kop4"/>
        <w:rPr>
          <w:lang w:val="en-GB"/>
        </w:rPr>
      </w:pPr>
      <w:r w:rsidRPr="00163523">
        <w:rPr>
          <w:lang w:val="en-GB"/>
        </w:rPr>
        <w:t>Rating</w:t>
      </w:r>
      <w:r w:rsidR="00F63E15" w:rsidRPr="00163523">
        <w:rPr>
          <w:lang w:val="en-GB"/>
        </w:rPr>
        <w:t xml:space="preserve"> of the </w:t>
      </w:r>
      <w:r w:rsidRPr="00163523">
        <w:rPr>
          <w:lang w:val="en-GB"/>
        </w:rPr>
        <w:t xml:space="preserve">risk </w:t>
      </w:r>
      <w:r w:rsidR="00F63E15" w:rsidRPr="00163523">
        <w:rPr>
          <w:lang w:val="en-GB"/>
        </w:rPr>
        <w:t>based on likelihood and severity</w:t>
      </w:r>
    </w:p>
    <w:p w14:paraId="3403A278" w14:textId="28C19AE3" w:rsidR="00920786" w:rsidRPr="00163523" w:rsidRDefault="00A2056F" w:rsidP="00A2056F">
      <w:pPr>
        <w:rPr>
          <w:lang w:val="en-GB"/>
        </w:rPr>
      </w:pPr>
      <w:r w:rsidRPr="00163523">
        <w:rPr>
          <w:lang w:val="en-GB"/>
        </w:rPr>
        <w:t>I</w:t>
      </w:r>
      <w:r w:rsidR="002E11BB" w:rsidRPr="00163523">
        <w:rPr>
          <w:lang w:val="en-GB"/>
        </w:rPr>
        <w:t xml:space="preserve">f </w:t>
      </w:r>
      <w:r w:rsidR="007F2AC3" w:rsidRPr="00163523">
        <w:rPr>
          <w:lang w:val="en-GB"/>
        </w:rPr>
        <w:t xml:space="preserve">adequate </w:t>
      </w:r>
      <w:r w:rsidR="002E11BB" w:rsidRPr="00163523">
        <w:rPr>
          <w:lang w:val="en-GB"/>
        </w:rPr>
        <w:t>network/storage infrastructure</w:t>
      </w:r>
      <w:r w:rsidR="007F2AC3" w:rsidRPr="00163523">
        <w:rPr>
          <w:lang w:val="en-GB"/>
        </w:rPr>
        <w:t xml:space="preserve"> for renewable gases </w:t>
      </w:r>
      <w:r w:rsidR="002E11BB" w:rsidRPr="00163523">
        <w:rPr>
          <w:lang w:val="en-GB"/>
        </w:rPr>
        <w:t xml:space="preserve">would not be timely </w:t>
      </w:r>
      <w:r w:rsidR="007F2AC3" w:rsidRPr="00163523">
        <w:rPr>
          <w:lang w:val="en-GB"/>
        </w:rPr>
        <w:t xml:space="preserve">developed, </w:t>
      </w:r>
      <w:r w:rsidR="007969B1" w:rsidRPr="00163523">
        <w:rPr>
          <w:lang w:val="en-GB"/>
        </w:rPr>
        <w:t xml:space="preserve">the substitution of </w:t>
      </w:r>
      <w:r w:rsidR="0010365F" w:rsidRPr="00163523">
        <w:rPr>
          <w:lang w:val="en-GB"/>
        </w:rPr>
        <w:t>na</w:t>
      </w:r>
      <w:r w:rsidR="00E440C8" w:rsidRPr="00163523">
        <w:rPr>
          <w:lang w:val="en-GB"/>
        </w:rPr>
        <w:t xml:space="preserve">tural gas </w:t>
      </w:r>
      <w:r w:rsidR="00C232EF" w:rsidRPr="00163523">
        <w:rPr>
          <w:lang w:val="en-GB"/>
        </w:rPr>
        <w:t xml:space="preserve">and </w:t>
      </w:r>
      <w:r w:rsidR="00E440C8" w:rsidRPr="00163523">
        <w:rPr>
          <w:lang w:val="en-GB"/>
        </w:rPr>
        <w:t xml:space="preserve">grey </w:t>
      </w:r>
      <w:r w:rsidR="00C232EF" w:rsidRPr="00163523">
        <w:rPr>
          <w:lang w:val="en-GB"/>
        </w:rPr>
        <w:t>hydrogen by renewable gas will be delayed/hindered, as po</w:t>
      </w:r>
      <w:r w:rsidR="00624FD6" w:rsidRPr="00163523">
        <w:rPr>
          <w:lang w:val="en-GB"/>
        </w:rPr>
        <w:t xml:space="preserve">tential </w:t>
      </w:r>
      <w:r w:rsidR="007F2AC3" w:rsidRPr="00163523">
        <w:rPr>
          <w:lang w:val="en-GB"/>
        </w:rPr>
        <w:t>local gas produc</w:t>
      </w:r>
      <w:r w:rsidR="00624FD6" w:rsidRPr="00163523">
        <w:rPr>
          <w:lang w:val="en-GB"/>
        </w:rPr>
        <w:t xml:space="preserve">tion plants will not be able to </w:t>
      </w:r>
      <w:r w:rsidR="0080610A" w:rsidRPr="00163523">
        <w:rPr>
          <w:lang w:val="en-GB"/>
        </w:rPr>
        <w:t xml:space="preserve">be timely </w:t>
      </w:r>
      <w:r w:rsidR="00624FD6" w:rsidRPr="00163523">
        <w:rPr>
          <w:lang w:val="en-GB"/>
        </w:rPr>
        <w:t>connect</w:t>
      </w:r>
      <w:r w:rsidR="0080610A" w:rsidRPr="00163523">
        <w:rPr>
          <w:lang w:val="en-GB"/>
        </w:rPr>
        <w:t>ed</w:t>
      </w:r>
      <w:r w:rsidR="00624FD6" w:rsidRPr="00163523">
        <w:rPr>
          <w:lang w:val="en-GB"/>
        </w:rPr>
        <w:t xml:space="preserve"> to the grid, and </w:t>
      </w:r>
      <w:r w:rsidR="00970551" w:rsidRPr="00163523">
        <w:rPr>
          <w:lang w:val="en-GB"/>
        </w:rPr>
        <w:t>renewable gas</w:t>
      </w:r>
      <w:r w:rsidR="00383866" w:rsidRPr="00163523">
        <w:rPr>
          <w:lang w:val="en-GB"/>
        </w:rPr>
        <w:t xml:space="preserve"> </w:t>
      </w:r>
      <w:r w:rsidR="00970551" w:rsidRPr="00163523">
        <w:rPr>
          <w:lang w:val="en-GB"/>
        </w:rPr>
        <w:t xml:space="preserve">imports and trade </w:t>
      </w:r>
      <w:r w:rsidR="00E440C8" w:rsidRPr="00163523">
        <w:rPr>
          <w:lang w:val="en-GB"/>
        </w:rPr>
        <w:t xml:space="preserve">across the Baltic regional gas market will </w:t>
      </w:r>
      <w:r w:rsidR="005A2E6F" w:rsidRPr="00163523">
        <w:rPr>
          <w:lang w:val="en-GB"/>
        </w:rPr>
        <w:t xml:space="preserve">be hindered. This might lead to </w:t>
      </w:r>
      <w:r w:rsidR="003C1A1A" w:rsidRPr="00163523">
        <w:rPr>
          <w:lang w:val="en-GB"/>
        </w:rPr>
        <w:t xml:space="preserve">increased off-network gas production and use (e.g. biogas, hydrogen) which </w:t>
      </w:r>
      <w:r w:rsidR="008274DE" w:rsidRPr="00163523">
        <w:rPr>
          <w:lang w:val="en-GB"/>
        </w:rPr>
        <w:t xml:space="preserve">can be a sub-optimal </w:t>
      </w:r>
      <w:r w:rsidR="007439DC" w:rsidRPr="00163523">
        <w:rPr>
          <w:lang w:val="en-GB"/>
        </w:rPr>
        <w:t xml:space="preserve">solution from an economic and </w:t>
      </w:r>
      <w:r w:rsidR="0080610A" w:rsidRPr="00163523">
        <w:rPr>
          <w:lang w:val="en-GB"/>
        </w:rPr>
        <w:t xml:space="preserve">energy </w:t>
      </w:r>
      <w:r w:rsidR="007439DC" w:rsidRPr="00163523">
        <w:rPr>
          <w:lang w:val="en-GB"/>
        </w:rPr>
        <w:t>system p</w:t>
      </w:r>
      <w:r w:rsidR="00FC394A" w:rsidRPr="00163523">
        <w:rPr>
          <w:lang w:val="en-GB"/>
        </w:rPr>
        <w:t>erspective.</w:t>
      </w:r>
    </w:p>
    <w:p w14:paraId="26A91F06" w14:textId="522D4F79" w:rsidR="006E5E47" w:rsidRPr="00163523" w:rsidRDefault="006E5E47" w:rsidP="006E5E47">
      <w:pPr>
        <w:rPr>
          <w:lang w:val="en-GB"/>
        </w:rPr>
      </w:pPr>
    </w:p>
    <w:p w14:paraId="0A7CA565" w14:textId="1F960714" w:rsidR="00920786" w:rsidRPr="00163523" w:rsidRDefault="009120DC" w:rsidP="006E5E47">
      <w:pPr>
        <w:rPr>
          <w:lang w:val="en-GB"/>
        </w:rPr>
      </w:pPr>
      <w:r w:rsidRPr="00163523">
        <w:rPr>
          <w:lang w:val="en-GB"/>
        </w:rPr>
        <w:t xml:space="preserve">The </w:t>
      </w:r>
      <w:r w:rsidR="009052DC" w:rsidRPr="00163523">
        <w:rPr>
          <w:lang w:val="en-GB"/>
        </w:rPr>
        <w:t xml:space="preserve">materialization </w:t>
      </w:r>
      <w:r w:rsidRPr="00163523">
        <w:rPr>
          <w:lang w:val="en-GB"/>
        </w:rPr>
        <w:t>of this ris</w:t>
      </w:r>
      <w:r w:rsidR="009052DC" w:rsidRPr="00163523">
        <w:rPr>
          <w:lang w:val="en-GB"/>
        </w:rPr>
        <w:t xml:space="preserve">k, e.g. </w:t>
      </w:r>
      <w:r w:rsidR="00FC394A" w:rsidRPr="00163523">
        <w:rPr>
          <w:lang w:val="en-GB"/>
        </w:rPr>
        <w:t>a bo</w:t>
      </w:r>
      <w:r w:rsidR="00906F4C" w:rsidRPr="00163523">
        <w:rPr>
          <w:lang w:val="en-GB"/>
        </w:rPr>
        <w:t xml:space="preserve">ttleneck in the network and storage </w:t>
      </w:r>
      <w:r w:rsidR="00FB043A" w:rsidRPr="00163523">
        <w:rPr>
          <w:lang w:val="en-GB"/>
        </w:rPr>
        <w:t>infrastructure</w:t>
      </w:r>
      <w:r w:rsidR="000510E5" w:rsidRPr="00163523">
        <w:rPr>
          <w:lang w:val="en-GB"/>
        </w:rPr>
        <w:t xml:space="preserve"> for </w:t>
      </w:r>
      <w:r w:rsidR="004577FA" w:rsidRPr="00163523">
        <w:rPr>
          <w:lang w:val="en-GB"/>
        </w:rPr>
        <w:t>re</w:t>
      </w:r>
      <w:r w:rsidR="000510E5" w:rsidRPr="00163523">
        <w:rPr>
          <w:lang w:val="en-GB"/>
        </w:rPr>
        <w:t>new</w:t>
      </w:r>
      <w:r w:rsidR="004577FA" w:rsidRPr="00163523">
        <w:rPr>
          <w:lang w:val="en-GB"/>
        </w:rPr>
        <w:t>able gas</w:t>
      </w:r>
      <w:r w:rsidR="009052DC" w:rsidRPr="00163523">
        <w:rPr>
          <w:lang w:val="en-GB"/>
        </w:rPr>
        <w:t>,</w:t>
      </w:r>
      <w:r w:rsidR="00FB043A" w:rsidRPr="00163523">
        <w:rPr>
          <w:lang w:val="en-GB"/>
        </w:rPr>
        <w:t xml:space="preserve"> will impact </w:t>
      </w:r>
      <w:r w:rsidR="002228D6" w:rsidRPr="00163523">
        <w:rPr>
          <w:lang w:val="en-GB"/>
        </w:rPr>
        <w:t xml:space="preserve">both </w:t>
      </w:r>
      <w:r w:rsidR="00FB043A" w:rsidRPr="00163523">
        <w:rPr>
          <w:lang w:val="en-GB"/>
        </w:rPr>
        <w:t>the downstream (</w:t>
      </w:r>
      <w:r w:rsidR="005F2E95" w:rsidRPr="00163523">
        <w:rPr>
          <w:lang w:val="en-GB"/>
        </w:rPr>
        <w:t>supply, end-use) and upstream (production) steps in the value chain.</w:t>
      </w:r>
    </w:p>
    <w:p w14:paraId="5516EC3F" w14:textId="77777777" w:rsidR="002228D6" w:rsidRPr="00163523" w:rsidRDefault="002228D6" w:rsidP="006E5E47">
      <w:pPr>
        <w:rPr>
          <w:lang w:val="en-GB"/>
        </w:rPr>
      </w:pPr>
    </w:p>
    <w:p w14:paraId="6FE755D1" w14:textId="0B1B8032" w:rsidR="00920786" w:rsidRPr="00163523" w:rsidRDefault="00885809" w:rsidP="00AB5C49">
      <w:pPr>
        <w:rPr>
          <w:lang w:val="en-GB"/>
        </w:rPr>
      </w:pPr>
      <w:r w:rsidRPr="00163523">
        <w:rPr>
          <w:b/>
          <w:lang w:val="en-GB"/>
        </w:rPr>
        <w:t>T</w:t>
      </w:r>
      <w:r w:rsidR="008F2108" w:rsidRPr="00163523">
        <w:rPr>
          <w:b/>
          <w:lang w:val="en-GB"/>
        </w:rPr>
        <w:t xml:space="preserve">he severity of this risk </w:t>
      </w:r>
      <w:r w:rsidRPr="00163523">
        <w:rPr>
          <w:b/>
          <w:lang w:val="en-GB"/>
        </w:rPr>
        <w:t>is considered as ‘</w:t>
      </w:r>
      <w:r w:rsidR="00ED1CC9" w:rsidRPr="00163523">
        <w:rPr>
          <w:b/>
          <w:lang w:val="en-GB"/>
        </w:rPr>
        <w:t>high</w:t>
      </w:r>
      <w:r w:rsidRPr="00163523">
        <w:rPr>
          <w:b/>
          <w:lang w:val="en-GB"/>
        </w:rPr>
        <w:t>’</w:t>
      </w:r>
      <w:r w:rsidR="002A558B" w:rsidRPr="00163523">
        <w:rPr>
          <w:lang w:val="en-GB"/>
        </w:rPr>
        <w:t>.</w:t>
      </w:r>
      <w:r w:rsidRPr="00163523">
        <w:rPr>
          <w:lang w:val="en-GB"/>
        </w:rPr>
        <w:t xml:space="preserve"> </w:t>
      </w:r>
      <w:r w:rsidR="00AB5C49" w:rsidRPr="00163523">
        <w:rPr>
          <w:lang w:val="en-GB"/>
        </w:rPr>
        <w:t>T</w:t>
      </w:r>
      <w:r w:rsidR="002F7600" w:rsidRPr="00163523">
        <w:rPr>
          <w:lang w:val="en-GB"/>
        </w:rPr>
        <w:t>h</w:t>
      </w:r>
      <w:r w:rsidR="00AB5C49" w:rsidRPr="00163523">
        <w:rPr>
          <w:lang w:val="en-GB"/>
        </w:rPr>
        <w:t>e</w:t>
      </w:r>
      <w:r w:rsidR="002F7600" w:rsidRPr="00163523">
        <w:rPr>
          <w:lang w:val="en-GB"/>
        </w:rPr>
        <w:t xml:space="preserve"> risk is likely to </w:t>
      </w:r>
      <w:r w:rsidR="002A558B" w:rsidRPr="00163523">
        <w:rPr>
          <w:lang w:val="en-GB"/>
        </w:rPr>
        <w:t xml:space="preserve">mainly </w:t>
      </w:r>
      <w:r w:rsidR="002F7600" w:rsidRPr="00163523">
        <w:rPr>
          <w:lang w:val="en-GB"/>
        </w:rPr>
        <w:t xml:space="preserve">occur in the initial </w:t>
      </w:r>
      <w:r w:rsidR="006D66BC" w:rsidRPr="00163523">
        <w:rPr>
          <w:lang w:val="en-GB"/>
        </w:rPr>
        <w:t>gas</w:t>
      </w:r>
      <w:r w:rsidR="003B5018" w:rsidRPr="00163523">
        <w:rPr>
          <w:lang w:val="en-GB"/>
        </w:rPr>
        <w:t xml:space="preserve"> transition </w:t>
      </w:r>
      <w:r w:rsidR="002F7600" w:rsidRPr="00163523">
        <w:rPr>
          <w:lang w:val="en-GB"/>
        </w:rPr>
        <w:t>phase (up t</w:t>
      </w:r>
      <w:r w:rsidR="00920786" w:rsidRPr="00163523">
        <w:rPr>
          <w:lang w:val="en-GB"/>
        </w:rPr>
        <w:t>o 2030</w:t>
      </w:r>
      <w:r w:rsidR="002F7600" w:rsidRPr="00163523">
        <w:rPr>
          <w:lang w:val="en-GB"/>
        </w:rPr>
        <w:t>) when renewa</w:t>
      </w:r>
      <w:r w:rsidR="00A305A2" w:rsidRPr="00163523">
        <w:rPr>
          <w:lang w:val="en-GB"/>
        </w:rPr>
        <w:t xml:space="preserve">ble gas volumes are still low and regulatory and market uncertainties </w:t>
      </w:r>
      <w:r w:rsidR="003B5018" w:rsidRPr="00163523">
        <w:rPr>
          <w:lang w:val="en-GB"/>
        </w:rPr>
        <w:t xml:space="preserve">quite </w:t>
      </w:r>
      <w:r w:rsidR="00A305A2" w:rsidRPr="00163523">
        <w:rPr>
          <w:lang w:val="en-GB"/>
        </w:rPr>
        <w:t>h</w:t>
      </w:r>
      <w:r w:rsidR="00886E71" w:rsidRPr="00163523">
        <w:rPr>
          <w:lang w:val="en-GB"/>
        </w:rPr>
        <w:t>igh</w:t>
      </w:r>
      <w:r w:rsidR="002A558B" w:rsidRPr="00163523">
        <w:rPr>
          <w:lang w:val="en-GB"/>
        </w:rPr>
        <w:t>.</w:t>
      </w:r>
      <w:r w:rsidR="00AB5C49" w:rsidRPr="00163523">
        <w:rPr>
          <w:lang w:val="en-GB"/>
        </w:rPr>
        <w:t xml:space="preserve"> </w:t>
      </w:r>
      <w:r w:rsidR="00892181" w:rsidRPr="00163523">
        <w:rPr>
          <w:lang w:val="en-GB"/>
        </w:rPr>
        <w:t xml:space="preserve">Next to </w:t>
      </w:r>
      <w:r w:rsidR="005E48AA" w:rsidRPr="00163523">
        <w:rPr>
          <w:lang w:val="en-GB"/>
        </w:rPr>
        <w:t xml:space="preserve">the specific </w:t>
      </w:r>
      <w:r w:rsidR="00892181" w:rsidRPr="00163523">
        <w:rPr>
          <w:lang w:val="en-GB"/>
        </w:rPr>
        <w:t xml:space="preserve">risks </w:t>
      </w:r>
      <w:r w:rsidR="00EB5FE7" w:rsidRPr="00163523">
        <w:rPr>
          <w:lang w:val="en-GB"/>
        </w:rPr>
        <w:t xml:space="preserve">related to ‘late’ deployment of </w:t>
      </w:r>
      <w:r w:rsidR="00280834" w:rsidRPr="00163523">
        <w:rPr>
          <w:lang w:val="en-GB"/>
        </w:rPr>
        <w:t xml:space="preserve">renewable </w:t>
      </w:r>
      <w:r w:rsidR="00516E5C" w:rsidRPr="00163523">
        <w:rPr>
          <w:lang w:val="en-GB"/>
        </w:rPr>
        <w:t xml:space="preserve">gas network and storage </w:t>
      </w:r>
      <w:r w:rsidR="00767C53" w:rsidRPr="00163523">
        <w:rPr>
          <w:lang w:val="en-GB"/>
        </w:rPr>
        <w:t>infrastructure</w:t>
      </w:r>
      <w:r w:rsidR="00167D38" w:rsidRPr="00163523">
        <w:rPr>
          <w:lang w:val="en-GB"/>
        </w:rPr>
        <w:t xml:space="preserve">, </w:t>
      </w:r>
      <w:r w:rsidR="00EB5FE7" w:rsidRPr="00163523">
        <w:rPr>
          <w:lang w:val="en-GB"/>
        </w:rPr>
        <w:t xml:space="preserve">an ‘early’ deployment may also </w:t>
      </w:r>
      <w:r w:rsidR="00803F00" w:rsidRPr="00163523">
        <w:rPr>
          <w:lang w:val="en-GB"/>
        </w:rPr>
        <w:t>present risks</w:t>
      </w:r>
      <w:r w:rsidR="00A47959" w:rsidRPr="00163523">
        <w:rPr>
          <w:lang w:val="en-GB"/>
        </w:rPr>
        <w:t xml:space="preserve"> due to the higher  uncertainties regarding the expected renewable gas supply and demand. </w:t>
      </w:r>
      <w:r w:rsidR="00470C3E" w:rsidRPr="00163523">
        <w:rPr>
          <w:lang w:val="en-GB"/>
        </w:rPr>
        <w:t xml:space="preserve">An appropriate timing of </w:t>
      </w:r>
      <w:r w:rsidR="008C5331" w:rsidRPr="00163523">
        <w:rPr>
          <w:lang w:val="en-GB"/>
        </w:rPr>
        <w:t>infr</w:t>
      </w:r>
      <w:r w:rsidR="009B2930" w:rsidRPr="00163523">
        <w:rPr>
          <w:lang w:val="en-GB"/>
        </w:rPr>
        <w:t xml:space="preserve">astructure </w:t>
      </w:r>
      <w:r w:rsidR="00470C3E" w:rsidRPr="00163523">
        <w:rPr>
          <w:lang w:val="en-GB"/>
        </w:rPr>
        <w:t xml:space="preserve">investments is hence required, in order </w:t>
      </w:r>
      <w:r w:rsidR="00BA7337" w:rsidRPr="00163523">
        <w:rPr>
          <w:lang w:val="en-GB"/>
        </w:rPr>
        <w:t xml:space="preserve">to reduce </w:t>
      </w:r>
      <w:r w:rsidR="00167D38" w:rsidRPr="00163523">
        <w:rPr>
          <w:lang w:val="en-GB"/>
        </w:rPr>
        <w:t xml:space="preserve">the risks of </w:t>
      </w:r>
      <w:r w:rsidR="00280834" w:rsidRPr="00163523">
        <w:rPr>
          <w:lang w:val="en-GB"/>
        </w:rPr>
        <w:t>overinvestments (</w:t>
      </w:r>
      <w:r w:rsidR="00962432" w:rsidRPr="00163523">
        <w:rPr>
          <w:lang w:val="en-GB"/>
        </w:rPr>
        <w:t>asset stranding</w:t>
      </w:r>
      <w:r w:rsidR="00280834" w:rsidRPr="00163523">
        <w:rPr>
          <w:lang w:val="en-GB"/>
        </w:rPr>
        <w:t>)</w:t>
      </w:r>
      <w:r w:rsidR="00BA7337" w:rsidRPr="00163523">
        <w:rPr>
          <w:lang w:val="en-GB"/>
        </w:rPr>
        <w:t xml:space="preserve">, while also </w:t>
      </w:r>
      <w:r w:rsidR="006B41F5" w:rsidRPr="00163523">
        <w:rPr>
          <w:lang w:val="en-GB"/>
        </w:rPr>
        <w:t>not hinder</w:t>
      </w:r>
      <w:r w:rsidR="00BA7337" w:rsidRPr="00163523">
        <w:rPr>
          <w:lang w:val="en-GB"/>
        </w:rPr>
        <w:t>ing</w:t>
      </w:r>
      <w:r w:rsidR="006B41F5" w:rsidRPr="00163523">
        <w:rPr>
          <w:lang w:val="en-GB"/>
        </w:rPr>
        <w:t xml:space="preserve"> or delay</w:t>
      </w:r>
      <w:r w:rsidR="00BA7337" w:rsidRPr="00163523">
        <w:rPr>
          <w:lang w:val="en-GB"/>
        </w:rPr>
        <w:t xml:space="preserve">ing </w:t>
      </w:r>
      <w:r w:rsidR="00BB1216" w:rsidRPr="00163523">
        <w:rPr>
          <w:lang w:val="en-GB"/>
        </w:rPr>
        <w:t>investments in supply or demand</w:t>
      </w:r>
      <w:r w:rsidR="00DB66DB" w:rsidRPr="00163523">
        <w:rPr>
          <w:lang w:val="en-GB"/>
        </w:rPr>
        <w:t>. Infrastructure planning should hence</w:t>
      </w:r>
      <w:r w:rsidR="005752DD" w:rsidRPr="00163523">
        <w:rPr>
          <w:lang w:val="en-GB"/>
        </w:rPr>
        <w:t xml:space="preserve"> be based on realistic market prospectives to </w:t>
      </w:r>
      <w:r w:rsidR="00E94A6B" w:rsidRPr="00163523">
        <w:rPr>
          <w:lang w:val="en-GB"/>
        </w:rPr>
        <w:t>prop</w:t>
      </w:r>
      <w:r w:rsidR="0064261F" w:rsidRPr="00163523">
        <w:rPr>
          <w:lang w:val="en-GB"/>
        </w:rPr>
        <w:t xml:space="preserve">erly </w:t>
      </w:r>
      <w:r w:rsidR="00DB66DB" w:rsidRPr="00163523">
        <w:rPr>
          <w:lang w:val="en-GB"/>
        </w:rPr>
        <w:t xml:space="preserve">anticipate </w:t>
      </w:r>
      <w:r w:rsidR="00AD511C" w:rsidRPr="00163523">
        <w:rPr>
          <w:lang w:val="en-GB"/>
        </w:rPr>
        <w:t xml:space="preserve">expected market developments while </w:t>
      </w:r>
      <w:r w:rsidR="005752DD" w:rsidRPr="00163523">
        <w:rPr>
          <w:lang w:val="en-GB"/>
        </w:rPr>
        <w:t>reduc</w:t>
      </w:r>
      <w:r w:rsidR="00AD511C" w:rsidRPr="00163523">
        <w:rPr>
          <w:lang w:val="en-GB"/>
        </w:rPr>
        <w:t xml:space="preserve">ing </w:t>
      </w:r>
      <w:r w:rsidR="005752DD" w:rsidRPr="00163523">
        <w:rPr>
          <w:lang w:val="en-GB"/>
        </w:rPr>
        <w:t>the risks</w:t>
      </w:r>
      <w:r w:rsidR="00871A71" w:rsidRPr="00163523">
        <w:rPr>
          <w:lang w:val="en-GB"/>
        </w:rPr>
        <w:t xml:space="preserve"> of wrong investment choices.</w:t>
      </w:r>
      <w:r w:rsidR="00C16607" w:rsidRPr="00163523">
        <w:rPr>
          <w:lang w:val="en-GB"/>
        </w:rPr>
        <w:t xml:space="preserve"> </w:t>
      </w:r>
    </w:p>
    <w:p w14:paraId="2D0E88D8" w14:textId="77777777" w:rsidR="00AD511C" w:rsidRPr="00163523" w:rsidRDefault="00AD511C" w:rsidP="00AB5C49">
      <w:pPr>
        <w:rPr>
          <w:lang w:val="en-GB"/>
        </w:rPr>
      </w:pPr>
    </w:p>
    <w:p w14:paraId="644C2E3A" w14:textId="0384661B" w:rsidR="00C72526" w:rsidRPr="00163523" w:rsidRDefault="00AD511C" w:rsidP="000302C0">
      <w:pPr>
        <w:rPr>
          <w:lang w:val="en-GB"/>
        </w:rPr>
      </w:pPr>
      <w:r w:rsidRPr="00163523">
        <w:rPr>
          <w:lang w:val="en-GB"/>
        </w:rPr>
        <w:t>A</w:t>
      </w:r>
      <w:r w:rsidR="001D4255" w:rsidRPr="00163523">
        <w:rPr>
          <w:lang w:val="en-GB"/>
        </w:rPr>
        <w:t xml:space="preserve">ssuming that the Baltic authorities </w:t>
      </w:r>
      <w:r w:rsidR="00ED3E52" w:rsidRPr="00163523">
        <w:rPr>
          <w:lang w:val="en-GB"/>
        </w:rPr>
        <w:t>(</w:t>
      </w:r>
      <w:r w:rsidR="001D4255" w:rsidRPr="00163523">
        <w:rPr>
          <w:lang w:val="en-GB"/>
        </w:rPr>
        <w:t xml:space="preserve">and </w:t>
      </w:r>
      <w:r w:rsidR="000934AE" w:rsidRPr="00163523">
        <w:rPr>
          <w:lang w:val="en-GB"/>
        </w:rPr>
        <w:t>TSOs</w:t>
      </w:r>
      <w:r w:rsidR="00ED3E52" w:rsidRPr="00163523">
        <w:rPr>
          <w:lang w:val="en-GB"/>
        </w:rPr>
        <w:t>)</w:t>
      </w:r>
      <w:r w:rsidR="000934AE" w:rsidRPr="00163523">
        <w:rPr>
          <w:lang w:val="en-GB"/>
        </w:rPr>
        <w:t xml:space="preserve"> will </w:t>
      </w:r>
      <w:r w:rsidR="00ED3E52" w:rsidRPr="00163523">
        <w:rPr>
          <w:lang w:val="en-GB"/>
        </w:rPr>
        <w:t xml:space="preserve">timely take initiatives </w:t>
      </w:r>
      <w:r w:rsidR="006D3424" w:rsidRPr="00163523">
        <w:rPr>
          <w:lang w:val="en-GB"/>
        </w:rPr>
        <w:t xml:space="preserve">to develop/adapt the infrastructure, </w:t>
      </w:r>
      <w:r w:rsidR="000302C0" w:rsidRPr="00163523">
        <w:rPr>
          <w:b/>
          <w:lang w:val="en-GB"/>
        </w:rPr>
        <w:t xml:space="preserve">we consider </w:t>
      </w:r>
      <w:r w:rsidR="006D3424" w:rsidRPr="00163523">
        <w:rPr>
          <w:b/>
          <w:lang w:val="en-GB"/>
        </w:rPr>
        <w:t xml:space="preserve">the </w:t>
      </w:r>
      <w:r w:rsidR="00CC7BE6" w:rsidRPr="00163523">
        <w:rPr>
          <w:b/>
          <w:lang w:val="en-GB"/>
        </w:rPr>
        <w:t xml:space="preserve">likelihood that this risk will effectively occur, </w:t>
      </w:r>
      <w:r w:rsidR="007F33D7" w:rsidRPr="00163523">
        <w:rPr>
          <w:b/>
          <w:lang w:val="en-GB"/>
        </w:rPr>
        <w:t xml:space="preserve">as </w:t>
      </w:r>
      <w:r w:rsidR="00600339" w:rsidRPr="00163523">
        <w:rPr>
          <w:b/>
          <w:lang w:val="en-GB"/>
        </w:rPr>
        <w:t>‘</w:t>
      </w:r>
      <w:r w:rsidR="007F33D7" w:rsidRPr="00163523">
        <w:rPr>
          <w:b/>
          <w:lang w:val="en-GB"/>
        </w:rPr>
        <w:t>low</w:t>
      </w:r>
      <w:r w:rsidR="00600339" w:rsidRPr="00163523">
        <w:rPr>
          <w:b/>
          <w:lang w:val="en-GB"/>
        </w:rPr>
        <w:t>’</w:t>
      </w:r>
      <w:r w:rsidR="007F33D7" w:rsidRPr="00163523">
        <w:rPr>
          <w:lang w:val="en-GB"/>
        </w:rPr>
        <w:t>.</w:t>
      </w:r>
      <w:r w:rsidR="0037499F" w:rsidRPr="00163523">
        <w:rPr>
          <w:lang w:val="en-GB"/>
        </w:rPr>
        <w:t xml:space="preserve"> </w:t>
      </w:r>
      <w:r w:rsidR="00667298" w:rsidRPr="00163523">
        <w:rPr>
          <w:lang w:val="en-GB"/>
        </w:rPr>
        <w:t xml:space="preserve">If </w:t>
      </w:r>
      <w:r w:rsidR="00F5425A" w:rsidRPr="00163523">
        <w:rPr>
          <w:lang w:val="en-GB"/>
        </w:rPr>
        <w:t xml:space="preserve">the </w:t>
      </w:r>
      <w:r w:rsidR="00667298" w:rsidRPr="00163523">
        <w:rPr>
          <w:lang w:val="en-GB"/>
        </w:rPr>
        <w:t xml:space="preserve">initiatives </w:t>
      </w:r>
      <w:r w:rsidR="00F5425A" w:rsidRPr="00163523">
        <w:rPr>
          <w:lang w:val="en-GB"/>
        </w:rPr>
        <w:t xml:space="preserve">to </w:t>
      </w:r>
      <w:r w:rsidR="00896F38" w:rsidRPr="00163523">
        <w:rPr>
          <w:lang w:val="en-GB"/>
        </w:rPr>
        <w:t xml:space="preserve">properly </w:t>
      </w:r>
      <w:r w:rsidR="00F5425A" w:rsidRPr="00163523">
        <w:rPr>
          <w:lang w:val="en-GB"/>
        </w:rPr>
        <w:t>develop/rep</w:t>
      </w:r>
      <w:r w:rsidR="000C2400" w:rsidRPr="00163523">
        <w:rPr>
          <w:lang w:val="en-GB"/>
        </w:rPr>
        <w:t xml:space="preserve">urpose the gas grid </w:t>
      </w:r>
      <w:r w:rsidR="00667298" w:rsidRPr="00163523">
        <w:rPr>
          <w:lang w:val="en-GB"/>
        </w:rPr>
        <w:t xml:space="preserve">are however not </w:t>
      </w:r>
      <w:r w:rsidR="00E3225D" w:rsidRPr="00163523">
        <w:rPr>
          <w:lang w:val="en-GB"/>
        </w:rPr>
        <w:t xml:space="preserve">timely </w:t>
      </w:r>
      <w:r w:rsidR="00667298" w:rsidRPr="00163523">
        <w:rPr>
          <w:lang w:val="en-GB"/>
        </w:rPr>
        <w:t xml:space="preserve">taken, the likelihood of this risk may increase. </w:t>
      </w:r>
    </w:p>
    <w:p w14:paraId="756FEEDD" w14:textId="77777777" w:rsidR="00C72526" w:rsidRPr="00163523" w:rsidRDefault="00C72526" w:rsidP="000302C0">
      <w:pPr>
        <w:rPr>
          <w:lang w:val="en-GB"/>
        </w:rPr>
      </w:pPr>
    </w:p>
    <w:p w14:paraId="1DEB7FA2" w14:textId="3A01D57C" w:rsidR="00920786" w:rsidRPr="00163523" w:rsidRDefault="000302C0" w:rsidP="000302C0">
      <w:pPr>
        <w:rPr>
          <w:lang w:val="en-GB"/>
        </w:rPr>
      </w:pPr>
      <w:r w:rsidRPr="00163523">
        <w:rPr>
          <w:lang w:val="en-GB"/>
        </w:rPr>
        <w:t>A</w:t>
      </w:r>
      <w:r w:rsidR="008D231E" w:rsidRPr="00163523">
        <w:rPr>
          <w:lang w:val="en-GB"/>
        </w:rPr>
        <w:t xml:space="preserve">ll </w:t>
      </w:r>
      <w:r w:rsidRPr="00163523">
        <w:rPr>
          <w:lang w:val="en-GB"/>
        </w:rPr>
        <w:t xml:space="preserve">gas decarbonisation </w:t>
      </w:r>
      <w:r w:rsidR="008D231E" w:rsidRPr="00163523">
        <w:rPr>
          <w:lang w:val="en-GB"/>
        </w:rPr>
        <w:t>scenarios are in principle affected</w:t>
      </w:r>
      <w:r w:rsidR="0019690F" w:rsidRPr="00163523">
        <w:rPr>
          <w:lang w:val="en-GB"/>
        </w:rPr>
        <w:t xml:space="preserve"> by this risk</w:t>
      </w:r>
      <w:r w:rsidR="008D231E" w:rsidRPr="00163523">
        <w:rPr>
          <w:lang w:val="en-GB"/>
        </w:rPr>
        <w:t>, as in any scenario there is a shift to renewable energy</w:t>
      </w:r>
      <w:r w:rsidR="004059DD" w:rsidRPr="00163523">
        <w:rPr>
          <w:lang w:val="en-GB"/>
        </w:rPr>
        <w:t xml:space="preserve">, but the timing and intensity </w:t>
      </w:r>
      <w:r w:rsidR="00725DA4" w:rsidRPr="00163523">
        <w:rPr>
          <w:lang w:val="en-GB"/>
        </w:rPr>
        <w:t xml:space="preserve">are </w:t>
      </w:r>
      <w:r w:rsidR="004059DD" w:rsidRPr="00163523">
        <w:rPr>
          <w:lang w:val="en-GB"/>
        </w:rPr>
        <w:t xml:space="preserve">different depending on the scenario. The </w:t>
      </w:r>
      <w:r w:rsidR="006E6886" w:rsidRPr="00163523">
        <w:rPr>
          <w:lang w:val="en-GB"/>
        </w:rPr>
        <w:t>methane based scenario would be the least impacted</w:t>
      </w:r>
      <w:r w:rsidR="001F177A" w:rsidRPr="00163523">
        <w:rPr>
          <w:lang w:val="en-GB"/>
        </w:rPr>
        <w:t xml:space="preserve">, while the hydrogen based scenario would </w:t>
      </w:r>
      <w:r w:rsidR="001A1954" w:rsidRPr="00163523">
        <w:rPr>
          <w:lang w:val="en-GB"/>
        </w:rPr>
        <w:t>be the most exposed to this risk.</w:t>
      </w:r>
      <w:r w:rsidR="004059DD" w:rsidRPr="00163523">
        <w:rPr>
          <w:lang w:val="en-GB"/>
        </w:rPr>
        <w:t xml:space="preserve"> </w:t>
      </w:r>
    </w:p>
    <w:p w14:paraId="0D9ABE0F" w14:textId="77777777" w:rsidR="0019690F" w:rsidRPr="00163523" w:rsidRDefault="0019690F" w:rsidP="000302C0">
      <w:pPr>
        <w:rPr>
          <w:lang w:val="en-GB"/>
        </w:rPr>
      </w:pPr>
    </w:p>
    <w:p w14:paraId="6E8C3620" w14:textId="760AB8F6" w:rsidR="00920786" w:rsidRPr="00163523" w:rsidRDefault="007371EA" w:rsidP="007371EA">
      <w:pPr>
        <w:rPr>
          <w:lang w:val="en-GB"/>
        </w:rPr>
      </w:pPr>
      <w:r w:rsidRPr="00163523">
        <w:rPr>
          <w:lang w:val="en-GB"/>
        </w:rPr>
        <w:t>T</w:t>
      </w:r>
      <w:r w:rsidR="001809F1" w:rsidRPr="00163523">
        <w:rPr>
          <w:lang w:val="en-GB"/>
        </w:rPr>
        <w:t xml:space="preserve">he </w:t>
      </w:r>
      <w:r w:rsidR="009E2D8A" w:rsidRPr="00163523">
        <w:rPr>
          <w:lang w:val="en-GB"/>
        </w:rPr>
        <w:t xml:space="preserve">likelihood and severity </w:t>
      </w:r>
      <w:r w:rsidRPr="00163523">
        <w:rPr>
          <w:lang w:val="en-GB"/>
        </w:rPr>
        <w:t xml:space="preserve">of this risk </w:t>
      </w:r>
      <w:r w:rsidR="009E2D8A" w:rsidRPr="00163523">
        <w:rPr>
          <w:lang w:val="en-GB"/>
        </w:rPr>
        <w:t>are expected to be similar in the 4</w:t>
      </w:r>
      <w:r w:rsidR="00920786" w:rsidRPr="00163523">
        <w:rPr>
          <w:lang w:val="en-GB"/>
        </w:rPr>
        <w:t xml:space="preserve"> </w:t>
      </w:r>
      <w:r w:rsidRPr="00163523">
        <w:rPr>
          <w:lang w:val="en-GB"/>
        </w:rPr>
        <w:t xml:space="preserve">BRGM </w:t>
      </w:r>
      <w:r w:rsidR="00920786" w:rsidRPr="00163523">
        <w:rPr>
          <w:lang w:val="en-GB"/>
        </w:rPr>
        <w:t>countries</w:t>
      </w:r>
      <w:r w:rsidR="009E2D8A" w:rsidRPr="00163523">
        <w:rPr>
          <w:lang w:val="en-GB"/>
        </w:rPr>
        <w:t xml:space="preserve">. </w:t>
      </w:r>
      <w:r w:rsidR="00E63F24" w:rsidRPr="00163523">
        <w:rPr>
          <w:lang w:val="en-GB"/>
        </w:rPr>
        <w:t xml:space="preserve">However, </w:t>
      </w:r>
      <w:r w:rsidR="00C90708" w:rsidRPr="00163523">
        <w:rPr>
          <w:lang w:val="en-GB"/>
        </w:rPr>
        <w:t xml:space="preserve">the likelihood can be </w:t>
      </w:r>
      <w:r w:rsidR="000070EC" w:rsidRPr="00163523">
        <w:rPr>
          <w:lang w:val="en-GB"/>
        </w:rPr>
        <w:t xml:space="preserve">substantially </w:t>
      </w:r>
      <w:r w:rsidR="00C90708" w:rsidRPr="00163523">
        <w:rPr>
          <w:lang w:val="en-GB"/>
        </w:rPr>
        <w:t xml:space="preserve">reduced </w:t>
      </w:r>
      <w:r w:rsidR="00EB20E4" w:rsidRPr="00163523">
        <w:rPr>
          <w:lang w:val="en-GB"/>
        </w:rPr>
        <w:t>if</w:t>
      </w:r>
      <w:r w:rsidR="004840B8" w:rsidRPr="00163523">
        <w:rPr>
          <w:lang w:val="en-GB"/>
        </w:rPr>
        <w:t xml:space="preserve"> national authorities and </w:t>
      </w:r>
      <w:r w:rsidR="00EB20E4" w:rsidRPr="00163523">
        <w:rPr>
          <w:lang w:val="en-GB"/>
        </w:rPr>
        <w:t xml:space="preserve">operators </w:t>
      </w:r>
      <w:r w:rsidR="000070EC" w:rsidRPr="00163523">
        <w:rPr>
          <w:lang w:val="en-GB"/>
        </w:rPr>
        <w:t xml:space="preserve">adopt </w:t>
      </w:r>
      <w:r w:rsidR="00EB20E4" w:rsidRPr="00163523">
        <w:rPr>
          <w:lang w:val="en-GB"/>
        </w:rPr>
        <w:t>a proactive approach.</w:t>
      </w:r>
    </w:p>
    <w:p w14:paraId="1BF9324C" w14:textId="77777777" w:rsidR="00920786" w:rsidRPr="00920786" w:rsidRDefault="00920786" w:rsidP="00F63E15">
      <w:pPr>
        <w:rPr>
          <w:lang w:val="en-GB"/>
        </w:rPr>
      </w:pPr>
    </w:p>
    <w:tbl>
      <w:tblPr>
        <w:tblStyle w:val="Table1"/>
        <w:tblW w:w="8449" w:type="dxa"/>
        <w:tblLayout w:type="fixed"/>
        <w:tblLook w:val="04A0" w:firstRow="1" w:lastRow="0" w:firstColumn="1" w:lastColumn="0" w:noHBand="0" w:noVBand="1"/>
      </w:tblPr>
      <w:tblGrid>
        <w:gridCol w:w="2689"/>
        <w:gridCol w:w="864"/>
        <w:gridCol w:w="864"/>
        <w:gridCol w:w="865"/>
        <w:gridCol w:w="1731"/>
        <w:gridCol w:w="1436"/>
      </w:tblGrid>
      <w:tr w:rsidR="006E18C3" w:rsidRPr="00801E6C" w14:paraId="3887E96B" w14:textId="77777777" w:rsidTr="0076227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89" w:type="dxa"/>
            <w:vMerge w:val="restart"/>
            <w:noWrap/>
          </w:tcPr>
          <w:p w14:paraId="1C4BD7F5" w14:textId="77777777" w:rsidR="006E18C3" w:rsidRPr="00163523" w:rsidRDefault="006E18C3" w:rsidP="0076227C">
            <w:pPr>
              <w:keepNext/>
              <w:spacing w:line="240" w:lineRule="auto"/>
              <w:ind w:left="0"/>
              <w:rPr>
                <w:rFonts w:eastAsia="Times New Roman"/>
                <w:sz w:val="16"/>
                <w:szCs w:val="16"/>
                <w:lang w:val="en-GB" w:eastAsia="en-GB"/>
              </w:rPr>
            </w:pPr>
            <w:r w:rsidRPr="00163523">
              <w:rPr>
                <w:rFonts w:eastAsia="Arial"/>
                <w:sz w:val="16"/>
                <w:szCs w:val="16"/>
                <w:lang w:val="en-GB"/>
              </w:rPr>
              <w:t>Risk</w:t>
            </w:r>
          </w:p>
        </w:tc>
        <w:tc>
          <w:tcPr>
            <w:tcW w:w="2593" w:type="dxa"/>
            <w:gridSpan w:val="3"/>
          </w:tcPr>
          <w:p w14:paraId="24A8A0FB" w14:textId="77777777" w:rsidR="006E18C3" w:rsidRPr="00163523" w:rsidRDefault="006E18C3" w:rsidP="0076227C">
            <w:pPr>
              <w:keepNext/>
              <w:spacing w:line="240" w:lineRule="auto"/>
              <w:ind w:left="0"/>
              <w:cnfStyle w:val="100000000000" w:firstRow="1" w:lastRow="0" w:firstColumn="0" w:lastColumn="0" w:oddVBand="0" w:evenVBand="0" w:oddHBand="0" w:evenHBand="0" w:firstRowFirstColumn="0" w:firstRowLastColumn="0" w:lastRowFirstColumn="0" w:lastRowLastColumn="0"/>
              <w:rPr>
                <w:rFonts w:eastAsia="Arial"/>
                <w:sz w:val="16"/>
                <w:szCs w:val="16"/>
                <w:lang w:val="en-GB"/>
              </w:rPr>
            </w:pPr>
            <w:r w:rsidRPr="00801E6C">
              <w:rPr>
                <w:rFonts w:eastAsia="Arial"/>
                <w:sz w:val="16"/>
                <w:szCs w:val="16"/>
                <w:lang w:val="en-GB"/>
              </w:rPr>
              <w:t>Applicable scenarios</w:t>
            </w:r>
          </w:p>
        </w:tc>
        <w:tc>
          <w:tcPr>
            <w:tcW w:w="1731" w:type="dxa"/>
            <w:vMerge w:val="restart"/>
            <w:noWrap/>
          </w:tcPr>
          <w:p w14:paraId="743481E4" w14:textId="77777777" w:rsidR="006E18C3" w:rsidRPr="00163523" w:rsidRDefault="006E18C3" w:rsidP="0076227C">
            <w:pPr>
              <w:keepNext/>
              <w:spacing w:line="240" w:lineRule="auto"/>
              <w:ind w:left="0"/>
              <w:cnfStyle w:val="100000000000" w:firstRow="1" w:lastRow="0" w:firstColumn="0" w:lastColumn="0" w:oddVBand="0" w:evenVBand="0" w:oddHBand="0" w:evenHBand="0" w:firstRowFirstColumn="0" w:firstRowLastColumn="0" w:lastRowFirstColumn="0" w:lastRowLastColumn="0"/>
              <w:rPr>
                <w:rFonts w:eastAsia="Times New Roman"/>
                <w:i/>
                <w:sz w:val="16"/>
                <w:szCs w:val="16"/>
                <w:lang w:val="en-GB" w:eastAsia="en-GB"/>
              </w:rPr>
            </w:pPr>
            <w:r w:rsidRPr="00163523">
              <w:rPr>
                <w:rFonts w:eastAsia="Arial"/>
                <w:sz w:val="16"/>
                <w:szCs w:val="16"/>
                <w:lang w:val="en-GB"/>
              </w:rPr>
              <w:t>Likelihood</w:t>
            </w:r>
          </w:p>
        </w:tc>
        <w:tc>
          <w:tcPr>
            <w:tcW w:w="1436" w:type="dxa"/>
            <w:vMerge w:val="restart"/>
            <w:noWrap/>
          </w:tcPr>
          <w:p w14:paraId="1D67F753" w14:textId="77777777" w:rsidR="006E18C3" w:rsidRPr="00163523" w:rsidRDefault="006E18C3" w:rsidP="0076227C">
            <w:pPr>
              <w:keepNext/>
              <w:spacing w:line="240" w:lineRule="auto"/>
              <w:ind w:left="0"/>
              <w:cnfStyle w:val="100000000000" w:firstRow="1" w:lastRow="0" w:firstColumn="0" w:lastColumn="0" w:oddVBand="0" w:evenVBand="0" w:oddHBand="0" w:evenHBand="0" w:firstRowFirstColumn="0" w:firstRowLastColumn="0" w:lastRowFirstColumn="0" w:lastRowLastColumn="0"/>
              <w:rPr>
                <w:rFonts w:eastAsia="Times New Roman"/>
                <w:i/>
                <w:sz w:val="16"/>
                <w:szCs w:val="16"/>
                <w:lang w:val="en-GB" w:eastAsia="en-GB"/>
              </w:rPr>
            </w:pPr>
            <w:r w:rsidRPr="00163523">
              <w:rPr>
                <w:rFonts w:eastAsia="Arial"/>
                <w:sz w:val="16"/>
                <w:szCs w:val="16"/>
                <w:lang w:val="en-GB"/>
              </w:rPr>
              <w:t>Severity</w:t>
            </w:r>
          </w:p>
        </w:tc>
      </w:tr>
      <w:tr w:rsidR="006E18C3" w:rsidRPr="00801E6C" w14:paraId="3BDC32C5" w14:textId="77777777" w:rsidTr="00097AD7">
        <w:trPr>
          <w:trHeight w:val="20"/>
        </w:trPr>
        <w:tc>
          <w:tcPr>
            <w:cnfStyle w:val="001000000000" w:firstRow="0" w:lastRow="0" w:firstColumn="1" w:lastColumn="0" w:oddVBand="0" w:evenVBand="0" w:oddHBand="0" w:evenHBand="0" w:firstRowFirstColumn="0" w:firstRowLastColumn="0" w:lastRowFirstColumn="0" w:lastRowLastColumn="0"/>
            <w:tcW w:w="2689" w:type="dxa"/>
            <w:vMerge/>
            <w:noWrap/>
          </w:tcPr>
          <w:p w14:paraId="51128589" w14:textId="77777777" w:rsidR="006E18C3" w:rsidRPr="00801E6C" w:rsidRDefault="006E18C3" w:rsidP="0076227C">
            <w:pPr>
              <w:spacing w:line="240" w:lineRule="auto"/>
              <w:ind w:left="0"/>
              <w:jc w:val="center"/>
              <w:rPr>
                <w:rFonts w:eastAsia="Arial"/>
                <w:sz w:val="16"/>
                <w:szCs w:val="16"/>
                <w:lang w:val="en-GB"/>
              </w:rPr>
            </w:pPr>
          </w:p>
        </w:tc>
        <w:tc>
          <w:tcPr>
            <w:tcW w:w="864" w:type="dxa"/>
          </w:tcPr>
          <w:p w14:paraId="7C6279F1" w14:textId="77777777" w:rsidR="006E18C3" w:rsidRPr="00163523" w:rsidRDefault="006E18C3" w:rsidP="0076227C">
            <w:pPr>
              <w:spacing w:line="240" w:lineRule="auto"/>
              <w:ind w:left="0"/>
              <w:cnfStyle w:val="000000000000" w:firstRow="0" w:lastRow="0" w:firstColumn="0" w:lastColumn="0" w:oddVBand="0" w:evenVBand="0" w:oddHBand="0" w:evenHBand="0" w:firstRowFirstColumn="0" w:firstRowLastColumn="0" w:lastRowFirstColumn="0" w:lastRowLastColumn="0"/>
              <w:rPr>
                <w:rFonts w:eastAsia="Times New Roman"/>
                <w:b/>
                <w:color w:val="000000"/>
                <w:sz w:val="14"/>
                <w:szCs w:val="14"/>
                <w:lang w:val="en-GB" w:eastAsia="en-GB"/>
              </w:rPr>
            </w:pPr>
            <w:r w:rsidRPr="00163523">
              <w:rPr>
                <w:rFonts w:eastAsia="Arial"/>
                <w:sz w:val="14"/>
                <w:szCs w:val="14"/>
                <w:lang w:val="en-GB"/>
              </w:rPr>
              <w:t>REN-M</w:t>
            </w:r>
          </w:p>
        </w:tc>
        <w:tc>
          <w:tcPr>
            <w:tcW w:w="864" w:type="dxa"/>
          </w:tcPr>
          <w:p w14:paraId="68ECFC46" w14:textId="77777777" w:rsidR="006E18C3" w:rsidRPr="00163523" w:rsidRDefault="006E18C3" w:rsidP="0076227C">
            <w:pPr>
              <w:spacing w:line="240" w:lineRule="auto"/>
              <w:ind w:left="0"/>
              <w:cnfStyle w:val="000000000000" w:firstRow="0" w:lastRow="0" w:firstColumn="0" w:lastColumn="0" w:oddVBand="0" w:evenVBand="0" w:oddHBand="0" w:evenHBand="0" w:firstRowFirstColumn="0" w:firstRowLastColumn="0" w:lastRowFirstColumn="0" w:lastRowLastColumn="0"/>
              <w:rPr>
                <w:rFonts w:eastAsia="Times New Roman"/>
                <w:b/>
                <w:color w:val="000000"/>
                <w:sz w:val="14"/>
                <w:szCs w:val="14"/>
                <w:lang w:val="en-GB" w:eastAsia="en-GB"/>
              </w:rPr>
            </w:pPr>
            <w:r w:rsidRPr="00163523">
              <w:rPr>
                <w:rFonts w:eastAsia="Arial"/>
                <w:sz w:val="14"/>
                <w:szCs w:val="14"/>
                <w:lang w:val="en-GB"/>
              </w:rPr>
              <w:t>REN-H</w:t>
            </w:r>
          </w:p>
        </w:tc>
        <w:tc>
          <w:tcPr>
            <w:tcW w:w="865" w:type="dxa"/>
          </w:tcPr>
          <w:p w14:paraId="6696EEA8" w14:textId="77777777" w:rsidR="006E18C3" w:rsidRPr="00163523" w:rsidRDefault="006E18C3" w:rsidP="0076227C">
            <w:pPr>
              <w:spacing w:line="240" w:lineRule="auto"/>
              <w:ind w:left="0"/>
              <w:cnfStyle w:val="000000000000" w:firstRow="0" w:lastRow="0" w:firstColumn="0" w:lastColumn="0" w:oddVBand="0" w:evenVBand="0" w:oddHBand="0" w:evenHBand="0" w:firstRowFirstColumn="0" w:firstRowLastColumn="0" w:lastRowFirstColumn="0" w:lastRowLastColumn="0"/>
              <w:rPr>
                <w:rFonts w:eastAsia="Times New Roman"/>
                <w:b/>
                <w:color w:val="000000"/>
                <w:sz w:val="14"/>
                <w:szCs w:val="14"/>
                <w:lang w:val="en-GB" w:eastAsia="en-GB"/>
              </w:rPr>
            </w:pPr>
            <w:r w:rsidRPr="00163523">
              <w:rPr>
                <w:rFonts w:eastAsia="Arial"/>
                <w:sz w:val="14"/>
                <w:szCs w:val="14"/>
                <w:lang w:val="en-GB"/>
              </w:rPr>
              <w:t>CM</w:t>
            </w:r>
          </w:p>
        </w:tc>
        <w:tc>
          <w:tcPr>
            <w:tcW w:w="1731" w:type="dxa"/>
            <w:vMerge/>
            <w:shd w:val="clear" w:color="auto" w:fill="F9B7AC" w:themeFill="accent2" w:themeFillTint="66"/>
            <w:noWrap/>
          </w:tcPr>
          <w:p w14:paraId="474E8C15" w14:textId="77777777" w:rsidR="006E18C3" w:rsidRPr="00163523" w:rsidRDefault="006E18C3" w:rsidP="0076227C">
            <w:pPr>
              <w:spacing w:line="240" w:lineRule="auto"/>
              <w:ind w:left="0"/>
              <w:cnfStyle w:val="000000000000" w:firstRow="0" w:lastRow="0" w:firstColumn="0" w:lastColumn="0" w:oddVBand="0" w:evenVBand="0" w:oddHBand="0" w:evenHBand="0" w:firstRowFirstColumn="0" w:firstRowLastColumn="0" w:lastRowFirstColumn="0" w:lastRowLastColumn="0"/>
              <w:rPr>
                <w:rFonts w:eastAsia="Times New Roman"/>
                <w:b/>
                <w:color w:val="000000"/>
                <w:sz w:val="16"/>
                <w:szCs w:val="16"/>
                <w:lang w:val="en-GB" w:eastAsia="en-GB"/>
              </w:rPr>
            </w:pPr>
          </w:p>
        </w:tc>
        <w:tc>
          <w:tcPr>
            <w:tcW w:w="1436" w:type="dxa"/>
            <w:vMerge/>
            <w:shd w:val="clear" w:color="auto" w:fill="FFD57B" w:themeFill="accent4" w:themeFillShade="E6"/>
            <w:noWrap/>
          </w:tcPr>
          <w:p w14:paraId="2B60CE6F" w14:textId="77777777" w:rsidR="006E18C3" w:rsidRPr="00163523" w:rsidRDefault="006E18C3" w:rsidP="0076227C">
            <w:pPr>
              <w:spacing w:line="240" w:lineRule="auto"/>
              <w:ind w:left="0"/>
              <w:cnfStyle w:val="000000000000" w:firstRow="0" w:lastRow="0" w:firstColumn="0" w:lastColumn="0" w:oddVBand="0" w:evenVBand="0" w:oddHBand="0" w:evenHBand="0" w:firstRowFirstColumn="0" w:firstRowLastColumn="0" w:lastRowFirstColumn="0" w:lastRowLastColumn="0"/>
              <w:rPr>
                <w:rFonts w:eastAsia="Arial"/>
                <w:b/>
                <w:sz w:val="16"/>
                <w:szCs w:val="16"/>
                <w:lang w:val="en-GB"/>
              </w:rPr>
            </w:pPr>
          </w:p>
        </w:tc>
      </w:tr>
      <w:tr w:rsidR="006E18C3" w:rsidRPr="00801E6C" w14:paraId="3F7BC38C" w14:textId="77777777" w:rsidTr="00097AD7">
        <w:trPr>
          <w:trHeight w:val="20"/>
        </w:trPr>
        <w:tc>
          <w:tcPr>
            <w:cnfStyle w:val="001000000000" w:firstRow="0" w:lastRow="0" w:firstColumn="1" w:lastColumn="0" w:oddVBand="0" w:evenVBand="0" w:oddHBand="0" w:evenHBand="0" w:firstRowFirstColumn="0" w:firstRowLastColumn="0" w:lastRowFirstColumn="0" w:lastRowLastColumn="0"/>
            <w:tcW w:w="2689" w:type="dxa"/>
            <w:noWrap/>
          </w:tcPr>
          <w:p w14:paraId="09947D1F" w14:textId="42161975" w:rsidR="006E18C3" w:rsidRPr="00801E6C" w:rsidRDefault="00DD2713" w:rsidP="0076227C">
            <w:pPr>
              <w:spacing w:line="240" w:lineRule="auto"/>
              <w:ind w:left="0"/>
              <w:jc w:val="center"/>
              <w:rPr>
                <w:rFonts w:eastAsia="Times New Roman"/>
                <w:color w:val="000000"/>
                <w:sz w:val="16"/>
                <w:szCs w:val="16"/>
                <w:lang w:val="en-GB" w:eastAsia="en-GB"/>
              </w:rPr>
            </w:pPr>
            <w:r w:rsidRPr="00163523">
              <w:rPr>
                <w:sz w:val="16"/>
                <w:szCs w:val="16"/>
                <w:lang w:val="en-GB"/>
              </w:rPr>
              <w:t>Adequate renewable gas network and storage infrastructure is not timely developed</w:t>
            </w:r>
          </w:p>
        </w:tc>
        <w:tc>
          <w:tcPr>
            <w:tcW w:w="864" w:type="dxa"/>
          </w:tcPr>
          <w:p w14:paraId="6C626175" w14:textId="196E6C01" w:rsidR="006E18C3" w:rsidRPr="00097AD7" w:rsidRDefault="006E18C3" w:rsidP="0076227C">
            <w:pPr>
              <w:spacing w:line="240" w:lineRule="auto"/>
              <w:ind w:left="0"/>
              <w:cnfStyle w:val="000000000000" w:firstRow="0" w:lastRow="0" w:firstColumn="0" w:lastColumn="0" w:oddVBand="0" w:evenVBand="0" w:oddHBand="0" w:evenHBand="0" w:firstRowFirstColumn="0" w:firstRowLastColumn="0" w:lastRowFirstColumn="0" w:lastRowLastColumn="0"/>
              <w:rPr>
                <w:rFonts w:eastAsia="Times New Roman"/>
                <w:b/>
                <w:color w:val="000000"/>
                <w:sz w:val="16"/>
                <w:szCs w:val="16"/>
                <w:lang w:val="en-GB" w:eastAsia="en-GB"/>
              </w:rPr>
            </w:pPr>
          </w:p>
        </w:tc>
        <w:tc>
          <w:tcPr>
            <w:tcW w:w="864" w:type="dxa"/>
          </w:tcPr>
          <w:p w14:paraId="1541C961" w14:textId="77777777" w:rsidR="006E18C3" w:rsidRPr="00163523" w:rsidRDefault="006E18C3" w:rsidP="0076227C">
            <w:pPr>
              <w:spacing w:line="240" w:lineRule="auto"/>
              <w:ind w:left="0"/>
              <w:cnfStyle w:val="000000000000" w:firstRow="0" w:lastRow="0" w:firstColumn="0" w:lastColumn="0" w:oddVBand="0" w:evenVBand="0" w:oddHBand="0" w:evenHBand="0" w:firstRowFirstColumn="0" w:firstRowLastColumn="0" w:lastRowFirstColumn="0" w:lastRowLastColumn="0"/>
              <w:rPr>
                <w:rFonts w:eastAsia="Times New Roman"/>
                <w:b/>
                <w:color w:val="000000"/>
                <w:sz w:val="16"/>
                <w:szCs w:val="16"/>
                <w:lang w:val="en-GB" w:eastAsia="en-GB"/>
              </w:rPr>
            </w:pPr>
            <w:r w:rsidRPr="00163523">
              <w:rPr>
                <w:rFonts w:ascii="Wingdings" w:eastAsia="Wingdings" w:hAnsi="Wingdings" w:cs="Wingdings"/>
                <w:b/>
                <w:color w:val="000000"/>
                <w:sz w:val="16"/>
                <w:szCs w:val="16"/>
                <w:lang w:val="en-GB" w:eastAsia="en-GB"/>
              </w:rPr>
              <w:sym w:font="Wingdings" w:char="F0FC"/>
            </w:r>
            <w:r w:rsidRPr="00163523">
              <w:rPr>
                <w:rFonts w:ascii="Wingdings" w:eastAsia="Wingdings" w:hAnsi="Wingdings" w:cs="Wingdings"/>
                <w:b/>
                <w:color w:val="000000"/>
                <w:sz w:val="16"/>
                <w:szCs w:val="16"/>
                <w:lang w:val="en-GB" w:eastAsia="en-GB"/>
              </w:rPr>
              <w:sym w:font="Wingdings" w:char="F0FC"/>
            </w:r>
          </w:p>
        </w:tc>
        <w:tc>
          <w:tcPr>
            <w:tcW w:w="865" w:type="dxa"/>
          </w:tcPr>
          <w:p w14:paraId="17D75C17" w14:textId="3C321D55" w:rsidR="006E18C3" w:rsidRPr="00163523" w:rsidRDefault="006E18C3" w:rsidP="0076227C">
            <w:pPr>
              <w:spacing w:line="240" w:lineRule="auto"/>
              <w:ind w:left="0"/>
              <w:cnfStyle w:val="000000000000" w:firstRow="0" w:lastRow="0" w:firstColumn="0" w:lastColumn="0" w:oddVBand="0" w:evenVBand="0" w:oddHBand="0" w:evenHBand="0" w:firstRowFirstColumn="0" w:firstRowLastColumn="0" w:lastRowFirstColumn="0" w:lastRowLastColumn="0"/>
              <w:rPr>
                <w:rFonts w:eastAsia="Times New Roman"/>
                <w:b/>
                <w:color w:val="000000"/>
                <w:sz w:val="16"/>
                <w:szCs w:val="16"/>
                <w:lang w:val="en-GB" w:eastAsia="en-GB"/>
              </w:rPr>
            </w:pPr>
          </w:p>
        </w:tc>
        <w:tc>
          <w:tcPr>
            <w:tcW w:w="1731" w:type="dxa"/>
            <w:shd w:val="clear" w:color="auto" w:fill="E0EBEB" w:themeFill="accent3" w:themeFillTint="66"/>
            <w:noWrap/>
          </w:tcPr>
          <w:p w14:paraId="3BF4ADA1" w14:textId="548D0620" w:rsidR="006E18C3" w:rsidRPr="00163523" w:rsidRDefault="006E18C3" w:rsidP="0076227C">
            <w:pPr>
              <w:spacing w:line="240" w:lineRule="auto"/>
              <w:ind w:left="0"/>
              <w:cnfStyle w:val="000000000000" w:firstRow="0" w:lastRow="0" w:firstColumn="0" w:lastColumn="0" w:oddVBand="0" w:evenVBand="0" w:oddHBand="0" w:evenHBand="0" w:firstRowFirstColumn="0" w:firstRowLastColumn="0" w:lastRowFirstColumn="0" w:lastRowLastColumn="0"/>
              <w:rPr>
                <w:rFonts w:eastAsia="Times New Roman"/>
                <w:b/>
                <w:color w:val="000000"/>
                <w:sz w:val="16"/>
                <w:szCs w:val="16"/>
                <w:lang w:val="en-GB" w:eastAsia="en-GB"/>
              </w:rPr>
            </w:pPr>
            <w:r w:rsidRPr="00163523">
              <w:rPr>
                <w:rFonts w:eastAsia="Times New Roman"/>
                <w:b/>
                <w:color w:val="000000"/>
                <w:sz w:val="16"/>
                <w:szCs w:val="16"/>
                <w:lang w:val="en-GB" w:eastAsia="en-GB"/>
              </w:rPr>
              <w:t>Low</w:t>
            </w:r>
            <w:r w:rsidR="00A240CE" w:rsidRPr="00163523">
              <w:rPr>
                <w:rStyle w:val="Voetnootmarkering"/>
                <w:rFonts w:eastAsia="Times New Roman"/>
                <w:b/>
                <w:color w:val="000000"/>
                <w:sz w:val="16"/>
                <w:szCs w:val="16"/>
                <w:lang w:val="en-GB" w:eastAsia="en-GB"/>
              </w:rPr>
              <w:footnoteReference w:id="38"/>
            </w:r>
          </w:p>
        </w:tc>
        <w:tc>
          <w:tcPr>
            <w:tcW w:w="1436" w:type="dxa"/>
            <w:shd w:val="clear" w:color="auto" w:fill="F9B7AC" w:themeFill="accent2" w:themeFillTint="66"/>
            <w:noWrap/>
          </w:tcPr>
          <w:p w14:paraId="34B5DA12" w14:textId="56A7D90E" w:rsidR="006E18C3" w:rsidRPr="00163523" w:rsidRDefault="00DD2713" w:rsidP="0076227C">
            <w:pPr>
              <w:spacing w:line="240" w:lineRule="auto"/>
              <w:ind w:left="0"/>
              <w:cnfStyle w:val="000000000000" w:firstRow="0" w:lastRow="0" w:firstColumn="0" w:lastColumn="0" w:oddVBand="0" w:evenVBand="0" w:oddHBand="0" w:evenHBand="0" w:firstRowFirstColumn="0" w:firstRowLastColumn="0" w:lastRowFirstColumn="0" w:lastRowLastColumn="0"/>
              <w:rPr>
                <w:rFonts w:eastAsia="Times New Roman"/>
                <w:b/>
                <w:i/>
                <w:color w:val="000000"/>
                <w:sz w:val="16"/>
                <w:szCs w:val="16"/>
                <w:lang w:val="en-GB" w:eastAsia="en-GB"/>
              </w:rPr>
            </w:pPr>
            <w:r w:rsidRPr="00163523">
              <w:rPr>
                <w:rFonts w:eastAsia="Arial"/>
                <w:b/>
                <w:sz w:val="16"/>
                <w:szCs w:val="16"/>
                <w:lang w:val="en-GB"/>
              </w:rPr>
              <w:t>High</w:t>
            </w:r>
          </w:p>
        </w:tc>
      </w:tr>
    </w:tbl>
    <w:p w14:paraId="3321371B" w14:textId="77777777" w:rsidR="006E18C3" w:rsidRPr="00163523" w:rsidRDefault="006E18C3" w:rsidP="00F63E15">
      <w:pPr>
        <w:rPr>
          <w:lang w:val="en-GB"/>
        </w:rPr>
      </w:pPr>
    </w:p>
    <w:p w14:paraId="5B51B1B6" w14:textId="77777777" w:rsidR="00F63E15" w:rsidRPr="00163523" w:rsidRDefault="00F63E15" w:rsidP="00F63E15">
      <w:pPr>
        <w:pStyle w:val="Kop4"/>
        <w:rPr>
          <w:lang w:val="en-GB"/>
        </w:rPr>
      </w:pPr>
      <w:r>
        <w:rPr>
          <w:lang w:val="en-GB"/>
        </w:rPr>
        <w:t xml:space="preserve">Potential </w:t>
      </w:r>
      <w:r w:rsidRPr="00163523">
        <w:rPr>
          <w:lang w:val="en-GB"/>
        </w:rPr>
        <w:t>mitigation measures</w:t>
      </w:r>
    </w:p>
    <w:p w14:paraId="2D547736" w14:textId="77777777" w:rsidR="00207CEA" w:rsidRPr="00163523" w:rsidRDefault="00207CEA" w:rsidP="00097AD7">
      <w:pPr>
        <w:keepNext/>
        <w:rPr>
          <w:lang w:val="en-GB"/>
        </w:rPr>
      </w:pPr>
      <w:r w:rsidRPr="00163523">
        <w:rPr>
          <w:lang w:val="en-GB"/>
        </w:rPr>
        <w:t>The following measures can be considered to reduce the likelihood and/or severity of this risk:</w:t>
      </w:r>
    </w:p>
    <w:p w14:paraId="1C6E1408" w14:textId="4DBB7A00" w:rsidR="00207CEA" w:rsidRPr="00163523" w:rsidRDefault="00207CEA" w:rsidP="00667298">
      <w:pPr>
        <w:pStyle w:val="ChecklistBulletpoint"/>
        <w:numPr>
          <w:ilvl w:val="0"/>
          <w:numId w:val="43"/>
        </w:numPr>
        <w:rPr>
          <w:lang w:val="en-GB"/>
        </w:rPr>
      </w:pPr>
      <w:r w:rsidRPr="00163523">
        <w:rPr>
          <w:lang w:val="en-GB"/>
        </w:rPr>
        <w:t xml:space="preserve">Proactive </w:t>
      </w:r>
      <w:r w:rsidR="007727A6" w:rsidRPr="00163523">
        <w:rPr>
          <w:lang w:val="en-GB"/>
        </w:rPr>
        <w:t xml:space="preserve">national and </w:t>
      </w:r>
      <w:r w:rsidRPr="00163523">
        <w:rPr>
          <w:lang w:val="en-GB"/>
        </w:rPr>
        <w:t>supra-national planning of methane network investments (refurbishment, repurposing, other adaptations) and of hydrogen network investments</w:t>
      </w:r>
      <w:r w:rsidR="005B3D27" w:rsidRPr="00163523">
        <w:rPr>
          <w:lang w:val="en-GB"/>
        </w:rPr>
        <w:t>;</w:t>
      </w:r>
    </w:p>
    <w:p w14:paraId="09F6EE98" w14:textId="51A8625E" w:rsidR="00783076" w:rsidRPr="00163523" w:rsidRDefault="00D54D58" w:rsidP="00667298">
      <w:pPr>
        <w:pStyle w:val="ChecklistBulletpoint"/>
        <w:numPr>
          <w:ilvl w:val="0"/>
          <w:numId w:val="43"/>
        </w:numPr>
        <w:rPr>
          <w:lang w:val="en-GB"/>
        </w:rPr>
      </w:pPr>
      <w:r w:rsidRPr="00163523">
        <w:rPr>
          <w:lang w:val="en-GB"/>
        </w:rPr>
        <w:t xml:space="preserve">Regular market studies </w:t>
      </w:r>
      <w:r w:rsidR="00B70598" w:rsidRPr="00163523">
        <w:rPr>
          <w:lang w:val="en-GB"/>
        </w:rPr>
        <w:t xml:space="preserve">for the </w:t>
      </w:r>
      <w:r w:rsidR="009109E5" w:rsidRPr="00163523">
        <w:rPr>
          <w:lang w:val="en-GB"/>
        </w:rPr>
        <w:t xml:space="preserve">Baltic region </w:t>
      </w:r>
      <w:r w:rsidR="00C22529" w:rsidRPr="00163523">
        <w:rPr>
          <w:lang w:val="en-GB"/>
        </w:rPr>
        <w:t xml:space="preserve">to </w:t>
      </w:r>
      <w:r w:rsidR="00D13AE8" w:rsidRPr="00163523">
        <w:rPr>
          <w:lang w:val="en-GB"/>
        </w:rPr>
        <w:t xml:space="preserve">identify and </w:t>
      </w:r>
      <w:r w:rsidR="00C22529" w:rsidRPr="00163523">
        <w:rPr>
          <w:lang w:val="en-GB"/>
        </w:rPr>
        <w:t xml:space="preserve">assess the </w:t>
      </w:r>
      <w:r w:rsidR="009109E5" w:rsidRPr="00163523">
        <w:rPr>
          <w:lang w:val="en-GB"/>
        </w:rPr>
        <w:t>expected developments in supply and demand of renewable gases</w:t>
      </w:r>
      <w:r w:rsidR="00B70598" w:rsidRPr="00163523">
        <w:rPr>
          <w:lang w:val="en-GB"/>
        </w:rPr>
        <w:t xml:space="preserve">, </w:t>
      </w:r>
      <w:r w:rsidR="00C830C5" w:rsidRPr="00163523">
        <w:rPr>
          <w:lang w:val="en-GB"/>
        </w:rPr>
        <w:t>based on contacts with large market operators and sector associations. Th</w:t>
      </w:r>
      <w:r w:rsidR="002D5AF6" w:rsidRPr="00163523">
        <w:rPr>
          <w:lang w:val="en-GB"/>
        </w:rPr>
        <w:t xml:space="preserve">ese studies </w:t>
      </w:r>
      <w:r w:rsidR="00FF7091" w:rsidRPr="00163523">
        <w:rPr>
          <w:lang w:val="en-GB"/>
        </w:rPr>
        <w:t xml:space="preserve">should </w:t>
      </w:r>
      <w:r w:rsidR="002D5AF6" w:rsidRPr="00163523">
        <w:rPr>
          <w:lang w:val="en-GB"/>
        </w:rPr>
        <w:t xml:space="preserve">underpin the </w:t>
      </w:r>
      <w:r w:rsidR="00FF7091" w:rsidRPr="00163523">
        <w:rPr>
          <w:lang w:val="en-GB"/>
        </w:rPr>
        <w:t xml:space="preserve">renewable </w:t>
      </w:r>
      <w:r w:rsidR="002D5AF6" w:rsidRPr="00163523">
        <w:rPr>
          <w:lang w:val="en-GB"/>
        </w:rPr>
        <w:t xml:space="preserve">gas network and storage investment planning, and </w:t>
      </w:r>
      <w:r w:rsidR="00FF7091" w:rsidRPr="00163523">
        <w:rPr>
          <w:lang w:val="en-GB"/>
        </w:rPr>
        <w:t xml:space="preserve">help to reduce the risk for </w:t>
      </w:r>
      <w:r w:rsidR="00F52F89" w:rsidRPr="00163523">
        <w:rPr>
          <w:lang w:val="en-GB"/>
        </w:rPr>
        <w:t xml:space="preserve">investment delays </w:t>
      </w:r>
      <w:r w:rsidR="00121802" w:rsidRPr="00163523">
        <w:rPr>
          <w:lang w:val="en-GB"/>
        </w:rPr>
        <w:t xml:space="preserve">and for </w:t>
      </w:r>
      <w:r w:rsidR="002D5AF6" w:rsidRPr="00163523">
        <w:rPr>
          <w:lang w:val="en-GB"/>
        </w:rPr>
        <w:t>over- or under</w:t>
      </w:r>
      <w:r w:rsidR="00783076" w:rsidRPr="00163523">
        <w:rPr>
          <w:lang w:val="en-GB"/>
        </w:rPr>
        <w:t>-</w:t>
      </w:r>
      <w:r w:rsidR="002D5AF6" w:rsidRPr="00163523">
        <w:rPr>
          <w:lang w:val="en-GB"/>
        </w:rPr>
        <w:t>in</w:t>
      </w:r>
      <w:r w:rsidR="00783076" w:rsidRPr="00163523">
        <w:rPr>
          <w:lang w:val="en-GB"/>
        </w:rPr>
        <w:t>vestments.</w:t>
      </w:r>
    </w:p>
    <w:p w14:paraId="23A5E75E" w14:textId="7F801B04" w:rsidR="0078069E" w:rsidRPr="00163523" w:rsidRDefault="00451DB2" w:rsidP="00667298">
      <w:pPr>
        <w:pStyle w:val="ChecklistBulletpoint"/>
        <w:numPr>
          <w:ilvl w:val="0"/>
          <w:numId w:val="43"/>
        </w:numPr>
        <w:rPr>
          <w:lang w:val="en-GB"/>
        </w:rPr>
      </w:pPr>
      <w:r w:rsidRPr="00163523">
        <w:rPr>
          <w:lang w:val="en-GB"/>
        </w:rPr>
        <w:t>Ensure appro</w:t>
      </w:r>
      <w:r w:rsidR="00071EA3" w:rsidRPr="00163523">
        <w:rPr>
          <w:lang w:val="en-GB"/>
        </w:rPr>
        <w:t xml:space="preserve">priate </w:t>
      </w:r>
      <w:r w:rsidR="00EB4019" w:rsidRPr="00163523">
        <w:rPr>
          <w:lang w:val="en-GB"/>
        </w:rPr>
        <w:t xml:space="preserve">regulation and </w:t>
      </w:r>
      <w:r w:rsidR="00071EA3" w:rsidRPr="00163523">
        <w:rPr>
          <w:lang w:val="en-GB"/>
        </w:rPr>
        <w:t>public</w:t>
      </w:r>
      <w:r w:rsidR="00EB4019" w:rsidRPr="00163523">
        <w:rPr>
          <w:lang w:val="en-GB"/>
        </w:rPr>
        <w:t xml:space="preserve"> </w:t>
      </w:r>
      <w:r w:rsidR="00AD5B2E" w:rsidRPr="00163523">
        <w:rPr>
          <w:lang w:val="en-GB"/>
        </w:rPr>
        <w:t>control of</w:t>
      </w:r>
      <w:r w:rsidR="00EB4019" w:rsidRPr="00163523">
        <w:rPr>
          <w:lang w:val="en-GB"/>
        </w:rPr>
        <w:t xml:space="preserve"> </w:t>
      </w:r>
      <w:r w:rsidR="00C47323" w:rsidRPr="00163523">
        <w:rPr>
          <w:lang w:val="en-GB"/>
        </w:rPr>
        <w:t xml:space="preserve">gas networks, in </w:t>
      </w:r>
      <w:r w:rsidR="00AD5B2E" w:rsidRPr="00163523">
        <w:rPr>
          <w:lang w:val="en-GB"/>
        </w:rPr>
        <w:t xml:space="preserve">particular when these are </w:t>
      </w:r>
      <w:r w:rsidR="00341EFD" w:rsidRPr="00163523">
        <w:rPr>
          <w:lang w:val="en-GB"/>
        </w:rPr>
        <w:t xml:space="preserve">partially or fully </w:t>
      </w:r>
      <w:r w:rsidR="00AD5B2E" w:rsidRPr="00163523">
        <w:rPr>
          <w:lang w:val="en-GB"/>
        </w:rPr>
        <w:t>privately owned</w:t>
      </w:r>
      <w:r w:rsidR="00BB562D" w:rsidRPr="00163523">
        <w:rPr>
          <w:lang w:val="en-GB"/>
        </w:rPr>
        <w:t xml:space="preserve"> and need to be refurbished or repurposed</w:t>
      </w:r>
      <w:r w:rsidR="00AD5B2E" w:rsidRPr="00163523">
        <w:rPr>
          <w:lang w:val="en-GB"/>
        </w:rPr>
        <w:t xml:space="preserve">, in order </w:t>
      </w:r>
      <w:r w:rsidR="00341EFD" w:rsidRPr="00163523">
        <w:rPr>
          <w:lang w:val="en-GB"/>
        </w:rPr>
        <w:t xml:space="preserve">to </w:t>
      </w:r>
      <w:r w:rsidR="00AD5B2E" w:rsidRPr="00163523">
        <w:rPr>
          <w:lang w:val="en-GB"/>
        </w:rPr>
        <w:t>en</w:t>
      </w:r>
      <w:r w:rsidR="003D0F8B" w:rsidRPr="00163523">
        <w:rPr>
          <w:lang w:val="en-GB"/>
        </w:rPr>
        <w:t xml:space="preserve">sure timely investments </w:t>
      </w:r>
      <w:r w:rsidR="00410C59" w:rsidRPr="00163523">
        <w:rPr>
          <w:lang w:val="en-GB"/>
        </w:rPr>
        <w:t xml:space="preserve">in </w:t>
      </w:r>
      <w:r w:rsidR="006A24C2" w:rsidRPr="00163523">
        <w:rPr>
          <w:lang w:val="en-GB"/>
        </w:rPr>
        <w:t xml:space="preserve">renewable or decarbonized </w:t>
      </w:r>
      <w:r w:rsidR="00410C59" w:rsidRPr="00163523">
        <w:rPr>
          <w:lang w:val="en-GB"/>
        </w:rPr>
        <w:t xml:space="preserve">gas transport (and large-scale </w:t>
      </w:r>
      <w:r w:rsidR="00E15B86" w:rsidRPr="00163523">
        <w:rPr>
          <w:lang w:val="en-GB"/>
        </w:rPr>
        <w:t xml:space="preserve">storage) infrastructure. </w:t>
      </w:r>
      <w:r w:rsidR="00071EA3" w:rsidRPr="00163523">
        <w:rPr>
          <w:lang w:val="en-GB"/>
        </w:rPr>
        <w:t xml:space="preserve"> </w:t>
      </w:r>
    </w:p>
    <w:bookmarkEnd w:id="52"/>
    <w:p w14:paraId="6E9732EF" w14:textId="77777777" w:rsidR="00F63E15" w:rsidRPr="00163523" w:rsidRDefault="00F63E15" w:rsidP="000C0A9C">
      <w:pPr>
        <w:rPr>
          <w:lang w:val="en-GB"/>
        </w:rPr>
      </w:pPr>
    </w:p>
    <w:p w14:paraId="042BEBA5" w14:textId="25CFA8B4" w:rsidR="00F63E15" w:rsidRPr="00F63E15" w:rsidRDefault="00F63E15">
      <w:pPr>
        <w:pStyle w:val="Kop2"/>
      </w:pPr>
      <w:bookmarkStart w:id="54" w:name="_Ref137116840"/>
      <w:bookmarkStart w:id="55" w:name="_Toc138492606"/>
      <w:bookmarkStart w:id="56" w:name="_Toc144803013"/>
      <w:r>
        <w:t xml:space="preserve">Risk 7: </w:t>
      </w:r>
      <w:r w:rsidRPr="00F63E15">
        <w:t xml:space="preserve">Security of gas supply can be threatened due to adequacy/flexibility issues of </w:t>
      </w:r>
      <w:r w:rsidR="00801E6C">
        <w:t xml:space="preserve">the </w:t>
      </w:r>
      <w:r w:rsidRPr="00F63E15">
        <w:t>regional energy system</w:t>
      </w:r>
      <w:bookmarkEnd w:id="54"/>
      <w:bookmarkEnd w:id="55"/>
      <w:bookmarkEnd w:id="56"/>
    </w:p>
    <w:p w14:paraId="23FBC05B" w14:textId="5D8EFC0A" w:rsidR="00F63E15" w:rsidRPr="00163523" w:rsidRDefault="00F63E15" w:rsidP="00F63E15">
      <w:pPr>
        <w:pStyle w:val="Kop4"/>
        <w:rPr>
          <w:lang w:val="en-GB"/>
        </w:rPr>
      </w:pPr>
      <w:r>
        <w:rPr>
          <w:lang w:val="en-GB"/>
        </w:rPr>
        <w:t>D</w:t>
      </w:r>
      <w:r w:rsidRPr="00163523">
        <w:rPr>
          <w:lang w:val="en-GB"/>
        </w:rPr>
        <w:t xml:space="preserve">escription of the risk, </w:t>
      </w:r>
      <w:r w:rsidR="00803ADE" w:rsidRPr="00163523">
        <w:rPr>
          <w:lang w:val="en-GB"/>
        </w:rPr>
        <w:t>covering the Baltic Regional Gas Market</w:t>
      </w:r>
    </w:p>
    <w:p w14:paraId="27193B5A" w14:textId="4974D124" w:rsidR="00243D15" w:rsidRDefault="00243D15" w:rsidP="00735524">
      <w:pPr>
        <w:rPr>
          <w:lang w:val="en-GB"/>
        </w:rPr>
      </w:pPr>
      <w:r w:rsidRPr="00C90DF9">
        <w:rPr>
          <w:lang w:val="en-GB"/>
        </w:rPr>
        <w:t xml:space="preserve">This risk is focused on security of supply issues arising from disruptions in the domestic/regional energy system. </w:t>
      </w:r>
      <w:r w:rsidRPr="00735524">
        <w:rPr>
          <w:lang w:val="en-GB"/>
        </w:rPr>
        <w:t xml:space="preserve">Risk 8, presented in section </w:t>
      </w:r>
      <w:r w:rsidRPr="00163523">
        <w:rPr>
          <w:lang w:val="en-GB"/>
        </w:rPr>
        <w:fldChar w:fldCharType="begin"/>
      </w:r>
      <w:r w:rsidRPr="00735524">
        <w:rPr>
          <w:lang w:val="en-GB"/>
        </w:rPr>
        <w:instrText xml:space="preserve"> REF _Ref137116843 \r \h </w:instrText>
      </w:r>
      <w:r w:rsidRPr="00163523">
        <w:rPr>
          <w:lang w:val="en-GB"/>
        </w:rPr>
      </w:r>
      <w:r w:rsidRPr="00163523">
        <w:rPr>
          <w:lang w:val="en-GB"/>
        </w:rPr>
        <w:fldChar w:fldCharType="separate"/>
      </w:r>
      <w:r w:rsidRPr="00735524">
        <w:rPr>
          <w:lang w:val="en-GB"/>
        </w:rPr>
        <w:t>3.8</w:t>
      </w:r>
      <w:r w:rsidRPr="00163523">
        <w:rPr>
          <w:lang w:val="en-GB"/>
        </w:rPr>
        <w:fldChar w:fldCharType="end"/>
      </w:r>
      <w:r w:rsidRPr="00735524">
        <w:rPr>
          <w:lang w:val="en-GB"/>
        </w:rPr>
        <w:t>, discusses security of supply from the external dependence perspective</w:t>
      </w:r>
      <w:r w:rsidR="00735524" w:rsidRPr="00735524">
        <w:rPr>
          <w:lang w:val="en-GB"/>
        </w:rPr>
        <w:t>.</w:t>
      </w:r>
    </w:p>
    <w:p w14:paraId="00712364" w14:textId="77777777" w:rsidR="00735524" w:rsidRPr="00735524" w:rsidRDefault="00735524" w:rsidP="00735524">
      <w:pPr>
        <w:rPr>
          <w:lang w:val="en-GB"/>
        </w:rPr>
      </w:pPr>
    </w:p>
    <w:p w14:paraId="5641DC1D" w14:textId="5F0AD5BB" w:rsidR="00A50C75" w:rsidRPr="00C90DF9" w:rsidRDefault="00E94AF5" w:rsidP="00735524">
      <w:pPr>
        <w:rPr>
          <w:lang w:val="en-GB"/>
        </w:rPr>
      </w:pPr>
      <w:r w:rsidRPr="00C90DF9">
        <w:rPr>
          <w:lang w:val="en-GB"/>
        </w:rPr>
        <w:t xml:space="preserve">With the </w:t>
      </w:r>
      <w:r w:rsidR="004603F6" w:rsidRPr="00C90DF9">
        <w:rPr>
          <w:lang w:val="en-GB"/>
        </w:rPr>
        <w:t>accelerating</w:t>
      </w:r>
      <w:r w:rsidR="007532E3" w:rsidRPr="00C90DF9">
        <w:rPr>
          <w:lang w:val="en-GB"/>
        </w:rPr>
        <w:t xml:space="preserve"> deployment of variable renewable electricity generation, the flexibility needs of the energy system </w:t>
      </w:r>
      <w:r w:rsidR="00FD7AF7">
        <w:rPr>
          <w:lang w:val="en-GB"/>
        </w:rPr>
        <w:t xml:space="preserve">in </w:t>
      </w:r>
      <w:r w:rsidR="003332A4" w:rsidRPr="00C90DF9">
        <w:rPr>
          <w:lang w:val="en-GB"/>
        </w:rPr>
        <w:t xml:space="preserve">the Baltic </w:t>
      </w:r>
      <w:r w:rsidR="00843216" w:rsidRPr="00C90DF9">
        <w:rPr>
          <w:lang w:val="en-GB"/>
        </w:rPr>
        <w:t xml:space="preserve">States and Finland </w:t>
      </w:r>
      <w:r w:rsidR="007532E3" w:rsidRPr="00C90DF9">
        <w:rPr>
          <w:lang w:val="en-GB"/>
        </w:rPr>
        <w:t xml:space="preserve">will </w:t>
      </w:r>
      <w:r w:rsidR="00213FCD" w:rsidRPr="00C90DF9">
        <w:rPr>
          <w:lang w:val="en-GB"/>
        </w:rPr>
        <w:t>rise</w:t>
      </w:r>
      <w:r w:rsidR="004603F6" w:rsidRPr="00C90DF9">
        <w:rPr>
          <w:lang w:val="en-GB"/>
        </w:rPr>
        <w:t xml:space="preserve"> significantly.</w:t>
      </w:r>
      <w:r w:rsidR="00843216" w:rsidRPr="00C90DF9">
        <w:rPr>
          <w:lang w:val="en-GB"/>
        </w:rPr>
        <w:t xml:space="preserve"> </w:t>
      </w:r>
      <w:r w:rsidR="00843216" w:rsidRPr="00D06901">
        <w:rPr>
          <w:lang w:val="en-GB"/>
        </w:rPr>
        <w:t>The JRC (</w:t>
      </w:r>
      <w:r w:rsidR="00566AE1" w:rsidRPr="00D06901">
        <w:rPr>
          <w:lang w:val="en-GB"/>
        </w:rPr>
        <w:t>2022</w:t>
      </w:r>
      <w:r w:rsidR="00843216" w:rsidRPr="00D06901">
        <w:rPr>
          <w:lang w:val="en-GB"/>
        </w:rPr>
        <w:t>)</w:t>
      </w:r>
      <w:r w:rsidR="00566AE1" w:rsidRPr="00163523">
        <w:rPr>
          <w:rStyle w:val="Voetnootmarkering"/>
          <w:lang w:val="en-GB"/>
        </w:rPr>
        <w:footnoteReference w:id="39"/>
      </w:r>
      <w:r w:rsidR="00843216" w:rsidRPr="00D06901">
        <w:rPr>
          <w:lang w:val="en-GB"/>
        </w:rPr>
        <w:t xml:space="preserve"> indicates that </w:t>
      </w:r>
      <w:r w:rsidR="00AB206F">
        <w:rPr>
          <w:lang w:val="en-GB"/>
        </w:rPr>
        <w:t xml:space="preserve">the </w:t>
      </w:r>
      <w:r w:rsidR="00843216" w:rsidRPr="00D06901">
        <w:rPr>
          <w:lang w:val="en-GB"/>
        </w:rPr>
        <w:t xml:space="preserve">daily, weekly and monthly flexibility requirements </w:t>
      </w:r>
      <w:r w:rsidR="00AB206F">
        <w:rPr>
          <w:lang w:val="en-GB"/>
        </w:rPr>
        <w:t>will in</w:t>
      </w:r>
      <w:r w:rsidR="000329D7" w:rsidRPr="00D06901">
        <w:rPr>
          <w:lang w:val="en-GB"/>
        </w:rPr>
        <w:t xml:space="preserve"> 2030 and 2050 </w:t>
      </w:r>
      <w:r w:rsidR="00AB206F">
        <w:rPr>
          <w:lang w:val="en-GB"/>
        </w:rPr>
        <w:t>be</w:t>
      </w:r>
      <w:r w:rsidR="000329D7" w:rsidRPr="00D06901">
        <w:rPr>
          <w:lang w:val="en-GB"/>
        </w:rPr>
        <w:t xml:space="preserve"> multiple times higher than </w:t>
      </w:r>
      <w:r w:rsidR="00873D4F">
        <w:rPr>
          <w:lang w:val="en-GB"/>
        </w:rPr>
        <w:t xml:space="preserve">the </w:t>
      </w:r>
      <w:r w:rsidR="000329D7" w:rsidRPr="00D06901">
        <w:rPr>
          <w:lang w:val="en-GB"/>
        </w:rPr>
        <w:t>current</w:t>
      </w:r>
      <w:r w:rsidR="00873D4F">
        <w:rPr>
          <w:lang w:val="en-GB"/>
        </w:rPr>
        <w:t xml:space="preserve"> </w:t>
      </w:r>
      <w:r w:rsidR="000329D7" w:rsidRPr="00D06901">
        <w:rPr>
          <w:lang w:val="en-GB"/>
        </w:rPr>
        <w:t>l</w:t>
      </w:r>
      <w:r w:rsidR="00873D4F">
        <w:rPr>
          <w:lang w:val="en-GB"/>
        </w:rPr>
        <w:t>evels</w:t>
      </w:r>
      <w:r w:rsidR="00527501" w:rsidRPr="00D06901">
        <w:rPr>
          <w:lang w:val="en-GB"/>
        </w:rPr>
        <w:t xml:space="preserve">. This will </w:t>
      </w:r>
      <w:r w:rsidR="007D4F92" w:rsidRPr="00D06901">
        <w:rPr>
          <w:lang w:val="en-GB"/>
        </w:rPr>
        <w:t xml:space="preserve">require the further deployment of flexibility solutions such as storage and demand response, including from the flexible operation of electrolysers. </w:t>
      </w:r>
      <w:r w:rsidR="001F1120" w:rsidRPr="00C90DF9">
        <w:rPr>
          <w:lang w:val="en-GB"/>
        </w:rPr>
        <w:t xml:space="preserve">The JRC modelling indicates a significant number of hours </w:t>
      </w:r>
      <w:r w:rsidR="00C23A7B">
        <w:rPr>
          <w:lang w:val="en-GB"/>
        </w:rPr>
        <w:t>w</w:t>
      </w:r>
      <w:r w:rsidR="001F1120" w:rsidRPr="00C90DF9">
        <w:rPr>
          <w:lang w:val="en-GB"/>
        </w:rPr>
        <w:t xml:space="preserve">ould be characterised by </w:t>
      </w:r>
      <w:r w:rsidR="00377B40" w:rsidRPr="00C90DF9">
        <w:rPr>
          <w:lang w:val="en-GB"/>
        </w:rPr>
        <w:t xml:space="preserve">moderate </w:t>
      </w:r>
      <w:r w:rsidR="00D06D36">
        <w:rPr>
          <w:lang w:val="en-GB"/>
        </w:rPr>
        <w:t xml:space="preserve">electricity </w:t>
      </w:r>
      <w:r w:rsidR="00377B40" w:rsidRPr="00C90DF9">
        <w:rPr>
          <w:lang w:val="en-GB"/>
        </w:rPr>
        <w:t xml:space="preserve">prices </w:t>
      </w:r>
      <w:r w:rsidR="000154C2" w:rsidRPr="00C90DF9">
        <w:rPr>
          <w:lang w:val="en-GB"/>
        </w:rPr>
        <w:t>(with almost 80% of the hours exhibiting prices between 40 and 80</w:t>
      </w:r>
      <w:r w:rsidR="00DE75F4" w:rsidRPr="00C90DF9">
        <w:rPr>
          <w:lang w:val="en-GB"/>
        </w:rPr>
        <w:t xml:space="preserve"> EUR/</w:t>
      </w:r>
      <w:r w:rsidR="000154C2" w:rsidRPr="00C90DF9">
        <w:rPr>
          <w:lang w:val="en-GB"/>
        </w:rPr>
        <w:t>MWh</w:t>
      </w:r>
      <w:r w:rsidR="00DE75F4" w:rsidRPr="00C90DF9">
        <w:rPr>
          <w:lang w:val="en-GB"/>
        </w:rPr>
        <w:t xml:space="preserve">), while </w:t>
      </w:r>
      <w:r w:rsidR="00321012">
        <w:rPr>
          <w:lang w:val="en-GB"/>
        </w:rPr>
        <w:t xml:space="preserve">during </w:t>
      </w:r>
      <w:r w:rsidR="00DE75F4" w:rsidRPr="00C90DF9">
        <w:rPr>
          <w:lang w:val="en-GB"/>
        </w:rPr>
        <w:t xml:space="preserve">15% of the </w:t>
      </w:r>
      <w:r w:rsidR="00DE75F4" w:rsidRPr="00163523">
        <w:rPr>
          <w:lang w:val="en-GB"/>
        </w:rPr>
        <w:t>hour</w:t>
      </w:r>
      <w:r w:rsidR="00A91328">
        <w:rPr>
          <w:lang w:val="en-GB"/>
        </w:rPr>
        <w:t>ly</w:t>
      </w:r>
      <w:r w:rsidR="00DE75F4" w:rsidRPr="00C90DF9">
        <w:rPr>
          <w:lang w:val="en-GB"/>
        </w:rPr>
        <w:t xml:space="preserve"> prices </w:t>
      </w:r>
      <w:r w:rsidR="0049004B">
        <w:rPr>
          <w:lang w:val="en-GB"/>
        </w:rPr>
        <w:t xml:space="preserve">would be </w:t>
      </w:r>
      <w:r w:rsidR="00DE75F4" w:rsidRPr="00C90DF9">
        <w:rPr>
          <w:lang w:val="en-GB"/>
        </w:rPr>
        <w:t>below 40 EUR/MWh</w:t>
      </w:r>
      <w:r w:rsidR="001B2598">
        <w:rPr>
          <w:lang w:val="en-GB"/>
        </w:rPr>
        <w:t xml:space="preserve">. </w:t>
      </w:r>
      <w:r w:rsidR="00E27884">
        <w:rPr>
          <w:lang w:val="en-GB"/>
        </w:rPr>
        <w:t xml:space="preserve">If </w:t>
      </w:r>
      <w:r w:rsidR="00DE75F4" w:rsidRPr="00C90DF9">
        <w:rPr>
          <w:lang w:val="en-GB"/>
        </w:rPr>
        <w:t xml:space="preserve">electrolysers </w:t>
      </w:r>
      <w:r w:rsidR="00130646">
        <w:rPr>
          <w:lang w:val="en-GB"/>
        </w:rPr>
        <w:t>would</w:t>
      </w:r>
      <w:r w:rsidR="00E27884">
        <w:rPr>
          <w:lang w:val="en-GB"/>
        </w:rPr>
        <w:t xml:space="preserve"> </w:t>
      </w:r>
      <w:r w:rsidR="00130646">
        <w:rPr>
          <w:lang w:val="en-GB"/>
        </w:rPr>
        <w:t xml:space="preserve">be </w:t>
      </w:r>
      <w:r w:rsidR="00DE75F4" w:rsidRPr="00C90DF9">
        <w:rPr>
          <w:lang w:val="en-GB"/>
        </w:rPr>
        <w:t xml:space="preserve">operating flexibly </w:t>
      </w:r>
      <w:r w:rsidR="00E27884">
        <w:rPr>
          <w:lang w:val="en-GB"/>
        </w:rPr>
        <w:t xml:space="preserve">based on these price signals, </w:t>
      </w:r>
      <w:r w:rsidR="00051102" w:rsidRPr="00C90DF9">
        <w:rPr>
          <w:lang w:val="en-GB"/>
        </w:rPr>
        <w:t xml:space="preserve">there is a non-marginal risk that </w:t>
      </w:r>
      <w:r w:rsidR="005A7FD1" w:rsidRPr="00C90DF9">
        <w:rPr>
          <w:lang w:val="en-GB"/>
        </w:rPr>
        <w:t xml:space="preserve">grid-connected electrolysers would </w:t>
      </w:r>
      <w:r w:rsidR="00EA2844">
        <w:rPr>
          <w:lang w:val="en-GB"/>
        </w:rPr>
        <w:t>have</w:t>
      </w:r>
      <w:r w:rsidR="005A7FD1" w:rsidRPr="00C90DF9">
        <w:rPr>
          <w:lang w:val="en-GB"/>
        </w:rPr>
        <w:t xml:space="preserve"> a low </w:t>
      </w:r>
      <w:r w:rsidR="0029745B">
        <w:rPr>
          <w:lang w:val="en-GB"/>
        </w:rPr>
        <w:t>load factor</w:t>
      </w:r>
      <w:r w:rsidR="005A7FD1" w:rsidRPr="00C90DF9">
        <w:rPr>
          <w:lang w:val="en-GB"/>
        </w:rPr>
        <w:t xml:space="preserve">, affecting </w:t>
      </w:r>
      <w:r w:rsidR="00EA2844">
        <w:rPr>
          <w:lang w:val="en-GB"/>
        </w:rPr>
        <w:t>their economic feasibility</w:t>
      </w:r>
      <w:r w:rsidR="005A7FD1" w:rsidRPr="00C90DF9">
        <w:rPr>
          <w:lang w:val="en-GB"/>
        </w:rPr>
        <w:t>.</w:t>
      </w:r>
      <w:r w:rsidR="005A1459" w:rsidRPr="00C90DF9">
        <w:rPr>
          <w:lang w:val="en-GB"/>
        </w:rPr>
        <w:t xml:space="preserve"> </w:t>
      </w:r>
      <w:r w:rsidR="003C3FFC" w:rsidRPr="00C90DF9">
        <w:rPr>
          <w:lang w:val="en-GB"/>
        </w:rPr>
        <w:t xml:space="preserve">Moreover, </w:t>
      </w:r>
      <w:r w:rsidR="001B72F5">
        <w:rPr>
          <w:lang w:val="en-GB"/>
        </w:rPr>
        <w:t>if other</w:t>
      </w:r>
      <w:r w:rsidR="003C3FFC" w:rsidRPr="00C90DF9">
        <w:rPr>
          <w:lang w:val="en-GB"/>
        </w:rPr>
        <w:t xml:space="preserve"> flexibility solutions</w:t>
      </w:r>
      <w:r w:rsidR="004E25D0">
        <w:rPr>
          <w:lang w:val="en-GB"/>
        </w:rPr>
        <w:t xml:space="preserve"> (batteries, </w:t>
      </w:r>
      <w:r w:rsidR="00AE3AC2">
        <w:rPr>
          <w:lang w:val="en-GB"/>
        </w:rPr>
        <w:t>demand response,</w:t>
      </w:r>
      <w:r w:rsidR="00612F41">
        <w:rPr>
          <w:lang w:val="en-GB"/>
        </w:rPr>
        <w:t xml:space="preserve">..) </w:t>
      </w:r>
      <w:r w:rsidR="003C3FFC" w:rsidRPr="00C90DF9">
        <w:rPr>
          <w:lang w:val="en-GB"/>
        </w:rPr>
        <w:t>are deployed</w:t>
      </w:r>
      <w:r w:rsidR="00026258">
        <w:rPr>
          <w:lang w:val="en-GB"/>
        </w:rPr>
        <w:t xml:space="preserve"> at large scale</w:t>
      </w:r>
      <w:r w:rsidR="003C3FFC" w:rsidRPr="00C90DF9">
        <w:rPr>
          <w:lang w:val="en-GB"/>
        </w:rPr>
        <w:t xml:space="preserve">, </w:t>
      </w:r>
      <w:r w:rsidR="00026258">
        <w:rPr>
          <w:lang w:val="en-GB"/>
        </w:rPr>
        <w:t>the low price opport</w:t>
      </w:r>
      <w:r w:rsidR="005C7B3F">
        <w:rPr>
          <w:lang w:val="en-GB"/>
        </w:rPr>
        <w:t xml:space="preserve">unities may be captured by </w:t>
      </w:r>
      <w:r w:rsidR="00C67C6F">
        <w:rPr>
          <w:lang w:val="en-GB"/>
        </w:rPr>
        <w:t xml:space="preserve">other market operators and further affect the business case of electrolysers. </w:t>
      </w:r>
      <w:r w:rsidR="002A2F4F" w:rsidRPr="00C90DF9">
        <w:rPr>
          <w:lang w:val="en-GB"/>
        </w:rPr>
        <w:t>Deliverable 3</w:t>
      </w:r>
      <w:r w:rsidR="00623076" w:rsidRPr="00C90DF9">
        <w:rPr>
          <w:lang w:val="en-GB"/>
        </w:rPr>
        <w:t xml:space="preserve"> assumes</w:t>
      </w:r>
      <w:r w:rsidR="002A2F4F" w:rsidRPr="00C90DF9">
        <w:rPr>
          <w:lang w:val="en-GB"/>
        </w:rPr>
        <w:t xml:space="preserve"> </w:t>
      </w:r>
      <w:r w:rsidR="00807232">
        <w:rPr>
          <w:lang w:val="en-GB"/>
        </w:rPr>
        <w:t xml:space="preserve">renewable </w:t>
      </w:r>
      <w:r w:rsidR="00807232">
        <w:rPr>
          <w:lang w:val="en-GB"/>
        </w:rPr>
        <w:lastRenderedPageBreak/>
        <w:t xml:space="preserve">electricity cost </w:t>
      </w:r>
      <w:r w:rsidR="00A66EF6">
        <w:rPr>
          <w:lang w:val="en-GB"/>
        </w:rPr>
        <w:t>(as input for elect</w:t>
      </w:r>
      <w:r w:rsidR="00247CF7">
        <w:rPr>
          <w:lang w:val="en-GB"/>
        </w:rPr>
        <w:t>rolysers) at</w:t>
      </w:r>
      <w:r w:rsidR="002A2F4F" w:rsidRPr="00C90DF9">
        <w:rPr>
          <w:lang w:val="en-GB"/>
        </w:rPr>
        <w:t xml:space="preserve"> </w:t>
      </w:r>
      <w:r w:rsidR="00E46709" w:rsidRPr="00C90DF9">
        <w:rPr>
          <w:lang w:val="en-GB"/>
        </w:rPr>
        <w:t>almost 60 EUR/MWh in 2021 and reach</w:t>
      </w:r>
      <w:r w:rsidR="00751A46">
        <w:rPr>
          <w:lang w:val="en-GB"/>
        </w:rPr>
        <w:t xml:space="preserve">ing </w:t>
      </w:r>
      <w:r w:rsidR="003472F1" w:rsidRPr="00C90DF9">
        <w:rPr>
          <w:lang w:val="en-GB"/>
        </w:rPr>
        <w:t>around 35 EUR/MWh in 20</w:t>
      </w:r>
      <w:r w:rsidR="00623076" w:rsidRPr="00C90DF9">
        <w:rPr>
          <w:lang w:val="en-GB"/>
        </w:rPr>
        <w:t>50</w:t>
      </w:r>
      <w:r w:rsidR="00F83A8D">
        <w:rPr>
          <w:lang w:val="en-GB"/>
        </w:rPr>
        <w:t xml:space="preserve">. The </w:t>
      </w:r>
      <w:r w:rsidR="00290D77">
        <w:rPr>
          <w:lang w:val="en-GB"/>
        </w:rPr>
        <w:t>modelling a</w:t>
      </w:r>
      <w:r w:rsidR="00121034">
        <w:rPr>
          <w:lang w:val="en-GB"/>
        </w:rPr>
        <w:t xml:space="preserve">lso </w:t>
      </w:r>
      <w:r w:rsidR="00BF7FBA">
        <w:rPr>
          <w:lang w:val="en-GB"/>
        </w:rPr>
        <w:t xml:space="preserve">considers </w:t>
      </w:r>
      <w:r w:rsidR="00703998" w:rsidRPr="00C90DF9">
        <w:rPr>
          <w:lang w:val="en-GB"/>
        </w:rPr>
        <w:t xml:space="preserve">a </w:t>
      </w:r>
      <w:r w:rsidR="00BF7FBA">
        <w:rPr>
          <w:lang w:val="en-GB"/>
        </w:rPr>
        <w:t xml:space="preserve">relatively </w:t>
      </w:r>
      <w:r w:rsidR="00703998" w:rsidRPr="00C90DF9">
        <w:rPr>
          <w:lang w:val="en-GB"/>
        </w:rPr>
        <w:t xml:space="preserve">high utilisation factor for the electrolysers, as </w:t>
      </w:r>
      <w:r w:rsidR="00A55C24" w:rsidRPr="00C90DF9">
        <w:rPr>
          <w:lang w:val="en-GB"/>
        </w:rPr>
        <w:t xml:space="preserve">it is assumed that dedicated wind </w:t>
      </w:r>
      <w:r w:rsidR="005C6253">
        <w:rPr>
          <w:lang w:val="en-GB"/>
        </w:rPr>
        <w:t xml:space="preserve">energy </w:t>
      </w:r>
      <w:r w:rsidR="00A55C24" w:rsidRPr="00C90DF9">
        <w:rPr>
          <w:lang w:val="en-GB"/>
        </w:rPr>
        <w:t>plants would be used for electrolytic hydrogen production.</w:t>
      </w:r>
      <w:r w:rsidR="00A55C24" w:rsidRPr="00163523">
        <w:rPr>
          <w:rStyle w:val="Voetnootmarkering"/>
          <w:lang w:val="en-GB"/>
        </w:rPr>
        <w:footnoteReference w:id="40"/>
      </w:r>
      <w:r w:rsidR="003643DA" w:rsidRPr="00C90DF9">
        <w:rPr>
          <w:lang w:val="en-GB"/>
        </w:rPr>
        <w:t xml:space="preserve"> </w:t>
      </w:r>
    </w:p>
    <w:p w14:paraId="2A210927" w14:textId="77777777" w:rsidR="00735524" w:rsidRPr="00C90DF9" w:rsidRDefault="00735524" w:rsidP="00735524">
      <w:pPr>
        <w:rPr>
          <w:lang w:val="en-GB"/>
        </w:rPr>
      </w:pPr>
    </w:p>
    <w:p w14:paraId="6427918B" w14:textId="3AA762A1" w:rsidR="00B4079F" w:rsidRDefault="00B4079F" w:rsidP="00735524">
      <w:pPr>
        <w:rPr>
          <w:lang w:val="en-GB"/>
        </w:rPr>
      </w:pPr>
      <w:r w:rsidRPr="00C90DF9">
        <w:rPr>
          <w:lang w:val="en-GB"/>
        </w:rPr>
        <w:t xml:space="preserve">Given the flexible operation of electrolysers following the profile of dedicated wind </w:t>
      </w:r>
      <w:r w:rsidR="00194D2A">
        <w:rPr>
          <w:lang w:val="en-GB"/>
        </w:rPr>
        <w:t xml:space="preserve">energy </w:t>
      </w:r>
      <w:r w:rsidRPr="00C90DF9">
        <w:rPr>
          <w:lang w:val="en-GB"/>
        </w:rPr>
        <w:t xml:space="preserve">generation capacities and the demand profile of </w:t>
      </w:r>
      <w:r w:rsidR="00646066">
        <w:rPr>
          <w:lang w:val="en-GB"/>
        </w:rPr>
        <w:t xml:space="preserve">end-use </w:t>
      </w:r>
      <w:r w:rsidR="004E6186" w:rsidRPr="00C90DF9">
        <w:rPr>
          <w:lang w:val="en-GB"/>
        </w:rPr>
        <w:t xml:space="preserve">sectors such as industry and </w:t>
      </w:r>
      <w:r w:rsidR="00194D2A">
        <w:rPr>
          <w:lang w:val="en-GB"/>
        </w:rPr>
        <w:t xml:space="preserve">heavy-duty </w:t>
      </w:r>
      <w:r w:rsidR="004E6186" w:rsidRPr="00C90DF9">
        <w:rPr>
          <w:lang w:val="en-GB"/>
        </w:rPr>
        <w:t xml:space="preserve">transport, hydrogen storage will also be necessary to provide flexibility to the hydrogen system. Deliverable 3 estimates </w:t>
      </w:r>
      <w:r w:rsidR="00C57218">
        <w:rPr>
          <w:lang w:val="en-GB"/>
        </w:rPr>
        <w:t xml:space="preserve">that </w:t>
      </w:r>
      <w:r w:rsidR="00B07676" w:rsidRPr="00C90DF9">
        <w:rPr>
          <w:lang w:val="en-GB"/>
        </w:rPr>
        <w:t xml:space="preserve">between </w:t>
      </w:r>
      <w:r w:rsidR="00E96CCA" w:rsidRPr="00C90DF9">
        <w:rPr>
          <w:lang w:val="en-GB"/>
        </w:rPr>
        <w:t xml:space="preserve">148 </w:t>
      </w:r>
      <w:r w:rsidR="00405AD2" w:rsidRPr="00C90DF9">
        <w:rPr>
          <w:lang w:val="en-GB"/>
        </w:rPr>
        <w:t>GWh</w:t>
      </w:r>
      <w:r w:rsidR="00E96CCA" w:rsidRPr="00C90DF9">
        <w:rPr>
          <w:lang w:val="en-GB"/>
        </w:rPr>
        <w:t xml:space="preserve"> (in the </w:t>
      </w:r>
      <w:r w:rsidR="00A131B1" w:rsidRPr="00C90DF9">
        <w:rPr>
          <w:lang w:val="en-GB"/>
        </w:rPr>
        <w:t>REN-Biomethane</w:t>
      </w:r>
      <w:r w:rsidR="00E96CCA" w:rsidRPr="00C90DF9">
        <w:rPr>
          <w:lang w:val="en-GB"/>
        </w:rPr>
        <w:t xml:space="preserve"> scenario)</w:t>
      </w:r>
      <w:r w:rsidR="00A131B1" w:rsidRPr="00C90DF9">
        <w:rPr>
          <w:lang w:val="en-GB"/>
        </w:rPr>
        <w:t xml:space="preserve"> </w:t>
      </w:r>
      <w:r w:rsidR="00C57218">
        <w:rPr>
          <w:lang w:val="en-GB"/>
        </w:rPr>
        <w:t>and</w:t>
      </w:r>
      <w:r w:rsidR="00A131B1" w:rsidRPr="00C90DF9">
        <w:rPr>
          <w:lang w:val="en-GB"/>
        </w:rPr>
        <w:t xml:space="preserve"> 293 </w:t>
      </w:r>
      <w:r w:rsidR="00405AD2" w:rsidRPr="00C90DF9">
        <w:rPr>
          <w:lang w:val="en-GB"/>
        </w:rPr>
        <w:t>GWh</w:t>
      </w:r>
      <w:r w:rsidR="00A131B1" w:rsidRPr="00C90DF9">
        <w:rPr>
          <w:lang w:val="en-GB"/>
        </w:rPr>
        <w:t xml:space="preserve"> (in the REN-Hydrogen scenario) of hydrogen storage will be necessary by 2050. </w:t>
      </w:r>
      <w:r w:rsidR="002762FD" w:rsidRPr="00C90DF9">
        <w:rPr>
          <w:lang w:val="en-GB"/>
        </w:rPr>
        <w:t xml:space="preserve">Other studies </w:t>
      </w:r>
      <w:r w:rsidR="00C57218">
        <w:rPr>
          <w:lang w:val="en-GB"/>
        </w:rPr>
        <w:t>assume</w:t>
      </w:r>
      <w:r w:rsidR="002762FD" w:rsidRPr="00C90DF9">
        <w:rPr>
          <w:lang w:val="en-GB"/>
        </w:rPr>
        <w:t xml:space="preserve"> much higher hydrogen storage needs, e.g. </w:t>
      </w:r>
      <w:r w:rsidR="003E157C" w:rsidRPr="00C90DF9">
        <w:rPr>
          <w:lang w:val="en-GB"/>
        </w:rPr>
        <w:t xml:space="preserve">6.3 </w:t>
      </w:r>
      <w:proofErr w:type="spellStart"/>
      <w:r w:rsidR="003E157C" w:rsidRPr="00C90DF9">
        <w:rPr>
          <w:lang w:val="en-GB"/>
        </w:rPr>
        <w:t>TWh</w:t>
      </w:r>
      <w:proofErr w:type="spellEnd"/>
      <w:r w:rsidR="003E157C" w:rsidRPr="00C90DF9">
        <w:rPr>
          <w:lang w:val="en-GB"/>
        </w:rPr>
        <w:t xml:space="preserve"> in Finland and </w:t>
      </w:r>
      <w:r w:rsidR="000C7F8C" w:rsidRPr="00C90DF9">
        <w:rPr>
          <w:lang w:val="en-GB"/>
        </w:rPr>
        <w:t xml:space="preserve">0.4 </w:t>
      </w:r>
      <w:proofErr w:type="spellStart"/>
      <w:r w:rsidR="000C7F8C" w:rsidRPr="00C90DF9">
        <w:rPr>
          <w:lang w:val="en-GB"/>
        </w:rPr>
        <w:t>TWh</w:t>
      </w:r>
      <w:proofErr w:type="spellEnd"/>
      <w:r w:rsidR="000C7F8C" w:rsidRPr="00C90DF9">
        <w:rPr>
          <w:lang w:val="en-GB"/>
        </w:rPr>
        <w:t xml:space="preserve"> in Estonia by 2050 according to </w:t>
      </w:r>
      <w:proofErr w:type="spellStart"/>
      <w:r w:rsidR="000C7F8C" w:rsidRPr="00C90DF9">
        <w:rPr>
          <w:lang w:val="en-GB"/>
        </w:rPr>
        <w:t>Guidehouse</w:t>
      </w:r>
      <w:proofErr w:type="spellEnd"/>
      <w:r w:rsidR="000C7F8C" w:rsidRPr="00C90DF9">
        <w:rPr>
          <w:lang w:val="en-GB"/>
        </w:rPr>
        <w:t xml:space="preserve"> (2021).</w:t>
      </w:r>
      <w:r w:rsidR="000C7F8C" w:rsidRPr="00163523">
        <w:rPr>
          <w:rStyle w:val="Voetnootmarkering"/>
          <w:lang w:val="en-GB"/>
        </w:rPr>
        <w:footnoteReference w:id="41"/>
      </w:r>
      <w:r w:rsidR="00F307C6" w:rsidRPr="00C90DF9">
        <w:rPr>
          <w:lang w:val="en-GB"/>
        </w:rPr>
        <w:t xml:space="preserve"> While large </w:t>
      </w:r>
      <w:r w:rsidR="00BC3238">
        <w:rPr>
          <w:lang w:val="en-GB"/>
        </w:rPr>
        <w:t xml:space="preserve">underground hydrogen </w:t>
      </w:r>
      <w:r w:rsidR="00D31D49" w:rsidRPr="00C90DF9">
        <w:rPr>
          <w:lang w:val="en-GB"/>
        </w:rPr>
        <w:t xml:space="preserve">storage could be deployed in the REN-Hydrogen scenario once a hydrogen backbone is developed, the </w:t>
      </w:r>
      <w:r w:rsidR="00FF588F">
        <w:rPr>
          <w:lang w:val="en-GB"/>
        </w:rPr>
        <w:t>other decar</w:t>
      </w:r>
      <w:r w:rsidR="00F4267F">
        <w:rPr>
          <w:lang w:val="en-GB"/>
        </w:rPr>
        <w:t>bon</w:t>
      </w:r>
      <w:r w:rsidR="002A4732">
        <w:rPr>
          <w:lang w:val="en-GB"/>
        </w:rPr>
        <w:t xml:space="preserve">isation </w:t>
      </w:r>
      <w:r w:rsidR="00D31D49" w:rsidRPr="00C90DF9">
        <w:rPr>
          <w:lang w:val="en-GB"/>
        </w:rPr>
        <w:t xml:space="preserve">scenarios do not foresee such backbone, and thus would rely on above-ground </w:t>
      </w:r>
      <w:r w:rsidR="004D0EBE" w:rsidRPr="00C90DF9">
        <w:rPr>
          <w:lang w:val="en-GB"/>
        </w:rPr>
        <w:t xml:space="preserve">storage which has a significantly higher cost. </w:t>
      </w:r>
      <w:r w:rsidR="004D0EBE" w:rsidRPr="00735524">
        <w:rPr>
          <w:lang w:val="en-GB"/>
        </w:rPr>
        <w:t xml:space="preserve">The absence of a backbone </w:t>
      </w:r>
      <w:r w:rsidR="00335BAD">
        <w:rPr>
          <w:lang w:val="en-GB"/>
        </w:rPr>
        <w:t xml:space="preserve">between the hydrogen clusters </w:t>
      </w:r>
      <w:r w:rsidR="004D0EBE" w:rsidRPr="00735524">
        <w:rPr>
          <w:lang w:val="en-GB"/>
        </w:rPr>
        <w:t xml:space="preserve">would also </w:t>
      </w:r>
      <w:r w:rsidR="00335BAD">
        <w:rPr>
          <w:lang w:val="en-GB"/>
        </w:rPr>
        <w:t xml:space="preserve">imply that </w:t>
      </w:r>
      <w:r w:rsidR="004D0EBE" w:rsidRPr="00735524">
        <w:rPr>
          <w:lang w:val="en-GB"/>
        </w:rPr>
        <w:t xml:space="preserve">a lower number of hydrogen producers and consumers would be connected, </w:t>
      </w:r>
      <w:r w:rsidR="006E679E" w:rsidRPr="00735524">
        <w:rPr>
          <w:lang w:val="en-GB"/>
        </w:rPr>
        <w:t>thus comparatively increasing the flexibility needs of each hydrogen cluster</w:t>
      </w:r>
      <w:r w:rsidR="00735524" w:rsidRPr="00735524">
        <w:rPr>
          <w:lang w:val="en-GB"/>
        </w:rPr>
        <w:t>.</w:t>
      </w:r>
    </w:p>
    <w:p w14:paraId="533F0508" w14:textId="77777777" w:rsidR="00735524" w:rsidRPr="00735524" w:rsidRDefault="00735524" w:rsidP="00735524">
      <w:pPr>
        <w:rPr>
          <w:lang w:val="en-GB"/>
        </w:rPr>
      </w:pPr>
    </w:p>
    <w:p w14:paraId="7D2068E5" w14:textId="01FB8140" w:rsidR="006906CB" w:rsidRDefault="006906CB" w:rsidP="00735524">
      <w:pPr>
        <w:rPr>
          <w:lang w:val="en-GB"/>
        </w:rPr>
      </w:pPr>
      <w:r w:rsidRPr="00735524">
        <w:rPr>
          <w:lang w:val="en-GB"/>
        </w:rPr>
        <w:t xml:space="preserve">Regarding </w:t>
      </w:r>
      <w:r w:rsidR="00F3348A">
        <w:rPr>
          <w:lang w:val="en-GB"/>
        </w:rPr>
        <w:t xml:space="preserve">energy system </w:t>
      </w:r>
      <w:r w:rsidRPr="00735524">
        <w:rPr>
          <w:lang w:val="en-GB"/>
        </w:rPr>
        <w:t xml:space="preserve">adequacy, the 2022 European Resource Adequacy Assessment </w:t>
      </w:r>
      <w:r w:rsidR="00F3348A">
        <w:rPr>
          <w:lang w:val="en-GB"/>
        </w:rPr>
        <w:t xml:space="preserve">states </w:t>
      </w:r>
      <w:r w:rsidRPr="00735524">
        <w:rPr>
          <w:lang w:val="en-GB"/>
        </w:rPr>
        <w:t xml:space="preserve">that Estonia and Lithuania will </w:t>
      </w:r>
      <w:r w:rsidR="00F3348A">
        <w:rPr>
          <w:lang w:val="en-GB"/>
        </w:rPr>
        <w:t xml:space="preserve">face </w:t>
      </w:r>
      <w:r w:rsidRPr="00735524">
        <w:rPr>
          <w:lang w:val="en-GB"/>
        </w:rPr>
        <w:t xml:space="preserve">see a relatively high loss of load expectation </w:t>
      </w:r>
      <w:r w:rsidR="007B0C08" w:rsidRPr="00735524">
        <w:rPr>
          <w:lang w:val="en-GB"/>
        </w:rPr>
        <w:t>(</w:t>
      </w:r>
      <w:proofErr w:type="spellStart"/>
      <w:r w:rsidR="007B0C08" w:rsidRPr="00735524">
        <w:rPr>
          <w:lang w:val="en-GB"/>
        </w:rPr>
        <w:t>LoLE</w:t>
      </w:r>
      <w:proofErr w:type="spellEnd"/>
      <w:r w:rsidR="007B0C08" w:rsidRPr="00735524">
        <w:rPr>
          <w:lang w:val="en-GB"/>
        </w:rPr>
        <w:t xml:space="preserve">) </w:t>
      </w:r>
      <w:r w:rsidR="00F3348A">
        <w:rPr>
          <w:lang w:val="en-GB"/>
        </w:rPr>
        <w:t xml:space="preserve">risk </w:t>
      </w:r>
      <w:r w:rsidRPr="00735524">
        <w:rPr>
          <w:lang w:val="en-GB"/>
        </w:rPr>
        <w:t xml:space="preserve">by 2030 </w:t>
      </w:r>
      <w:r w:rsidR="007B0C08" w:rsidRPr="00735524">
        <w:rPr>
          <w:lang w:val="en-GB"/>
        </w:rPr>
        <w:t xml:space="preserve">in the absence of capacity mechanisms (while </w:t>
      </w:r>
      <w:r w:rsidR="00C473CB">
        <w:rPr>
          <w:lang w:val="en-GB"/>
        </w:rPr>
        <w:t xml:space="preserve">this risk is much lower </w:t>
      </w:r>
      <w:r w:rsidR="00531E6D">
        <w:rPr>
          <w:lang w:val="en-GB"/>
        </w:rPr>
        <w:t xml:space="preserve">in </w:t>
      </w:r>
      <w:r w:rsidR="007B0C08" w:rsidRPr="00735524">
        <w:rPr>
          <w:lang w:val="en-GB"/>
        </w:rPr>
        <w:t>Latvia and Finland).</w:t>
      </w:r>
      <w:r w:rsidR="007B0C08" w:rsidRPr="00163523">
        <w:rPr>
          <w:rStyle w:val="Voetnootmarkering"/>
          <w:lang w:val="en-GB"/>
        </w:rPr>
        <w:footnoteReference w:id="42"/>
      </w:r>
      <w:r w:rsidR="00DA3CB0" w:rsidRPr="00735524">
        <w:rPr>
          <w:lang w:val="en-GB"/>
        </w:rPr>
        <w:t xml:space="preserve"> However, it can be expected that</w:t>
      </w:r>
      <w:r w:rsidR="005854AC" w:rsidRPr="00735524">
        <w:rPr>
          <w:lang w:val="en-GB"/>
        </w:rPr>
        <w:t xml:space="preserve">, as a potential flexibility solution, power-to-gas-to-power would rather provide a contribution to addressing any </w:t>
      </w:r>
      <w:r w:rsidR="00A46A7D">
        <w:rPr>
          <w:lang w:val="en-GB"/>
        </w:rPr>
        <w:t xml:space="preserve">energy system </w:t>
      </w:r>
      <w:r w:rsidR="005854AC" w:rsidRPr="00735524">
        <w:rPr>
          <w:lang w:val="en-GB"/>
        </w:rPr>
        <w:t>adequacy concerns rather than being negatively impacted</w:t>
      </w:r>
      <w:r w:rsidR="00735524" w:rsidRPr="00735524">
        <w:rPr>
          <w:lang w:val="en-GB"/>
        </w:rPr>
        <w:t>.</w:t>
      </w:r>
    </w:p>
    <w:p w14:paraId="5F3F6E6B" w14:textId="77777777" w:rsidR="00735524" w:rsidRPr="00735524" w:rsidRDefault="00735524" w:rsidP="00735524">
      <w:pPr>
        <w:rPr>
          <w:lang w:val="en-GB"/>
        </w:rPr>
      </w:pPr>
    </w:p>
    <w:p w14:paraId="15DF3C4F" w14:textId="7D85E3BB" w:rsidR="00186783" w:rsidRPr="00C90DF9" w:rsidRDefault="004012FF" w:rsidP="00735524">
      <w:pPr>
        <w:rPr>
          <w:lang w:val="en-GB"/>
        </w:rPr>
      </w:pPr>
      <w:r>
        <w:rPr>
          <w:lang w:val="en-GB"/>
        </w:rPr>
        <w:t>Regarding</w:t>
      </w:r>
      <w:r w:rsidR="00735524" w:rsidRPr="00C90DF9">
        <w:rPr>
          <w:lang w:val="en-GB"/>
        </w:rPr>
        <w:t xml:space="preserve"> biogas/biomethane, matching</w:t>
      </w:r>
      <w:r w:rsidR="001B1112" w:rsidRPr="00C90DF9">
        <w:rPr>
          <w:lang w:val="en-GB"/>
        </w:rPr>
        <w:t xml:space="preserve"> supply and demand can also </w:t>
      </w:r>
      <w:r w:rsidR="00186783" w:rsidRPr="00C90DF9">
        <w:rPr>
          <w:lang w:val="en-GB"/>
        </w:rPr>
        <w:t xml:space="preserve">in </w:t>
      </w:r>
      <w:r w:rsidR="007573F8">
        <w:rPr>
          <w:lang w:val="en-GB"/>
        </w:rPr>
        <w:t xml:space="preserve">some cases </w:t>
      </w:r>
      <w:r w:rsidR="001B1112" w:rsidRPr="00C90DF9">
        <w:rPr>
          <w:lang w:val="en-GB"/>
        </w:rPr>
        <w:t>be a</w:t>
      </w:r>
      <w:r w:rsidR="00186783" w:rsidRPr="00C90DF9">
        <w:rPr>
          <w:lang w:val="en-GB"/>
        </w:rPr>
        <w:t xml:space="preserve"> challenge</w:t>
      </w:r>
      <w:r w:rsidR="005D0CD4">
        <w:rPr>
          <w:lang w:val="en-GB"/>
        </w:rPr>
        <w:t xml:space="preserve">, depending on the </w:t>
      </w:r>
      <w:r w:rsidR="00E37EBD">
        <w:rPr>
          <w:lang w:val="en-GB"/>
        </w:rPr>
        <w:t xml:space="preserve">feedstock type and its </w:t>
      </w:r>
      <w:r w:rsidR="005D0CD4">
        <w:rPr>
          <w:lang w:val="en-GB"/>
        </w:rPr>
        <w:t>use</w:t>
      </w:r>
      <w:r w:rsidR="00186783" w:rsidRPr="00C90DF9">
        <w:rPr>
          <w:lang w:val="en-GB"/>
        </w:rPr>
        <w:t xml:space="preserve">. For example biogas/biomethane production may be </w:t>
      </w:r>
      <w:r w:rsidR="0007720D">
        <w:rPr>
          <w:lang w:val="en-GB"/>
        </w:rPr>
        <w:t xml:space="preserve">higher </w:t>
      </w:r>
      <w:r w:rsidR="00186783" w:rsidRPr="00C90DF9">
        <w:rPr>
          <w:lang w:val="en-GB"/>
        </w:rPr>
        <w:t xml:space="preserve">in summer for some </w:t>
      </w:r>
      <w:r w:rsidR="009D0EE4" w:rsidRPr="00C90DF9">
        <w:rPr>
          <w:lang w:val="en-GB"/>
        </w:rPr>
        <w:t>biomass feedstocks</w:t>
      </w:r>
      <w:r w:rsidR="00B85FA9" w:rsidRPr="00C90DF9">
        <w:rPr>
          <w:lang w:val="en-GB"/>
        </w:rPr>
        <w:t xml:space="preserve">, especially </w:t>
      </w:r>
      <w:r w:rsidR="00CE0F3A" w:rsidRPr="00C90DF9">
        <w:rPr>
          <w:lang w:val="en-GB"/>
        </w:rPr>
        <w:t>lignocellulosic</w:t>
      </w:r>
      <w:r w:rsidR="00B85FA9" w:rsidRPr="00C90DF9">
        <w:rPr>
          <w:lang w:val="en-GB"/>
        </w:rPr>
        <w:t xml:space="preserve"> biomass from agricultural crops/residues</w:t>
      </w:r>
      <w:r w:rsidR="00A140E6" w:rsidRPr="00C90DF9">
        <w:rPr>
          <w:lang w:val="en-GB"/>
        </w:rPr>
        <w:t>,</w:t>
      </w:r>
      <w:r w:rsidR="00B85FA9" w:rsidRPr="00163523">
        <w:rPr>
          <w:rStyle w:val="Voetnootmarkering"/>
          <w:lang w:val="en-GB"/>
        </w:rPr>
        <w:footnoteReference w:id="43"/>
      </w:r>
      <w:r w:rsidR="009D0EE4" w:rsidRPr="00C90DF9">
        <w:rPr>
          <w:lang w:val="en-GB"/>
        </w:rPr>
        <w:t xml:space="preserve"> while demand for heating purposes is concentrated in </w:t>
      </w:r>
      <w:r w:rsidR="007A3308">
        <w:rPr>
          <w:lang w:val="en-GB"/>
        </w:rPr>
        <w:t xml:space="preserve">the </w:t>
      </w:r>
      <w:r w:rsidR="009D0EE4" w:rsidRPr="00C90DF9">
        <w:rPr>
          <w:lang w:val="en-GB"/>
        </w:rPr>
        <w:t>winter</w:t>
      </w:r>
      <w:r w:rsidR="007A3308">
        <w:rPr>
          <w:lang w:val="en-GB"/>
        </w:rPr>
        <w:t xml:space="preserve"> season</w:t>
      </w:r>
      <w:r w:rsidR="009D0EE4" w:rsidRPr="00C90DF9">
        <w:rPr>
          <w:lang w:val="en-GB"/>
        </w:rPr>
        <w:t xml:space="preserve">. </w:t>
      </w:r>
      <w:r w:rsidR="002F6F6E" w:rsidRPr="00C90DF9">
        <w:rPr>
          <w:lang w:val="en-GB"/>
        </w:rPr>
        <w:t xml:space="preserve">The storage of biomethane in the existing </w:t>
      </w:r>
      <w:proofErr w:type="spellStart"/>
      <w:r w:rsidR="00A54CF6" w:rsidRPr="00C90DF9">
        <w:rPr>
          <w:lang w:val="en-GB"/>
        </w:rPr>
        <w:t>Inčukalns</w:t>
      </w:r>
      <w:proofErr w:type="spellEnd"/>
      <w:r w:rsidR="004E3F83">
        <w:rPr>
          <w:lang w:val="en-GB"/>
        </w:rPr>
        <w:t xml:space="preserve"> underground gas storage in Latvia</w:t>
      </w:r>
      <w:r w:rsidR="00761672" w:rsidRPr="00C90DF9">
        <w:rPr>
          <w:lang w:val="en-GB"/>
        </w:rPr>
        <w:t xml:space="preserve"> c</w:t>
      </w:r>
      <w:r w:rsidR="00F6060E">
        <w:rPr>
          <w:lang w:val="en-GB"/>
        </w:rPr>
        <w:t>ould</w:t>
      </w:r>
      <w:r w:rsidR="00761672" w:rsidRPr="00C90DF9">
        <w:rPr>
          <w:lang w:val="en-GB"/>
        </w:rPr>
        <w:t xml:space="preserve"> be </w:t>
      </w:r>
      <w:r w:rsidR="006343E6">
        <w:rPr>
          <w:lang w:val="en-GB"/>
        </w:rPr>
        <w:t xml:space="preserve">considered </w:t>
      </w:r>
      <w:r w:rsidR="00761672" w:rsidRPr="00C90DF9">
        <w:rPr>
          <w:lang w:val="en-GB"/>
        </w:rPr>
        <w:t xml:space="preserve">for this purpose, but the repurposing of regional methane gas </w:t>
      </w:r>
      <w:r w:rsidR="005C3DC8">
        <w:rPr>
          <w:lang w:val="en-GB"/>
        </w:rPr>
        <w:t xml:space="preserve">pipelines </w:t>
      </w:r>
      <w:r w:rsidR="00761672" w:rsidRPr="00C90DF9">
        <w:rPr>
          <w:lang w:val="en-GB"/>
        </w:rPr>
        <w:t xml:space="preserve">to hydrogen in the REN-Hydrogen scenario </w:t>
      </w:r>
      <w:r w:rsidR="003454B3" w:rsidRPr="00C90DF9">
        <w:rPr>
          <w:lang w:val="en-GB"/>
        </w:rPr>
        <w:t xml:space="preserve">would </w:t>
      </w:r>
      <w:r w:rsidR="007F40DE">
        <w:rPr>
          <w:lang w:val="en-GB"/>
        </w:rPr>
        <w:t xml:space="preserve">also necessitate </w:t>
      </w:r>
      <w:r w:rsidR="003454B3" w:rsidRPr="00C90DF9">
        <w:rPr>
          <w:lang w:val="en-GB"/>
        </w:rPr>
        <w:t>local storage of methane gases, in addition to other flexibility solutions</w:t>
      </w:r>
      <w:r w:rsidR="004A5627" w:rsidRPr="00C90DF9">
        <w:rPr>
          <w:lang w:val="en-GB"/>
        </w:rPr>
        <w:t xml:space="preserve">. </w:t>
      </w:r>
      <w:r w:rsidR="00A059BF">
        <w:rPr>
          <w:lang w:val="en-GB"/>
        </w:rPr>
        <w:t xml:space="preserve">If </w:t>
      </w:r>
      <w:r w:rsidR="00570774">
        <w:rPr>
          <w:lang w:val="en-GB"/>
        </w:rPr>
        <w:t xml:space="preserve">large-scale storage of biomethane at </w:t>
      </w:r>
      <w:r w:rsidR="00A059BF">
        <w:rPr>
          <w:lang w:val="en-GB"/>
        </w:rPr>
        <w:t xml:space="preserve">regional </w:t>
      </w:r>
      <w:r w:rsidR="00570774">
        <w:rPr>
          <w:lang w:val="en-GB"/>
        </w:rPr>
        <w:t xml:space="preserve">level would not be possible, </w:t>
      </w:r>
      <w:r w:rsidR="00EC06A8">
        <w:rPr>
          <w:lang w:val="en-GB"/>
        </w:rPr>
        <w:t xml:space="preserve">local </w:t>
      </w:r>
      <w:r w:rsidR="00570774">
        <w:rPr>
          <w:lang w:val="en-GB"/>
        </w:rPr>
        <w:t>s</w:t>
      </w:r>
      <w:r w:rsidR="00684C25" w:rsidRPr="00C90DF9">
        <w:rPr>
          <w:lang w:val="en-GB"/>
        </w:rPr>
        <w:t xml:space="preserve">torage of biomass feedstocks as well as </w:t>
      </w:r>
      <w:r w:rsidR="00520A4E">
        <w:rPr>
          <w:lang w:val="en-GB"/>
        </w:rPr>
        <w:t xml:space="preserve">of </w:t>
      </w:r>
      <w:r w:rsidR="00684C25" w:rsidRPr="00C90DF9">
        <w:rPr>
          <w:lang w:val="en-GB"/>
        </w:rPr>
        <w:t xml:space="preserve">biogas/biomethane </w:t>
      </w:r>
      <w:r w:rsidR="00570774">
        <w:rPr>
          <w:lang w:val="en-GB"/>
        </w:rPr>
        <w:t>can be considered</w:t>
      </w:r>
      <w:r w:rsidR="00684C25" w:rsidRPr="00C90DF9">
        <w:rPr>
          <w:lang w:val="en-GB"/>
        </w:rPr>
        <w:t xml:space="preserve">, increasing the ability to </w:t>
      </w:r>
      <w:r w:rsidR="00570CEB">
        <w:rPr>
          <w:lang w:val="en-GB"/>
        </w:rPr>
        <w:t>adapt</w:t>
      </w:r>
      <w:r w:rsidR="00FB2F82">
        <w:rPr>
          <w:lang w:val="en-GB"/>
        </w:rPr>
        <w:t xml:space="preserve"> </w:t>
      </w:r>
      <w:r w:rsidR="001D6C87">
        <w:rPr>
          <w:lang w:val="en-GB"/>
        </w:rPr>
        <w:t xml:space="preserve">the </w:t>
      </w:r>
      <w:r w:rsidR="00C90ABD" w:rsidRPr="00C90DF9">
        <w:rPr>
          <w:lang w:val="en-GB"/>
        </w:rPr>
        <w:t>production profiles</w:t>
      </w:r>
      <w:r w:rsidR="00EC06A8">
        <w:rPr>
          <w:lang w:val="en-GB"/>
        </w:rPr>
        <w:t xml:space="preserve">, and </w:t>
      </w:r>
      <w:r w:rsidR="0071624A">
        <w:rPr>
          <w:lang w:val="en-GB"/>
        </w:rPr>
        <w:t xml:space="preserve">to </w:t>
      </w:r>
      <w:r w:rsidR="00810D8E">
        <w:rPr>
          <w:lang w:val="en-GB"/>
        </w:rPr>
        <w:t>match demand and supply</w:t>
      </w:r>
      <w:r w:rsidR="006F4835" w:rsidRPr="00C90DF9">
        <w:rPr>
          <w:lang w:val="en-GB"/>
        </w:rPr>
        <w:t xml:space="preserve">. </w:t>
      </w:r>
      <w:r w:rsidR="0071624A">
        <w:rPr>
          <w:lang w:val="en-GB"/>
        </w:rPr>
        <w:t>While the supply of some biomass feedstocks has a seasonal profile, othe</w:t>
      </w:r>
      <w:r w:rsidR="000A16FD">
        <w:rPr>
          <w:lang w:val="en-GB"/>
        </w:rPr>
        <w:t>r types such as no</w:t>
      </w:r>
      <w:r w:rsidR="0006535D" w:rsidRPr="00C90DF9">
        <w:rPr>
          <w:lang w:val="en-GB"/>
        </w:rPr>
        <w:t>n-lignocellulosic biomass have much more constant supply profiles throughout the year.</w:t>
      </w:r>
      <w:r w:rsidR="00A2146C">
        <w:rPr>
          <w:lang w:val="en-GB"/>
        </w:rPr>
        <w:t xml:space="preserve"> </w:t>
      </w:r>
      <w:r w:rsidR="006F4835" w:rsidRPr="00C90DF9">
        <w:rPr>
          <w:lang w:val="en-GB"/>
        </w:rPr>
        <w:t xml:space="preserve">This is in line with the assumption of Deliverable 3 of the present </w:t>
      </w:r>
      <w:r w:rsidR="00A2146C">
        <w:rPr>
          <w:lang w:val="en-GB"/>
        </w:rPr>
        <w:t>study</w:t>
      </w:r>
      <w:r w:rsidR="006F4835" w:rsidRPr="00C90DF9">
        <w:rPr>
          <w:lang w:val="en-GB"/>
        </w:rPr>
        <w:t xml:space="preserve"> which assume</w:t>
      </w:r>
      <w:r w:rsidR="00D4018A">
        <w:rPr>
          <w:lang w:val="en-GB"/>
        </w:rPr>
        <w:t>s</w:t>
      </w:r>
      <w:r w:rsidR="006F4835" w:rsidRPr="00C90DF9">
        <w:rPr>
          <w:lang w:val="en-GB"/>
        </w:rPr>
        <w:t xml:space="preserve"> </w:t>
      </w:r>
      <w:r w:rsidR="0006535D" w:rsidRPr="00C90DF9">
        <w:rPr>
          <w:lang w:val="en-GB"/>
        </w:rPr>
        <w:t>a biomethane plant utilisation rate of 85% (constant throughout the year).</w:t>
      </w:r>
      <w:r w:rsidR="0006535D" w:rsidRPr="00163523">
        <w:rPr>
          <w:rStyle w:val="Voetnootmarkering"/>
          <w:lang w:val="en-GB"/>
        </w:rPr>
        <w:footnoteReference w:id="44"/>
      </w:r>
    </w:p>
    <w:p w14:paraId="0C0F2B5E" w14:textId="77777777" w:rsidR="00F63E15" w:rsidRPr="00163523" w:rsidRDefault="00F63E15" w:rsidP="00F63E15">
      <w:pPr>
        <w:rPr>
          <w:lang w:val="en-GB"/>
        </w:rPr>
      </w:pPr>
    </w:p>
    <w:p w14:paraId="3CFF737D" w14:textId="36FE0995" w:rsidR="00F63E15" w:rsidRPr="00163523" w:rsidRDefault="00AB17A7" w:rsidP="00F63E15">
      <w:pPr>
        <w:pStyle w:val="Kop4"/>
        <w:rPr>
          <w:lang w:val="en-GB"/>
        </w:rPr>
      </w:pPr>
      <w:r w:rsidRPr="00163523">
        <w:rPr>
          <w:lang w:val="en-GB"/>
        </w:rPr>
        <w:lastRenderedPageBreak/>
        <w:t>Rating</w:t>
      </w:r>
      <w:r w:rsidR="00F63E15" w:rsidRPr="00163523">
        <w:rPr>
          <w:lang w:val="en-GB"/>
        </w:rPr>
        <w:t xml:space="preserve"> of the </w:t>
      </w:r>
      <w:r w:rsidRPr="00163523">
        <w:rPr>
          <w:lang w:val="en-GB"/>
        </w:rPr>
        <w:t xml:space="preserve">risk </w:t>
      </w:r>
      <w:r w:rsidR="00F63E15" w:rsidRPr="00163523">
        <w:rPr>
          <w:lang w:val="en-GB"/>
        </w:rPr>
        <w:t>based on likelihood and severity</w:t>
      </w:r>
    </w:p>
    <w:p w14:paraId="2EFE610C" w14:textId="55D81480" w:rsidR="00F63E15" w:rsidRDefault="00700E80" w:rsidP="00F63E15">
      <w:pPr>
        <w:rPr>
          <w:lang w:val="en-GB"/>
        </w:rPr>
      </w:pPr>
      <w:r w:rsidRPr="00163523">
        <w:rPr>
          <w:lang w:val="en-GB"/>
        </w:rPr>
        <w:t xml:space="preserve">Given the analysis above, </w:t>
      </w:r>
      <w:r w:rsidRPr="00C719FE">
        <w:rPr>
          <w:b/>
          <w:bCs/>
          <w:lang w:val="en-GB"/>
        </w:rPr>
        <w:t>the severity of the risk</w:t>
      </w:r>
      <w:r>
        <w:rPr>
          <w:b/>
          <w:bCs/>
          <w:lang w:val="en-GB"/>
        </w:rPr>
        <w:t xml:space="preserve"> is classified</w:t>
      </w:r>
      <w:r w:rsidRPr="00C719FE">
        <w:rPr>
          <w:b/>
          <w:bCs/>
          <w:lang w:val="en-GB"/>
        </w:rPr>
        <w:t xml:space="preserve"> as ‘</w:t>
      </w:r>
      <w:r w:rsidR="00E166D5">
        <w:rPr>
          <w:b/>
          <w:bCs/>
          <w:lang w:val="en-GB"/>
        </w:rPr>
        <w:t>low’</w:t>
      </w:r>
      <w:r>
        <w:rPr>
          <w:b/>
          <w:bCs/>
          <w:lang w:val="en-GB"/>
        </w:rPr>
        <w:t xml:space="preserve">. </w:t>
      </w:r>
      <w:r w:rsidR="001220E8">
        <w:rPr>
          <w:lang w:val="en-GB"/>
        </w:rPr>
        <w:t xml:space="preserve">For biogas and biomethane, </w:t>
      </w:r>
      <w:r w:rsidR="00772970">
        <w:rPr>
          <w:lang w:val="en-GB"/>
        </w:rPr>
        <w:t xml:space="preserve">we assume that </w:t>
      </w:r>
      <w:r w:rsidR="001220E8">
        <w:rPr>
          <w:lang w:val="en-GB"/>
        </w:rPr>
        <w:t xml:space="preserve">feedstock and gas storage options </w:t>
      </w:r>
      <w:r w:rsidR="00782541">
        <w:rPr>
          <w:lang w:val="en-GB"/>
        </w:rPr>
        <w:t xml:space="preserve">will </w:t>
      </w:r>
      <w:r w:rsidR="00772970">
        <w:rPr>
          <w:lang w:val="en-GB"/>
        </w:rPr>
        <w:t xml:space="preserve">be available </w:t>
      </w:r>
      <w:r w:rsidR="00782541">
        <w:rPr>
          <w:lang w:val="en-GB"/>
        </w:rPr>
        <w:t xml:space="preserve">to match supply and demand, particularly in the REN-Biomethane and Cost Minimal scenarios where </w:t>
      </w:r>
      <w:r w:rsidR="00CF3B53">
        <w:rPr>
          <w:lang w:val="en-GB"/>
        </w:rPr>
        <w:t>the</w:t>
      </w:r>
      <w:r w:rsidR="00782541">
        <w:rPr>
          <w:lang w:val="en-GB"/>
        </w:rPr>
        <w:t xml:space="preserve"> cross-border methane gas network </w:t>
      </w:r>
      <w:r w:rsidR="00CF3B53">
        <w:rPr>
          <w:lang w:val="en-GB"/>
        </w:rPr>
        <w:t xml:space="preserve">would remain </w:t>
      </w:r>
      <w:r w:rsidR="006C5194">
        <w:rPr>
          <w:lang w:val="en-GB"/>
        </w:rPr>
        <w:t xml:space="preserve">available </w:t>
      </w:r>
      <w:r w:rsidR="00782541">
        <w:rPr>
          <w:lang w:val="en-GB"/>
        </w:rPr>
        <w:t xml:space="preserve">allowing the use of </w:t>
      </w:r>
      <w:r w:rsidR="00CF3B53">
        <w:rPr>
          <w:lang w:val="en-GB"/>
        </w:rPr>
        <w:t xml:space="preserve">the </w:t>
      </w:r>
      <w:r w:rsidR="00782541">
        <w:rPr>
          <w:lang w:val="en-GB"/>
        </w:rPr>
        <w:t>Latvia</w:t>
      </w:r>
      <w:r w:rsidR="00CF3B53">
        <w:rPr>
          <w:lang w:val="en-GB"/>
        </w:rPr>
        <w:t>n</w:t>
      </w:r>
      <w:r w:rsidR="00782541">
        <w:rPr>
          <w:lang w:val="en-GB"/>
        </w:rPr>
        <w:t xml:space="preserve"> gas storage</w:t>
      </w:r>
      <w:r w:rsidR="00CF3B53">
        <w:rPr>
          <w:lang w:val="en-GB"/>
        </w:rPr>
        <w:t xml:space="preserve"> site</w:t>
      </w:r>
      <w:r w:rsidR="00782541">
        <w:rPr>
          <w:lang w:val="en-GB"/>
        </w:rPr>
        <w:t xml:space="preserve">. </w:t>
      </w:r>
      <w:r w:rsidR="00B73AA3">
        <w:rPr>
          <w:lang w:val="en-GB"/>
        </w:rPr>
        <w:t>The f</w:t>
      </w:r>
      <w:r w:rsidR="00782541">
        <w:rPr>
          <w:lang w:val="en-GB"/>
        </w:rPr>
        <w:t xml:space="preserve">lexibility risks </w:t>
      </w:r>
      <w:r w:rsidR="005137F3">
        <w:rPr>
          <w:lang w:val="en-GB"/>
        </w:rPr>
        <w:t>w</w:t>
      </w:r>
      <w:r w:rsidR="00782541">
        <w:rPr>
          <w:lang w:val="en-GB"/>
        </w:rPr>
        <w:t xml:space="preserve">ould </w:t>
      </w:r>
      <w:r w:rsidR="00240763">
        <w:rPr>
          <w:lang w:val="en-GB"/>
        </w:rPr>
        <w:t xml:space="preserve">be higher for the </w:t>
      </w:r>
      <w:r w:rsidR="00C66EC0">
        <w:rPr>
          <w:lang w:val="en-GB"/>
        </w:rPr>
        <w:t>hydrogen production, due to the need for electrolysers to operate flexib</w:t>
      </w:r>
      <w:r w:rsidR="00B73AA3">
        <w:rPr>
          <w:lang w:val="en-GB"/>
        </w:rPr>
        <w:t>ly</w:t>
      </w:r>
      <w:r w:rsidR="00BE6124">
        <w:rPr>
          <w:lang w:val="en-GB"/>
        </w:rPr>
        <w:t xml:space="preserve"> </w:t>
      </w:r>
      <w:r w:rsidR="00C66EC0">
        <w:rPr>
          <w:lang w:val="en-GB"/>
        </w:rPr>
        <w:t xml:space="preserve">following </w:t>
      </w:r>
      <w:r w:rsidR="00BE6124">
        <w:rPr>
          <w:lang w:val="en-GB"/>
        </w:rPr>
        <w:t xml:space="preserve">the </w:t>
      </w:r>
      <w:r w:rsidR="00C66EC0">
        <w:rPr>
          <w:lang w:val="en-GB"/>
        </w:rPr>
        <w:t xml:space="preserve">wind </w:t>
      </w:r>
      <w:r w:rsidR="00BE6124">
        <w:rPr>
          <w:lang w:val="en-GB"/>
        </w:rPr>
        <w:t xml:space="preserve">energy </w:t>
      </w:r>
      <w:r w:rsidR="00C66EC0">
        <w:rPr>
          <w:lang w:val="en-GB"/>
        </w:rPr>
        <w:t xml:space="preserve">generation (in </w:t>
      </w:r>
      <w:r w:rsidR="00E46D16">
        <w:rPr>
          <w:lang w:val="en-GB"/>
        </w:rPr>
        <w:t xml:space="preserve">the </w:t>
      </w:r>
      <w:r w:rsidR="00C66EC0">
        <w:rPr>
          <w:lang w:val="en-GB"/>
        </w:rPr>
        <w:t xml:space="preserve">case of dedicated </w:t>
      </w:r>
      <w:r w:rsidR="00AB34BF">
        <w:rPr>
          <w:lang w:val="en-GB"/>
        </w:rPr>
        <w:t>RES capacity)</w:t>
      </w:r>
      <w:r w:rsidR="00416BFE">
        <w:rPr>
          <w:lang w:val="en-GB"/>
        </w:rPr>
        <w:t xml:space="preserve"> and the associated hydrogen storage needs,</w:t>
      </w:r>
      <w:r w:rsidR="00AB34BF">
        <w:rPr>
          <w:lang w:val="en-GB"/>
        </w:rPr>
        <w:t xml:space="preserve"> or due to the risk of a low number of hours with </w:t>
      </w:r>
      <w:r w:rsidR="00E46D16">
        <w:rPr>
          <w:lang w:val="en-GB"/>
        </w:rPr>
        <w:t xml:space="preserve">relatively </w:t>
      </w:r>
      <w:r w:rsidR="00AB34BF">
        <w:rPr>
          <w:lang w:val="en-GB"/>
        </w:rPr>
        <w:t>low spot electricity prices (in the case of grid-connected hydrogen production)</w:t>
      </w:r>
      <w:r w:rsidR="007E7BEF">
        <w:rPr>
          <w:lang w:val="en-GB"/>
        </w:rPr>
        <w:t xml:space="preserve">. </w:t>
      </w:r>
      <w:r w:rsidR="00B419A1">
        <w:rPr>
          <w:lang w:val="en-GB"/>
        </w:rPr>
        <w:t xml:space="preserve">However, options </w:t>
      </w:r>
      <w:r w:rsidR="00583E00">
        <w:rPr>
          <w:lang w:val="en-GB"/>
        </w:rPr>
        <w:t>w</w:t>
      </w:r>
      <w:r w:rsidR="00B419A1">
        <w:rPr>
          <w:lang w:val="en-GB"/>
        </w:rPr>
        <w:t xml:space="preserve">ould exist to provide the necessary flexibility to the hydrogen system, albeit at a cost. </w:t>
      </w:r>
      <w:r w:rsidR="007E7BEF" w:rsidRPr="00AE779F">
        <w:rPr>
          <w:b/>
          <w:bCs/>
          <w:lang w:val="en-GB"/>
        </w:rPr>
        <w:t xml:space="preserve">The likelihood of this risk is classified as </w:t>
      </w:r>
      <w:r w:rsidR="00AE779F">
        <w:rPr>
          <w:b/>
          <w:bCs/>
          <w:lang w:val="en-GB"/>
        </w:rPr>
        <w:t>‘</w:t>
      </w:r>
      <w:r w:rsidR="00B419A1">
        <w:rPr>
          <w:b/>
          <w:bCs/>
          <w:lang w:val="en-GB"/>
        </w:rPr>
        <w:t>high</w:t>
      </w:r>
      <w:r w:rsidR="00AE779F">
        <w:rPr>
          <w:b/>
          <w:bCs/>
          <w:lang w:val="en-GB"/>
        </w:rPr>
        <w:t>’</w:t>
      </w:r>
      <w:r w:rsidR="00AE779F">
        <w:rPr>
          <w:lang w:val="en-GB"/>
        </w:rPr>
        <w:t xml:space="preserve">, as in the case of the REN-Hydrogen scenario it is </w:t>
      </w:r>
      <w:r w:rsidR="00B419A1">
        <w:rPr>
          <w:lang w:val="en-GB"/>
        </w:rPr>
        <w:t xml:space="preserve">very </w:t>
      </w:r>
      <w:r w:rsidR="00AE779F">
        <w:rPr>
          <w:lang w:val="en-GB"/>
        </w:rPr>
        <w:t xml:space="preserve">likely that </w:t>
      </w:r>
      <w:r w:rsidR="00091576">
        <w:rPr>
          <w:lang w:val="en-GB"/>
        </w:rPr>
        <w:t xml:space="preserve">significant flexibility </w:t>
      </w:r>
      <w:r w:rsidR="00583E00">
        <w:rPr>
          <w:lang w:val="en-GB"/>
        </w:rPr>
        <w:t xml:space="preserve">resources </w:t>
      </w:r>
      <w:r w:rsidR="00091576">
        <w:rPr>
          <w:lang w:val="en-GB"/>
        </w:rPr>
        <w:t>will be required both for the electricity system (</w:t>
      </w:r>
      <w:r w:rsidR="00583E00">
        <w:rPr>
          <w:lang w:val="en-GB"/>
        </w:rPr>
        <w:t xml:space="preserve">due to </w:t>
      </w:r>
      <w:r w:rsidR="00091576">
        <w:rPr>
          <w:lang w:val="en-GB"/>
        </w:rPr>
        <w:t>increased deployment of renewable</w:t>
      </w:r>
      <w:r w:rsidR="00583E00">
        <w:rPr>
          <w:lang w:val="en-GB"/>
        </w:rPr>
        <w:t xml:space="preserve"> </w:t>
      </w:r>
      <w:r w:rsidR="00164E38">
        <w:rPr>
          <w:lang w:val="en-GB"/>
        </w:rPr>
        <w:t>electricity</w:t>
      </w:r>
      <w:r w:rsidR="00091576">
        <w:rPr>
          <w:lang w:val="en-GB"/>
        </w:rPr>
        <w:t xml:space="preserve"> for hydrogen production) and the hydrogen system (which will require more hydrogen storage capacity).</w:t>
      </w:r>
    </w:p>
    <w:p w14:paraId="70F0AEB7" w14:textId="77777777" w:rsidR="00EF5AB5" w:rsidRPr="00163523" w:rsidRDefault="00EF5AB5" w:rsidP="00F63E15">
      <w:pPr>
        <w:rPr>
          <w:lang w:val="en-GB"/>
        </w:rPr>
      </w:pPr>
    </w:p>
    <w:p w14:paraId="1E862987" w14:textId="13AA17DC" w:rsidR="00EF5AB5" w:rsidRPr="00EF5AB5" w:rsidRDefault="00EF5AB5" w:rsidP="00EF5AB5">
      <w:pPr>
        <w:rPr>
          <w:lang w:val="en-GB"/>
        </w:rPr>
      </w:pPr>
      <w:r w:rsidRPr="00EF5AB5">
        <w:rPr>
          <w:lang w:val="en-GB"/>
        </w:rPr>
        <w:t xml:space="preserve">This risk </w:t>
      </w:r>
      <w:r w:rsidR="00164E38">
        <w:rPr>
          <w:lang w:val="en-GB"/>
        </w:rPr>
        <w:t>w</w:t>
      </w:r>
      <w:r w:rsidRPr="00EF5AB5">
        <w:rPr>
          <w:lang w:val="en-GB"/>
        </w:rPr>
        <w:t xml:space="preserve">ould </w:t>
      </w:r>
      <w:r>
        <w:rPr>
          <w:lang w:val="en-GB"/>
        </w:rPr>
        <w:t xml:space="preserve">become more significant </w:t>
      </w:r>
      <w:r w:rsidR="00E55C16">
        <w:rPr>
          <w:lang w:val="en-GB"/>
        </w:rPr>
        <w:t xml:space="preserve">towards 2040 and 2050 </w:t>
      </w:r>
      <w:r>
        <w:rPr>
          <w:lang w:val="en-GB"/>
        </w:rPr>
        <w:t xml:space="preserve">as the energy system </w:t>
      </w:r>
      <w:r w:rsidR="00164E38">
        <w:rPr>
          <w:lang w:val="en-GB"/>
        </w:rPr>
        <w:t>will r</w:t>
      </w:r>
      <w:r>
        <w:rPr>
          <w:lang w:val="en-GB"/>
        </w:rPr>
        <w:t>each</w:t>
      </w:r>
      <w:r w:rsidR="00164E38">
        <w:rPr>
          <w:lang w:val="en-GB"/>
        </w:rPr>
        <w:t xml:space="preserve"> </w:t>
      </w:r>
      <w:r>
        <w:rPr>
          <w:lang w:val="en-GB"/>
        </w:rPr>
        <w:t xml:space="preserve">a higher </w:t>
      </w:r>
      <w:r w:rsidR="00E55C16">
        <w:rPr>
          <w:lang w:val="en-GB"/>
        </w:rPr>
        <w:t xml:space="preserve">penetration of renewables and as the hydrogen sector </w:t>
      </w:r>
      <w:r w:rsidR="00164E38">
        <w:rPr>
          <w:lang w:val="en-GB"/>
        </w:rPr>
        <w:t xml:space="preserve">will </w:t>
      </w:r>
      <w:r w:rsidR="00E55C16">
        <w:rPr>
          <w:lang w:val="en-GB"/>
        </w:rPr>
        <w:t xml:space="preserve">develop further. For the reasons mentioned above, the risk is expected to impact mainly the REN-Hydrogen scenario. All </w:t>
      </w:r>
      <w:r w:rsidR="00EB7C32">
        <w:rPr>
          <w:lang w:val="en-GB"/>
        </w:rPr>
        <w:t xml:space="preserve">4 </w:t>
      </w:r>
      <w:r w:rsidR="00735524">
        <w:rPr>
          <w:lang w:val="en-GB"/>
        </w:rPr>
        <w:t xml:space="preserve">countries </w:t>
      </w:r>
      <w:r w:rsidR="00EB7C32">
        <w:rPr>
          <w:lang w:val="en-GB"/>
        </w:rPr>
        <w:t>w</w:t>
      </w:r>
      <w:r w:rsidR="00735524">
        <w:rPr>
          <w:lang w:val="en-GB"/>
        </w:rPr>
        <w:t>ould be affected in a similar manner, although Lithuania might be particularly affected given the higher levels of wind deployment for hydrogen generation.</w:t>
      </w:r>
    </w:p>
    <w:p w14:paraId="399422DB" w14:textId="77777777" w:rsidR="00F63E15" w:rsidRPr="00163523" w:rsidRDefault="00F63E15" w:rsidP="00F63E15">
      <w:pPr>
        <w:rPr>
          <w:lang w:val="en-GB"/>
        </w:rPr>
      </w:pPr>
    </w:p>
    <w:tbl>
      <w:tblPr>
        <w:tblStyle w:val="Table1"/>
        <w:tblW w:w="8651" w:type="dxa"/>
        <w:tblLayout w:type="fixed"/>
        <w:tblLook w:val="04A0" w:firstRow="1" w:lastRow="0" w:firstColumn="1" w:lastColumn="0" w:noHBand="0" w:noVBand="1"/>
      </w:tblPr>
      <w:tblGrid>
        <w:gridCol w:w="3397"/>
        <w:gridCol w:w="695"/>
        <w:gridCol w:w="696"/>
        <w:gridCol w:w="696"/>
        <w:gridCol w:w="1731"/>
        <w:gridCol w:w="1436"/>
      </w:tblGrid>
      <w:tr w:rsidR="006E18C3" w:rsidRPr="00A41DAC" w14:paraId="3390560F" w14:textId="77777777" w:rsidTr="00097AD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97" w:type="dxa"/>
            <w:vMerge w:val="restart"/>
            <w:noWrap/>
          </w:tcPr>
          <w:p w14:paraId="19D8597D" w14:textId="77777777" w:rsidR="006E18C3" w:rsidRPr="00163523" w:rsidRDefault="006E18C3" w:rsidP="0076227C">
            <w:pPr>
              <w:keepNext/>
              <w:spacing w:line="240" w:lineRule="auto"/>
              <w:ind w:left="0"/>
              <w:rPr>
                <w:rFonts w:eastAsia="Times New Roman"/>
                <w:szCs w:val="18"/>
                <w:lang w:val="en-GB" w:eastAsia="en-GB"/>
              </w:rPr>
            </w:pPr>
            <w:r w:rsidRPr="00163523">
              <w:rPr>
                <w:rFonts w:eastAsia="Arial"/>
                <w:szCs w:val="18"/>
                <w:lang w:val="en-GB"/>
              </w:rPr>
              <w:t>Risk</w:t>
            </w:r>
          </w:p>
        </w:tc>
        <w:tc>
          <w:tcPr>
            <w:tcW w:w="2087" w:type="dxa"/>
            <w:gridSpan w:val="3"/>
          </w:tcPr>
          <w:p w14:paraId="1BEDCF5A" w14:textId="77777777" w:rsidR="006E18C3" w:rsidRPr="00163523" w:rsidRDefault="006E18C3" w:rsidP="0076227C">
            <w:pPr>
              <w:keepNext/>
              <w:spacing w:line="240" w:lineRule="auto"/>
              <w:ind w:left="0"/>
              <w:cnfStyle w:val="100000000000" w:firstRow="1" w:lastRow="0" w:firstColumn="0" w:lastColumn="0" w:oddVBand="0" w:evenVBand="0" w:oddHBand="0" w:evenHBand="0" w:firstRowFirstColumn="0" w:firstRowLastColumn="0" w:lastRowFirstColumn="0" w:lastRowLastColumn="0"/>
              <w:rPr>
                <w:rFonts w:eastAsia="Arial"/>
                <w:szCs w:val="18"/>
                <w:lang w:val="en-GB"/>
              </w:rPr>
            </w:pPr>
            <w:r w:rsidRPr="00A41DAC">
              <w:rPr>
                <w:rFonts w:eastAsia="Arial"/>
                <w:szCs w:val="18"/>
                <w:lang w:val="en-GB"/>
              </w:rPr>
              <w:t>Applicable scenarios</w:t>
            </w:r>
          </w:p>
        </w:tc>
        <w:tc>
          <w:tcPr>
            <w:tcW w:w="1731" w:type="dxa"/>
            <w:vMerge w:val="restart"/>
            <w:noWrap/>
          </w:tcPr>
          <w:p w14:paraId="0D38795A" w14:textId="77777777" w:rsidR="006E18C3" w:rsidRPr="00163523" w:rsidRDefault="006E18C3" w:rsidP="0076227C">
            <w:pPr>
              <w:keepNext/>
              <w:spacing w:line="240" w:lineRule="auto"/>
              <w:ind w:left="0"/>
              <w:cnfStyle w:val="100000000000" w:firstRow="1" w:lastRow="0" w:firstColumn="0" w:lastColumn="0" w:oddVBand="0" w:evenVBand="0" w:oddHBand="0" w:evenHBand="0" w:firstRowFirstColumn="0" w:firstRowLastColumn="0" w:lastRowFirstColumn="0" w:lastRowLastColumn="0"/>
              <w:rPr>
                <w:rFonts w:eastAsia="Times New Roman"/>
                <w:i/>
                <w:szCs w:val="18"/>
                <w:lang w:val="en-GB" w:eastAsia="en-GB"/>
              </w:rPr>
            </w:pPr>
            <w:r w:rsidRPr="00163523">
              <w:rPr>
                <w:rFonts w:eastAsia="Arial"/>
                <w:szCs w:val="18"/>
                <w:lang w:val="en-GB"/>
              </w:rPr>
              <w:t>Likelihood</w:t>
            </w:r>
          </w:p>
        </w:tc>
        <w:tc>
          <w:tcPr>
            <w:tcW w:w="1436" w:type="dxa"/>
            <w:vMerge w:val="restart"/>
            <w:noWrap/>
          </w:tcPr>
          <w:p w14:paraId="4A943A60" w14:textId="77777777" w:rsidR="006E18C3" w:rsidRPr="00163523" w:rsidRDefault="006E18C3" w:rsidP="0076227C">
            <w:pPr>
              <w:keepNext/>
              <w:spacing w:line="240" w:lineRule="auto"/>
              <w:ind w:left="0"/>
              <w:cnfStyle w:val="100000000000" w:firstRow="1" w:lastRow="0" w:firstColumn="0" w:lastColumn="0" w:oddVBand="0" w:evenVBand="0" w:oddHBand="0" w:evenHBand="0" w:firstRowFirstColumn="0" w:firstRowLastColumn="0" w:lastRowFirstColumn="0" w:lastRowLastColumn="0"/>
              <w:rPr>
                <w:rFonts w:eastAsia="Times New Roman"/>
                <w:i/>
                <w:szCs w:val="18"/>
                <w:lang w:val="en-GB" w:eastAsia="en-GB"/>
              </w:rPr>
            </w:pPr>
            <w:r w:rsidRPr="00163523">
              <w:rPr>
                <w:rFonts w:eastAsia="Arial"/>
                <w:szCs w:val="18"/>
                <w:lang w:val="en-GB"/>
              </w:rPr>
              <w:t>Severity</w:t>
            </w:r>
          </w:p>
        </w:tc>
      </w:tr>
      <w:tr w:rsidR="006E18C3" w:rsidRPr="00A41DAC" w14:paraId="7865A5B3" w14:textId="77777777" w:rsidTr="00097AD7">
        <w:trPr>
          <w:trHeight w:val="20"/>
        </w:trPr>
        <w:tc>
          <w:tcPr>
            <w:cnfStyle w:val="001000000000" w:firstRow="0" w:lastRow="0" w:firstColumn="1" w:lastColumn="0" w:oddVBand="0" w:evenVBand="0" w:oddHBand="0" w:evenHBand="0" w:firstRowFirstColumn="0" w:firstRowLastColumn="0" w:lastRowFirstColumn="0" w:lastRowLastColumn="0"/>
            <w:tcW w:w="3397" w:type="dxa"/>
            <w:vMerge/>
            <w:noWrap/>
          </w:tcPr>
          <w:p w14:paraId="4342477A" w14:textId="77777777" w:rsidR="006E18C3" w:rsidRPr="00A41DAC" w:rsidRDefault="006E18C3" w:rsidP="0076227C">
            <w:pPr>
              <w:spacing w:line="240" w:lineRule="auto"/>
              <w:ind w:left="0"/>
              <w:jc w:val="center"/>
              <w:rPr>
                <w:rFonts w:eastAsia="Arial"/>
                <w:szCs w:val="18"/>
                <w:lang w:val="en-GB"/>
              </w:rPr>
            </w:pPr>
          </w:p>
        </w:tc>
        <w:tc>
          <w:tcPr>
            <w:tcW w:w="695" w:type="dxa"/>
          </w:tcPr>
          <w:p w14:paraId="4D89710C" w14:textId="77777777" w:rsidR="006E18C3" w:rsidRPr="00163523" w:rsidRDefault="006E18C3" w:rsidP="0076227C">
            <w:pPr>
              <w:spacing w:line="240" w:lineRule="auto"/>
              <w:ind w:left="0"/>
              <w:cnfStyle w:val="000000000000" w:firstRow="0" w:lastRow="0" w:firstColumn="0" w:lastColumn="0" w:oddVBand="0" w:evenVBand="0" w:oddHBand="0" w:evenHBand="0" w:firstRowFirstColumn="0" w:firstRowLastColumn="0" w:lastRowFirstColumn="0" w:lastRowLastColumn="0"/>
              <w:rPr>
                <w:rFonts w:eastAsia="Times New Roman"/>
                <w:b/>
                <w:color w:val="000000"/>
                <w:sz w:val="14"/>
                <w:szCs w:val="14"/>
                <w:lang w:val="en-GB" w:eastAsia="en-GB"/>
              </w:rPr>
            </w:pPr>
            <w:r w:rsidRPr="00163523">
              <w:rPr>
                <w:rFonts w:eastAsia="Arial"/>
                <w:sz w:val="14"/>
                <w:szCs w:val="14"/>
                <w:lang w:val="en-GB"/>
              </w:rPr>
              <w:t>REN-M</w:t>
            </w:r>
          </w:p>
        </w:tc>
        <w:tc>
          <w:tcPr>
            <w:tcW w:w="696" w:type="dxa"/>
          </w:tcPr>
          <w:p w14:paraId="2CC2A543" w14:textId="77777777" w:rsidR="006E18C3" w:rsidRPr="00163523" w:rsidRDefault="006E18C3" w:rsidP="0076227C">
            <w:pPr>
              <w:spacing w:line="240" w:lineRule="auto"/>
              <w:ind w:left="0"/>
              <w:cnfStyle w:val="000000000000" w:firstRow="0" w:lastRow="0" w:firstColumn="0" w:lastColumn="0" w:oddVBand="0" w:evenVBand="0" w:oddHBand="0" w:evenHBand="0" w:firstRowFirstColumn="0" w:firstRowLastColumn="0" w:lastRowFirstColumn="0" w:lastRowLastColumn="0"/>
              <w:rPr>
                <w:rFonts w:eastAsia="Times New Roman"/>
                <w:b/>
                <w:color w:val="000000"/>
                <w:sz w:val="14"/>
                <w:szCs w:val="14"/>
                <w:lang w:val="en-GB" w:eastAsia="en-GB"/>
              </w:rPr>
            </w:pPr>
            <w:r w:rsidRPr="00163523">
              <w:rPr>
                <w:rFonts w:eastAsia="Arial"/>
                <w:sz w:val="14"/>
                <w:szCs w:val="14"/>
                <w:lang w:val="en-GB"/>
              </w:rPr>
              <w:t>REN-H</w:t>
            </w:r>
          </w:p>
        </w:tc>
        <w:tc>
          <w:tcPr>
            <w:tcW w:w="696" w:type="dxa"/>
          </w:tcPr>
          <w:p w14:paraId="424AD541" w14:textId="77777777" w:rsidR="006E18C3" w:rsidRPr="00163523" w:rsidRDefault="006E18C3" w:rsidP="0076227C">
            <w:pPr>
              <w:spacing w:line="240" w:lineRule="auto"/>
              <w:ind w:left="0"/>
              <w:cnfStyle w:val="000000000000" w:firstRow="0" w:lastRow="0" w:firstColumn="0" w:lastColumn="0" w:oddVBand="0" w:evenVBand="0" w:oddHBand="0" w:evenHBand="0" w:firstRowFirstColumn="0" w:firstRowLastColumn="0" w:lastRowFirstColumn="0" w:lastRowLastColumn="0"/>
              <w:rPr>
                <w:rFonts w:eastAsia="Times New Roman"/>
                <w:b/>
                <w:color w:val="000000"/>
                <w:sz w:val="14"/>
                <w:szCs w:val="14"/>
                <w:lang w:val="en-GB" w:eastAsia="en-GB"/>
              </w:rPr>
            </w:pPr>
            <w:r w:rsidRPr="00163523">
              <w:rPr>
                <w:rFonts w:eastAsia="Arial"/>
                <w:sz w:val="14"/>
                <w:szCs w:val="14"/>
                <w:lang w:val="en-GB"/>
              </w:rPr>
              <w:t>CM</w:t>
            </w:r>
          </w:p>
        </w:tc>
        <w:tc>
          <w:tcPr>
            <w:tcW w:w="1731" w:type="dxa"/>
            <w:vMerge/>
            <w:shd w:val="clear" w:color="auto" w:fill="F9B7AC" w:themeFill="accent2" w:themeFillTint="66"/>
            <w:noWrap/>
          </w:tcPr>
          <w:p w14:paraId="4BE3F741" w14:textId="77777777" w:rsidR="006E18C3" w:rsidRPr="00163523" w:rsidRDefault="006E18C3" w:rsidP="0076227C">
            <w:pPr>
              <w:spacing w:line="240" w:lineRule="auto"/>
              <w:ind w:left="0"/>
              <w:cnfStyle w:val="000000000000" w:firstRow="0" w:lastRow="0" w:firstColumn="0" w:lastColumn="0" w:oddVBand="0" w:evenVBand="0" w:oddHBand="0" w:evenHBand="0" w:firstRowFirstColumn="0" w:firstRowLastColumn="0" w:lastRowFirstColumn="0" w:lastRowLastColumn="0"/>
              <w:rPr>
                <w:rFonts w:eastAsia="Times New Roman"/>
                <w:b/>
                <w:color w:val="000000"/>
                <w:szCs w:val="18"/>
                <w:lang w:val="en-GB" w:eastAsia="en-GB"/>
              </w:rPr>
            </w:pPr>
          </w:p>
        </w:tc>
        <w:tc>
          <w:tcPr>
            <w:tcW w:w="1436" w:type="dxa"/>
            <w:vMerge/>
            <w:shd w:val="clear" w:color="auto" w:fill="FFD57B" w:themeFill="accent4" w:themeFillShade="E6"/>
            <w:noWrap/>
          </w:tcPr>
          <w:p w14:paraId="03914DE3" w14:textId="77777777" w:rsidR="006E18C3" w:rsidRPr="00163523" w:rsidRDefault="006E18C3" w:rsidP="0076227C">
            <w:pPr>
              <w:spacing w:line="240" w:lineRule="auto"/>
              <w:ind w:left="0"/>
              <w:cnfStyle w:val="000000000000" w:firstRow="0" w:lastRow="0" w:firstColumn="0" w:lastColumn="0" w:oddVBand="0" w:evenVBand="0" w:oddHBand="0" w:evenHBand="0" w:firstRowFirstColumn="0" w:firstRowLastColumn="0" w:lastRowFirstColumn="0" w:lastRowLastColumn="0"/>
              <w:rPr>
                <w:rFonts w:eastAsia="Arial"/>
                <w:b/>
                <w:szCs w:val="18"/>
                <w:lang w:val="en-GB"/>
              </w:rPr>
            </w:pPr>
          </w:p>
        </w:tc>
      </w:tr>
      <w:tr w:rsidR="006E18C3" w:rsidRPr="00A41DAC" w14:paraId="280B014D" w14:textId="77777777" w:rsidTr="00097AD7">
        <w:trPr>
          <w:trHeight w:val="20"/>
        </w:trPr>
        <w:tc>
          <w:tcPr>
            <w:cnfStyle w:val="001000000000" w:firstRow="0" w:lastRow="0" w:firstColumn="1" w:lastColumn="0" w:oddVBand="0" w:evenVBand="0" w:oddHBand="0" w:evenHBand="0" w:firstRowFirstColumn="0" w:firstRowLastColumn="0" w:lastRowFirstColumn="0" w:lastRowLastColumn="0"/>
            <w:tcW w:w="3397" w:type="dxa"/>
            <w:noWrap/>
          </w:tcPr>
          <w:p w14:paraId="6E92B29E" w14:textId="4BD9D263" w:rsidR="006E18C3" w:rsidRPr="00DD2713" w:rsidRDefault="00D06901" w:rsidP="0076227C">
            <w:pPr>
              <w:spacing w:line="240" w:lineRule="auto"/>
              <w:ind w:left="0"/>
              <w:jc w:val="center"/>
              <w:rPr>
                <w:rFonts w:eastAsia="Times New Roman"/>
                <w:color w:val="000000"/>
                <w:szCs w:val="18"/>
                <w:highlight w:val="yellow"/>
                <w:lang w:val="en-GB" w:eastAsia="en-GB"/>
              </w:rPr>
            </w:pPr>
            <w:r w:rsidRPr="00D06901">
              <w:rPr>
                <w:rFonts w:eastAsia="Times New Roman"/>
                <w:color w:val="000000"/>
                <w:szCs w:val="18"/>
                <w:lang w:val="en-GB" w:eastAsia="en-GB"/>
              </w:rPr>
              <w:t>Security of gas supply can be threatened due to adequacy/flexibility issues of the regional energy system</w:t>
            </w:r>
          </w:p>
        </w:tc>
        <w:tc>
          <w:tcPr>
            <w:tcW w:w="695" w:type="dxa"/>
          </w:tcPr>
          <w:p w14:paraId="5651F9F7" w14:textId="50A7B8CF" w:rsidR="006E18C3" w:rsidRPr="00C90DF9" w:rsidRDefault="006E18C3" w:rsidP="0076227C">
            <w:pPr>
              <w:spacing w:line="240" w:lineRule="auto"/>
              <w:ind w:left="0"/>
              <w:cnfStyle w:val="000000000000" w:firstRow="0" w:lastRow="0" w:firstColumn="0" w:lastColumn="0" w:oddVBand="0" w:evenVBand="0" w:oddHBand="0" w:evenHBand="0" w:firstRowFirstColumn="0" w:firstRowLastColumn="0" w:lastRowFirstColumn="0" w:lastRowLastColumn="0"/>
              <w:rPr>
                <w:rFonts w:eastAsia="Times New Roman"/>
                <w:b/>
                <w:bCs/>
                <w:iCs/>
                <w:color w:val="000000"/>
                <w:szCs w:val="18"/>
                <w:lang w:val="en-GB" w:eastAsia="en-GB"/>
              </w:rPr>
            </w:pPr>
          </w:p>
        </w:tc>
        <w:tc>
          <w:tcPr>
            <w:tcW w:w="696" w:type="dxa"/>
          </w:tcPr>
          <w:p w14:paraId="21EF68FA" w14:textId="77777777" w:rsidR="006E18C3" w:rsidRPr="00163523" w:rsidRDefault="006E18C3" w:rsidP="0076227C">
            <w:pPr>
              <w:spacing w:line="240" w:lineRule="auto"/>
              <w:ind w:left="0"/>
              <w:cnfStyle w:val="000000000000" w:firstRow="0" w:lastRow="0" w:firstColumn="0" w:lastColumn="0" w:oddVBand="0" w:evenVBand="0" w:oddHBand="0" w:evenHBand="0" w:firstRowFirstColumn="0" w:firstRowLastColumn="0" w:lastRowFirstColumn="0" w:lastRowLastColumn="0"/>
              <w:rPr>
                <w:rFonts w:eastAsia="Times New Roman"/>
                <w:b/>
                <w:color w:val="000000"/>
                <w:szCs w:val="18"/>
                <w:lang w:val="en-GB" w:eastAsia="en-GB"/>
              </w:rPr>
            </w:pPr>
            <w:r w:rsidRPr="00163523">
              <w:rPr>
                <w:rFonts w:ascii="Wingdings" w:eastAsia="Wingdings" w:hAnsi="Wingdings" w:cs="Wingdings"/>
                <w:b/>
                <w:color w:val="000000"/>
                <w:szCs w:val="18"/>
                <w:lang w:val="en-GB" w:eastAsia="en-GB"/>
              </w:rPr>
              <w:sym w:font="Wingdings" w:char="F0FC"/>
            </w:r>
            <w:r w:rsidRPr="00163523">
              <w:rPr>
                <w:rFonts w:ascii="Wingdings" w:eastAsia="Wingdings" w:hAnsi="Wingdings" w:cs="Wingdings"/>
                <w:b/>
                <w:color w:val="000000"/>
                <w:szCs w:val="18"/>
                <w:lang w:val="en-GB" w:eastAsia="en-GB"/>
              </w:rPr>
              <w:sym w:font="Wingdings" w:char="F0FC"/>
            </w:r>
          </w:p>
        </w:tc>
        <w:tc>
          <w:tcPr>
            <w:tcW w:w="696" w:type="dxa"/>
          </w:tcPr>
          <w:p w14:paraId="789AF60A" w14:textId="4D69BBD5" w:rsidR="006E18C3" w:rsidRPr="00163523" w:rsidRDefault="006E18C3" w:rsidP="00D06901">
            <w:pPr>
              <w:spacing w:line="240" w:lineRule="auto"/>
              <w:ind w:left="0"/>
              <w:jc w:val="left"/>
              <w:cnfStyle w:val="000000000000" w:firstRow="0" w:lastRow="0" w:firstColumn="0" w:lastColumn="0" w:oddVBand="0" w:evenVBand="0" w:oddHBand="0" w:evenHBand="0" w:firstRowFirstColumn="0" w:firstRowLastColumn="0" w:lastRowFirstColumn="0" w:lastRowLastColumn="0"/>
              <w:rPr>
                <w:rFonts w:eastAsia="Times New Roman"/>
                <w:b/>
                <w:color w:val="000000"/>
                <w:szCs w:val="18"/>
                <w:lang w:val="en-GB" w:eastAsia="en-GB"/>
              </w:rPr>
            </w:pPr>
          </w:p>
        </w:tc>
        <w:tc>
          <w:tcPr>
            <w:tcW w:w="1731" w:type="dxa"/>
            <w:shd w:val="clear" w:color="auto" w:fill="F9B7AC" w:themeFill="accent2" w:themeFillTint="66"/>
            <w:noWrap/>
          </w:tcPr>
          <w:p w14:paraId="6BDDD8D0" w14:textId="680E879E" w:rsidR="006E18C3" w:rsidRPr="00163523" w:rsidRDefault="000F5C27" w:rsidP="0076227C">
            <w:pPr>
              <w:spacing w:line="240" w:lineRule="auto"/>
              <w:ind w:left="0"/>
              <w:cnfStyle w:val="000000000000" w:firstRow="0" w:lastRow="0" w:firstColumn="0" w:lastColumn="0" w:oddVBand="0" w:evenVBand="0" w:oddHBand="0" w:evenHBand="0" w:firstRowFirstColumn="0" w:firstRowLastColumn="0" w:lastRowFirstColumn="0" w:lastRowLastColumn="0"/>
              <w:rPr>
                <w:rFonts w:eastAsia="Times New Roman"/>
                <w:b/>
                <w:color w:val="000000"/>
                <w:szCs w:val="18"/>
                <w:lang w:val="en-GB" w:eastAsia="en-GB"/>
              </w:rPr>
            </w:pPr>
            <w:r w:rsidRPr="00163523">
              <w:rPr>
                <w:rFonts w:eastAsia="Times New Roman"/>
                <w:b/>
                <w:color w:val="000000"/>
                <w:szCs w:val="18"/>
                <w:lang w:val="en-GB" w:eastAsia="en-GB"/>
              </w:rPr>
              <w:t>High</w:t>
            </w:r>
          </w:p>
        </w:tc>
        <w:tc>
          <w:tcPr>
            <w:tcW w:w="1436" w:type="dxa"/>
            <w:shd w:val="clear" w:color="auto" w:fill="E0EBEB" w:themeFill="accent3" w:themeFillTint="66"/>
            <w:noWrap/>
          </w:tcPr>
          <w:p w14:paraId="38D39514" w14:textId="6C017E0D" w:rsidR="006E18C3" w:rsidRPr="00163523" w:rsidRDefault="000F5C27" w:rsidP="0076227C">
            <w:pPr>
              <w:spacing w:line="240" w:lineRule="auto"/>
              <w:ind w:left="0"/>
              <w:cnfStyle w:val="000000000000" w:firstRow="0" w:lastRow="0" w:firstColumn="0" w:lastColumn="0" w:oddVBand="0" w:evenVBand="0" w:oddHBand="0" w:evenHBand="0" w:firstRowFirstColumn="0" w:firstRowLastColumn="0" w:lastRowFirstColumn="0" w:lastRowLastColumn="0"/>
              <w:rPr>
                <w:rFonts w:eastAsia="Times New Roman"/>
                <w:b/>
                <w:i/>
                <w:color w:val="000000"/>
                <w:szCs w:val="18"/>
                <w:lang w:val="en-GB" w:eastAsia="en-GB"/>
              </w:rPr>
            </w:pPr>
            <w:r w:rsidRPr="00163523">
              <w:rPr>
                <w:rFonts w:eastAsia="Arial"/>
                <w:b/>
                <w:szCs w:val="18"/>
                <w:lang w:val="en-GB"/>
              </w:rPr>
              <w:t>Low</w:t>
            </w:r>
          </w:p>
        </w:tc>
      </w:tr>
    </w:tbl>
    <w:p w14:paraId="31E42E7E" w14:textId="77777777" w:rsidR="006E18C3" w:rsidRPr="00163523" w:rsidRDefault="006E18C3" w:rsidP="00F63E15">
      <w:pPr>
        <w:rPr>
          <w:lang w:val="en-GB"/>
        </w:rPr>
      </w:pPr>
    </w:p>
    <w:p w14:paraId="0309F272" w14:textId="77777777" w:rsidR="00F63E15" w:rsidRPr="00163523" w:rsidRDefault="00F63E15" w:rsidP="00F63E15">
      <w:pPr>
        <w:pStyle w:val="Kop4"/>
        <w:rPr>
          <w:lang w:val="en-GB"/>
        </w:rPr>
      </w:pPr>
      <w:r>
        <w:rPr>
          <w:lang w:val="en-GB"/>
        </w:rPr>
        <w:t xml:space="preserve">Potential </w:t>
      </w:r>
      <w:r w:rsidRPr="00163523">
        <w:rPr>
          <w:lang w:val="en-GB"/>
        </w:rPr>
        <w:t>mitigation measures</w:t>
      </w:r>
    </w:p>
    <w:p w14:paraId="3BCAEA78" w14:textId="13013966" w:rsidR="00FD1FFE" w:rsidRDefault="00FD1FFE" w:rsidP="00FD1FFE">
      <w:pPr>
        <w:rPr>
          <w:lang w:val="en-GB"/>
        </w:rPr>
      </w:pPr>
      <w:r w:rsidRPr="00FD1FFE">
        <w:rPr>
          <w:lang w:val="en-GB"/>
        </w:rPr>
        <w:t>The main risk to b</w:t>
      </w:r>
      <w:r>
        <w:rPr>
          <w:lang w:val="en-GB"/>
        </w:rPr>
        <w:t xml:space="preserve">e addressed is the high flexibility requirements </w:t>
      </w:r>
      <w:r w:rsidR="00DD0627">
        <w:rPr>
          <w:lang w:val="en-GB"/>
        </w:rPr>
        <w:t>in</w:t>
      </w:r>
      <w:r>
        <w:rPr>
          <w:lang w:val="en-GB"/>
        </w:rPr>
        <w:t xml:space="preserve"> the REN-Hydrogen scenario (both in the electricity and hydrogen systems). </w:t>
      </w:r>
      <w:r w:rsidR="00EA2FBF">
        <w:rPr>
          <w:lang w:val="en-GB"/>
        </w:rPr>
        <w:t xml:space="preserve">To address these requirements, the following measures </w:t>
      </w:r>
      <w:r w:rsidR="00DD1B88">
        <w:rPr>
          <w:lang w:val="en-GB"/>
        </w:rPr>
        <w:t>can</w:t>
      </w:r>
      <w:r w:rsidR="00EA2FBF">
        <w:rPr>
          <w:lang w:val="en-GB"/>
        </w:rPr>
        <w:t xml:space="preserve"> be considered:</w:t>
      </w:r>
    </w:p>
    <w:p w14:paraId="19FD9786" w14:textId="50700DD8" w:rsidR="00EA2FBF" w:rsidRDefault="00EA2FBF" w:rsidP="00EA2FBF">
      <w:pPr>
        <w:pStyle w:val="Lijstalinea"/>
      </w:pPr>
      <w:r>
        <w:t xml:space="preserve">Incentivise </w:t>
      </w:r>
      <w:r w:rsidR="00D478A1">
        <w:t xml:space="preserve">the </w:t>
      </w:r>
      <w:r w:rsidR="00533CB0">
        <w:t xml:space="preserve">provision of flexibility to the power system by electrolysers and other solutions, through the identification </w:t>
      </w:r>
      <w:r w:rsidR="009B6BF7">
        <w:t xml:space="preserve">and removal </w:t>
      </w:r>
      <w:r w:rsidR="00533CB0">
        <w:t xml:space="preserve">of barriers to the participation </w:t>
      </w:r>
      <w:r w:rsidR="00DD1B88">
        <w:t xml:space="preserve">of flexibility providers </w:t>
      </w:r>
      <w:r w:rsidR="00533CB0">
        <w:t>in the different electricity markets</w:t>
      </w:r>
      <w:r w:rsidR="00BC5ED1">
        <w:t>;</w:t>
      </w:r>
    </w:p>
    <w:p w14:paraId="52595303" w14:textId="75CFFF04" w:rsidR="00D478A1" w:rsidRDefault="00D478A1" w:rsidP="00EA2FBF">
      <w:pPr>
        <w:pStyle w:val="Lijstalinea"/>
      </w:pPr>
      <w:r>
        <w:t xml:space="preserve">Develop energy interconnectors to further integrate </w:t>
      </w:r>
      <w:r w:rsidR="008653A7">
        <w:t xml:space="preserve">the </w:t>
      </w:r>
      <w:r>
        <w:t>regional electricity and (if a hydrogen backbone develops) also hydrogen markets</w:t>
      </w:r>
      <w:r w:rsidR="00BC5ED1">
        <w:t>;</w:t>
      </w:r>
    </w:p>
    <w:p w14:paraId="2555912A" w14:textId="07DBFE0F" w:rsidR="00533CB0" w:rsidRPr="00FD1FFE" w:rsidRDefault="00533CB0" w:rsidP="00EA2FBF">
      <w:pPr>
        <w:pStyle w:val="Lijstalinea"/>
      </w:pPr>
      <w:r>
        <w:t xml:space="preserve">Assess the </w:t>
      </w:r>
      <w:r w:rsidR="000F5C27">
        <w:t>expected hydrogen storage needs at a cluster and regional level</w:t>
      </w:r>
      <w:r w:rsidR="008653A7">
        <w:t xml:space="preserve"> and </w:t>
      </w:r>
      <w:r w:rsidR="00BC5ED1">
        <w:t xml:space="preserve">evaluate </w:t>
      </w:r>
      <w:r w:rsidR="00F44AF7">
        <w:t xml:space="preserve">the </w:t>
      </w:r>
      <w:r w:rsidR="00BC5ED1">
        <w:t>options to cover them.</w:t>
      </w:r>
    </w:p>
    <w:p w14:paraId="283271A0" w14:textId="3131AFDD" w:rsidR="00F63E15" w:rsidRDefault="00F63E15" w:rsidP="00F63E15">
      <w:pPr>
        <w:rPr>
          <w:lang w:val="en-GB"/>
        </w:rPr>
      </w:pPr>
    </w:p>
    <w:p w14:paraId="53DEED38" w14:textId="23E5509F" w:rsidR="00F63E15" w:rsidRDefault="00F63E15" w:rsidP="00F63E15">
      <w:pPr>
        <w:pStyle w:val="Kop2"/>
      </w:pPr>
      <w:bookmarkStart w:id="57" w:name="_Ref137116843"/>
      <w:bookmarkStart w:id="58" w:name="_Toc138492607"/>
      <w:bookmarkStart w:id="59" w:name="_Hlk138344471"/>
      <w:bookmarkStart w:id="60" w:name="_Toc144803014"/>
      <w:r>
        <w:t xml:space="preserve">Risk 8: </w:t>
      </w:r>
      <w:r w:rsidRPr="00F63E15">
        <w:t>Security of gas supply can be threatened due to external energy dependence</w:t>
      </w:r>
      <w:bookmarkEnd w:id="57"/>
      <w:bookmarkEnd w:id="58"/>
      <w:bookmarkEnd w:id="60"/>
    </w:p>
    <w:p w14:paraId="5B0CED61" w14:textId="10E72EE8" w:rsidR="00E45CD3" w:rsidRPr="00163523" w:rsidRDefault="00F63E15" w:rsidP="00E45CD3">
      <w:pPr>
        <w:pStyle w:val="Kop4"/>
        <w:rPr>
          <w:lang w:val="en-GB"/>
        </w:rPr>
      </w:pPr>
      <w:r>
        <w:rPr>
          <w:lang w:val="en-GB"/>
        </w:rPr>
        <w:t>D</w:t>
      </w:r>
      <w:r w:rsidRPr="00163523">
        <w:rPr>
          <w:lang w:val="en-GB"/>
        </w:rPr>
        <w:t xml:space="preserve">escription of the risk, </w:t>
      </w:r>
      <w:r w:rsidR="00803ADE" w:rsidRPr="00163523">
        <w:rPr>
          <w:lang w:val="en-GB"/>
        </w:rPr>
        <w:t>covering the Baltic Regional Gas Market</w:t>
      </w:r>
    </w:p>
    <w:p w14:paraId="638F97F7" w14:textId="5ECC32A8" w:rsidR="00355BE2" w:rsidRPr="00163523" w:rsidRDefault="0051575E" w:rsidP="00546E91">
      <w:pPr>
        <w:rPr>
          <w:lang w:val="en-GB"/>
        </w:rPr>
      </w:pPr>
      <w:r w:rsidRPr="00163523">
        <w:rPr>
          <w:lang w:val="en-GB"/>
        </w:rPr>
        <w:t xml:space="preserve">Security of </w:t>
      </w:r>
      <w:r w:rsidR="00B661B5" w:rsidRPr="00163523">
        <w:rPr>
          <w:lang w:val="en-GB"/>
        </w:rPr>
        <w:t xml:space="preserve">energy </w:t>
      </w:r>
      <w:r w:rsidRPr="00163523">
        <w:rPr>
          <w:lang w:val="en-GB"/>
        </w:rPr>
        <w:t xml:space="preserve">supply, which is defined by the IEA (2023) as the uninterrupted availability of energy sources at an affordable </w:t>
      </w:r>
      <w:r w:rsidR="006B4C2E" w:rsidRPr="00163523">
        <w:rPr>
          <w:lang w:val="en-GB"/>
        </w:rPr>
        <w:t>price,</w:t>
      </w:r>
      <w:r w:rsidR="006B4C2E" w:rsidRPr="00163523">
        <w:rPr>
          <w:rStyle w:val="Voetnootmarkering"/>
          <w:lang w:val="en-GB"/>
        </w:rPr>
        <w:footnoteReference w:id="45"/>
      </w:r>
      <w:r w:rsidR="006B4C2E" w:rsidRPr="00163523">
        <w:rPr>
          <w:lang w:val="en-GB"/>
        </w:rPr>
        <w:t xml:space="preserve"> </w:t>
      </w:r>
      <w:r w:rsidR="00B661B5" w:rsidRPr="00163523">
        <w:rPr>
          <w:lang w:val="en-GB"/>
        </w:rPr>
        <w:t>is cru</w:t>
      </w:r>
      <w:r w:rsidR="00461D29" w:rsidRPr="00163523">
        <w:rPr>
          <w:lang w:val="en-GB"/>
        </w:rPr>
        <w:t xml:space="preserve">cial for the </w:t>
      </w:r>
      <w:r w:rsidR="00F44AF7" w:rsidRPr="00163523">
        <w:rPr>
          <w:lang w:val="en-GB"/>
        </w:rPr>
        <w:t>well-being</w:t>
      </w:r>
      <w:r w:rsidR="00461D29" w:rsidRPr="00163523">
        <w:rPr>
          <w:lang w:val="en-GB"/>
        </w:rPr>
        <w:t xml:space="preserve"> of citizens </w:t>
      </w:r>
      <w:r w:rsidR="00E52B94" w:rsidRPr="00163523">
        <w:rPr>
          <w:lang w:val="en-GB"/>
        </w:rPr>
        <w:t>as well as</w:t>
      </w:r>
      <w:r w:rsidR="00461D29" w:rsidRPr="00163523">
        <w:rPr>
          <w:lang w:val="en-GB"/>
        </w:rPr>
        <w:t xml:space="preserve"> </w:t>
      </w:r>
      <w:r w:rsidR="003503D2" w:rsidRPr="00163523">
        <w:rPr>
          <w:lang w:val="en-GB"/>
        </w:rPr>
        <w:t>for</w:t>
      </w:r>
      <w:r w:rsidR="00162A9A" w:rsidRPr="00163523">
        <w:rPr>
          <w:lang w:val="en-GB"/>
        </w:rPr>
        <w:t xml:space="preserve"> businesses and social services to function properly.</w:t>
      </w:r>
      <w:r w:rsidR="00162A9A" w:rsidRPr="00163523">
        <w:rPr>
          <w:rStyle w:val="Voetnootmarkering"/>
          <w:lang w:val="en-GB"/>
        </w:rPr>
        <w:footnoteReference w:id="46"/>
      </w:r>
      <w:r w:rsidR="008555A9" w:rsidRPr="00163523">
        <w:rPr>
          <w:lang w:val="en-GB"/>
        </w:rPr>
        <w:t xml:space="preserve"> Countries </w:t>
      </w:r>
      <w:r w:rsidR="00FD564C" w:rsidRPr="00163523">
        <w:rPr>
          <w:lang w:val="en-GB"/>
        </w:rPr>
        <w:t>with a heavy reliance</w:t>
      </w:r>
      <w:r w:rsidR="008555A9" w:rsidRPr="00163523">
        <w:rPr>
          <w:lang w:val="en-GB"/>
        </w:rPr>
        <w:t xml:space="preserve"> on imported </w:t>
      </w:r>
      <w:r w:rsidR="0040070D" w:rsidRPr="00163523">
        <w:rPr>
          <w:lang w:val="en-GB"/>
        </w:rPr>
        <w:t>fuels</w:t>
      </w:r>
      <w:r w:rsidR="00FD564C" w:rsidRPr="00163523">
        <w:rPr>
          <w:lang w:val="en-GB"/>
        </w:rPr>
        <w:t xml:space="preserve"> </w:t>
      </w:r>
      <w:r w:rsidR="00FD6972" w:rsidRPr="00163523">
        <w:rPr>
          <w:lang w:val="en-GB"/>
        </w:rPr>
        <w:t xml:space="preserve">have less </w:t>
      </w:r>
      <w:r w:rsidR="00FD6972" w:rsidRPr="00163523">
        <w:rPr>
          <w:lang w:val="en-GB"/>
        </w:rPr>
        <w:lastRenderedPageBreak/>
        <w:t>control on their security of energy supply.</w:t>
      </w:r>
      <w:r w:rsidR="00FD564C" w:rsidRPr="00163523">
        <w:rPr>
          <w:lang w:val="en-GB"/>
        </w:rPr>
        <w:t xml:space="preserve"> </w:t>
      </w:r>
      <w:r w:rsidR="004B05F3" w:rsidRPr="00163523">
        <w:rPr>
          <w:lang w:val="en-GB"/>
        </w:rPr>
        <w:t xml:space="preserve">The Russian invasion </w:t>
      </w:r>
      <w:r w:rsidR="00BC4A3F" w:rsidRPr="00163523">
        <w:rPr>
          <w:lang w:val="en-GB"/>
        </w:rPr>
        <w:t>in Ukraine in 2022 is a very good example of a</w:t>
      </w:r>
      <w:r w:rsidR="007B54D0" w:rsidRPr="00163523">
        <w:rPr>
          <w:lang w:val="en-GB"/>
        </w:rPr>
        <w:t xml:space="preserve">n event that </w:t>
      </w:r>
      <w:r w:rsidR="00B47E63" w:rsidRPr="00163523">
        <w:rPr>
          <w:lang w:val="en-GB"/>
        </w:rPr>
        <w:t xml:space="preserve">threatened </w:t>
      </w:r>
      <w:r w:rsidR="00BC4A3F" w:rsidRPr="00163523">
        <w:rPr>
          <w:lang w:val="en-GB"/>
        </w:rPr>
        <w:t xml:space="preserve">the security of </w:t>
      </w:r>
      <w:r w:rsidR="007B0169" w:rsidRPr="00163523">
        <w:rPr>
          <w:lang w:val="en-GB"/>
        </w:rPr>
        <w:t xml:space="preserve">energy </w:t>
      </w:r>
      <w:r w:rsidR="00BC4A3F" w:rsidRPr="00163523">
        <w:rPr>
          <w:lang w:val="en-GB"/>
        </w:rPr>
        <w:t xml:space="preserve">supply </w:t>
      </w:r>
      <w:r w:rsidR="007B0169" w:rsidRPr="00163523">
        <w:rPr>
          <w:lang w:val="en-GB"/>
        </w:rPr>
        <w:t>of many countries</w:t>
      </w:r>
      <w:r w:rsidR="00ED4796" w:rsidRPr="00163523">
        <w:rPr>
          <w:lang w:val="en-GB"/>
        </w:rPr>
        <w:t>, particularly in the EU</w:t>
      </w:r>
      <w:r w:rsidR="007B0169" w:rsidRPr="00163523">
        <w:rPr>
          <w:lang w:val="en-GB"/>
        </w:rPr>
        <w:t xml:space="preserve">. As </w:t>
      </w:r>
      <w:r w:rsidR="00843199" w:rsidRPr="00163523">
        <w:rPr>
          <w:lang w:val="en-GB"/>
        </w:rPr>
        <w:t>around</w:t>
      </w:r>
      <w:r w:rsidR="007B0169" w:rsidRPr="00163523">
        <w:rPr>
          <w:lang w:val="en-GB"/>
        </w:rPr>
        <w:t xml:space="preserve"> </w:t>
      </w:r>
      <w:r w:rsidR="00843199" w:rsidRPr="00163523">
        <w:rPr>
          <w:lang w:val="en-GB"/>
        </w:rPr>
        <w:t>45</w:t>
      </w:r>
      <w:r w:rsidR="007B0169" w:rsidRPr="00163523">
        <w:rPr>
          <w:lang w:val="en-GB"/>
        </w:rPr>
        <w:t>% of</w:t>
      </w:r>
      <w:r w:rsidR="00843199" w:rsidRPr="00163523">
        <w:rPr>
          <w:lang w:val="en-GB"/>
        </w:rPr>
        <w:t xml:space="preserve"> </w:t>
      </w:r>
      <w:r w:rsidR="00B47E63" w:rsidRPr="00163523">
        <w:rPr>
          <w:lang w:val="en-GB"/>
        </w:rPr>
        <w:t xml:space="preserve">the </w:t>
      </w:r>
      <w:r w:rsidR="007B0169" w:rsidRPr="00163523">
        <w:rPr>
          <w:lang w:val="en-GB"/>
        </w:rPr>
        <w:t xml:space="preserve">EU </w:t>
      </w:r>
      <w:r w:rsidR="00B3571C" w:rsidRPr="00163523">
        <w:rPr>
          <w:lang w:val="en-GB"/>
        </w:rPr>
        <w:t xml:space="preserve">natural </w:t>
      </w:r>
      <w:r w:rsidR="00843199" w:rsidRPr="00163523">
        <w:rPr>
          <w:lang w:val="en-GB"/>
        </w:rPr>
        <w:t>gas imports</w:t>
      </w:r>
      <w:r w:rsidR="007B0169" w:rsidRPr="00163523">
        <w:rPr>
          <w:lang w:val="en-GB"/>
        </w:rPr>
        <w:t xml:space="preserve"> </w:t>
      </w:r>
      <w:r w:rsidR="00281A10" w:rsidRPr="00163523">
        <w:rPr>
          <w:lang w:val="en-GB"/>
        </w:rPr>
        <w:t>came from Russia</w:t>
      </w:r>
      <w:r w:rsidR="007B0169" w:rsidRPr="00163523">
        <w:rPr>
          <w:lang w:val="en-GB"/>
        </w:rPr>
        <w:t xml:space="preserve">, when </w:t>
      </w:r>
      <w:r w:rsidR="00281A10" w:rsidRPr="00163523">
        <w:rPr>
          <w:lang w:val="en-GB"/>
        </w:rPr>
        <w:t>the latter</w:t>
      </w:r>
      <w:r w:rsidR="007B0169" w:rsidRPr="00163523">
        <w:rPr>
          <w:lang w:val="en-GB"/>
        </w:rPr>
        <w:t xml:space="preserve"> stopped delivering </w:t>
      </w:r>
      <w:r w:rsidR="001F3384" w:rsidRPr="00163523">
        <w:rPr>
          <w:lang w:val="en-GB"/>
        </w:rPr>
        <w:t xml:space="preserve">gas to </w:t>
      </w:r>
      <w:r w:rsidR="007B0169" w:rsidRPr="00163523">
        <w:rPr>
          <w:lang w:val="en-GB"/>
        </w:rPr>
        <w:t>a number of EU countries</w:t>
      </w:r>
      <w:r w:rsidR="00B3571C" w:rsidRPr="00163523">
        <w:rPr>
          <w:lang w:val="en-GB"/>
        </w:rPr>
        <w:t>,</w:t>
      </w:r>
      <w:r w:rsidR="007B0169" w:rsidRPr="00163523">
        <w:rPr>
          <w:lang w:val="en-GB"/>
        </w:rPr>
        <w:t xml:space="preserve"> </w:t>
      </w:r>
      <w:r w:rsidR="002C6B10" w:rsidRPr="00163523">
        <w:rPr>
          <w:lang w:val="en-GB"/>
        </w:rPr>
        <w:t>the EU had to take</w:t>
      </w:r>
      <w:r w:rsidR="007B0169" w:rsidRPr="00163523">
        <w:rPr>
          <w:lang w:val="en-GB"/>
        </w:rPr>
        <w:t xml:space="preserve"> urgent measures</w:t>
      </w:r>
      <w:r w:rsidR="00BC4A3F" w:rsidRPr="00163523">
        <w:rPr>
          <w:lang w:val="en-GB"/>
        </w:rPr>
        <w:t xml:space="preserve"> </w:t>
      </w:r>
      <w:r w:rsidR="00A96AE3" w:rsidRPr="00163523">
        <w:rPr>
          <w:lang w:val="en-GB"/>
        </w:rPr>
        <w:t xml:space="preserve">to </w:t>
      </w:r>
      <w:r w:rsidR="0083327A" w:rsidRPr="00163523">
        <w:rPr>
          <w:lang w:val="en-GB"/>
        </w:rPr>
        <w:t xml:space="preserve">reduce </w:t>
      </w:r>
      <w:r w:rsidR="001F3384" w:rsidRPr="00163523">
        <w:rPr>
          <w:lang w:val="en-GB"/>
        </w:rPr>
        <w:t>its</w:t>
      </w:r>
      <w:r w:rsidR="0083327A" w:rsidRPr="00163523">
        <w:rPr>
          <w:lang w:val="en-GB"/>
        </w:rPr>
        <w:t xml:space="preserve"> dependency on Russian gas.  </w:t>
      </w:r>
    </w:p>
    <w:p w14:paraId="3B23E0C1" w14:textId="77777777" w:rsidR="00355BE2" w:rsidRPr="00163523" w:rsidRDefault="00355BE2" w:rsidP="00546E91">
      <w:pPr>
        <w:rPr>
          <w:lang w:val="en-GB"/>
        </w:rPr>
      </w:pPr>
    </w:p>
    <w:p w14:paraId="01C83B86" w14:textId="31038B2C" w:rsidR="00546E91" w:rsidRPr="00163523" w:rsidRDefault="006D551A" w:rsidP="00546E91">
      <w:pPr>
        <w:rPr>
          <w:lang w:val="en-GB"/>
        </w:rPr>
      </w:pPr>
      <w:r w:rsidRPr="00163523">
        <w:rPr>
          <w:lang w:val="en-GB"/>
        </w:rPr>
        <w:t>Deliverable 2 showed that t</w:t>
      </w:r>
      <w:r w:rsidR="000D0D86" w:rsidRPr="00163523">
        <w:rPr>
          <w:lang w:val="en-GB"/>
        </w:rPr>
        <w:t xml:space="preserve">he current gas consumption in </w:t>
      </w:r>
      <w:r w:rsidR="00FD6972" w:rsidRPr="00163523">
        <w:rPr>
          <w:lang w:val="en-GB"/>
        </w:rPr>
        <w:t>Estonia, Latvia, Lithuania and Finland</w:t>
      </w:r>
      <w:r w:rsidR="000D0D86" w:rsidRPr="00163523">
        <w:rPr>
          <w:lang w:val="en-GB"/>
        </w:rPr>
        <w:t xml:space="preserve"> is mainly dominated by natural ga</w:t>
      </w:r>
      <w:r w:rsidR="00FD6972" w:rsidRPr="00163523">
        <w:rPr>
          <w:lang w:val="en-GB"/>
        </w:rPr>
        <w:t>s</w:t>
      </w:r>
      <w:r w:rsidR="000D0D86" w:rsidRPr="00163523">
        <w:rPr>
          <w:lang w:val="en-GB"/>
        </w:rPr>
        <w:t>,</w:t>
      </w:r>
      <w:r w:rsidR="00FD6972" w:rsidRPr="00163523">
        <w:rPr>
          <w:lang w:val="en-GB"/>
        </w:rPr>
        <w:t xml:space="preserve"> </w:t>
      </w:r>
      <w:r w:rsidR="002F2373" w:rsidRPr="00163523">
        <w:rPr>
          <w:lang w:val="en-GB"/>
        </w:rPr>
        <w:t>and</w:t>
      </w:r>
      <w:r w:rsidR="00FD6972" w:rsidRPr="00163523">
        <w:rPr>
          <w:lang w:val="en-GB"/>
        </w:rPr>
        <w:t xml:space="preserve"> </w:t>
      </w:r>
      <w:r w:rsidR="00516FAD" w:rsidRPr="00163523">
        <w:rPr>
          <w:lang w:val="en-GB"/>
        </w:rPr>
        <w:t xml:space="preserve">as there </w:t>
      </w:r>
      <w:r w:rsidR="000D0D86" w:rsidRPr="00163523">
        <w:rPr>
          <w:lang w:val="en-GB"/>
        </w:rPr>
        <w:t xml:space="preserve">is </w:t>
      </w:r>
      <w:r w:rsidR="00FD6972" w:rsidRPr="00163523">
        <w:rPr>
          <w:lang w:val="en-GB"/>
        </w:rPr>
        <w:t>no</w:t>
      </w:r>
      <w:r w:rsidR="000D0D86" w:rsidRPr="00163523">
        <w:rPr>
          <w:lang w:val="en-GB"/>
        </w:rPr>
        <w:t xml:space="preserve"> natural gas production in any of these countries</w:t>
      </w:r>
      <w:r w:rsidR="0007154B" w:rsidRPr="00163523">
        <w:rPr>
          <w:lang w:val="en-GB"/>
        </w:rPr>
        <w:t xml:space="preserve">, they are </w:t>
      </w:r>
      <w:r w:rsidR="00F02725" w:rsidRPr="00163523">
        <w:rPr>
          <w:lang w:val="en-GB"/>
        </w:rPr>
        <w:t xml:space="preserve">highly dependent on foreign </w:t>
      </w:r>
      <w:r w:rsidR="001B238A" w:rsidRPr="00163523">
        <w:rPr>
          <w:lang w:val="en-GB"/>
        </w:rPr>
        <w:t>supply</w:t>
      </w:r>
      <w:r w:rsidR="00F02725" w:rsidRPr="00163523">
        <w:rPr>
          <w:lang w:val="en-GB"/>
        </w:rPr>
        <w:t>.</w:t>
      </w:r>
      <w:r w:rsidR="001C68CD" w:rsidRPr="00163523">
        <w:rPr>
          <w:lang w:val="en-GB"/>
        </w:rPr>
        <w:t xml:space="preserve"> </w:t>
      </w:r>
      <w:r w:rsidR="004B23DF" w:rsidRPr="00163523">
        <w:rPr>
          <w:lang w:val="en-GB"/>
        </w:rPr>
        <w:t xml:space="preserve">Natural gas </w:t>
      </w:r>
      <w:r w:rsidR="00410A70" w:rsidRPr="00163523">
        <w:rPr>
          <w:lang w:val="en-GB"/>
        </w:rPr>
        <w:t>has historically been</w:t>
      </w:r>
      <w:r w:rsidR="0064456A" w:rsidRPr="00163523">
        <w:rPr>
          <w:lang w:val="en-GB"/>
        </w:rPr>
        <w:t xml:space="preserve"> </w:t>
      </w:r>
      <w:r w:rsidR="0006272A" w:rsidRPr="00163523">
        <w:rPr>
          <w:lang w:val="en-GB"/>
        </w:rPr>
        <w:t xml:space="preserve">mostly </w:t>
      </w:r>
      <w:r w:rsidR="004B23DF" w:rsidRPr="00163523">
        <w:rPr>
          <w:lang w:val="en-GB"/>
        </w:rPr>
        <w:t xml:space="preserve">imported in the </w:t>
      </w:r>
      <w:r w:rsidR="00A87378" w:rsidRPr="00163523">
        <w:rPr>
          <w:lang w:val="en-GB"/>
        </w:rPr>
        <w:t xml:space="preserve">region via pipelines from </w:t>
      </w:r>
      <w:r w:rsidR="00A91328" w:rsidRPr="00163523">
        <w:rPr>
          <w:lang w:val="en-GB"/>
        </w:rPr>
        <w:t>neighbouring</w:t>
      </w:r>
      <w:r w:rsidR="00750B1C" w:rsidRPr="00163523">
        <w:rPr>
          <w:lang w:val="en-GB"/>
        </w:rPr>
        <w:t xml:space="preserve"> countries (i.e. mainly </w:t>
      </w:r>
      <w:r w:rsidR="00A87378" w:rsidRPr="00163523">
        <w:rPr>
          <w:lang w:val="en-GB"/>
        </w:rPr>
        <w:t>Russia and Belarus</w:t>
      </w:r>
      <w:r w:rsidR="00750B1C" w:rsidRPr="00163523">
        <w:rPr>
          <w:lang w:val="en-GB"/>
        </w:rPr>
        <w:t>)</w:t>
      </w:r>
      <w:r w:rsidR="00A87378" w:rsidRPr="00163523">
        <w:rPr>
          <w:lang w:val="en-GB"/>
        </w:rPr>
        <w:t xml:space="preserve"> or via LNG terminals.</w:t>
      </w:r>
      <w:r w:rsidR="002D068D" w:rsidRPr="00163523">
        <w:rPr>
          <w:rStyle w:val="Voetnootmarkering"/>
          <w:lang w:val="en-GB"/>
        </w:rPr>
        <w:footnoteReference w:id="47"/>
      </w:r>
      <w:r w:rsidR="00A87378" w:rsidRPr="00163523">
        <w:rPr>
          <w:lang w:val="en-GB"/>
        </w:rPr>
        <w:t xml:space="preserve"> </w:t>
      </w:r>
      <w:r w:rsidR="00AB3385" w:rsidRPr="00163523">
        <w:rPr>
          <w:lang w:val="en-GB"/>
        </w:rPr>
        <w:t xml:space="preserve">Reducing the </w:t>
      </w:r>
      <w:r w:rsidR="001B238A" w:rsidRPr="00163523">
        <w:rPr>
          <w:lang w:val="en-GB"/>
        </w:rPr>
        <w:t xml:space="preserve">energy </w:t>
      </w:r>
      <w:r w:rsidR="00AB3385" w:rsidRPr="00163523">
        <w:rPr>
          <w:lang w:val="en-GB"/>
        </w:rPr>
        <w:t xml:space="preserve">dependency of the Baltic Regional Gas Market on </w:t>
      </w:r>
      <w:r w:rsidR="00A13395" w:rsidRPr="00163523">
        <w:rPr>
          <w:lang w:val="en-GB"/>
        </w:rPr>
        <w:t xml:space="preserve">import </w:t>
      </w:r>
      <w:r w:rsidR="00AB3385" w:rsidRPr="00163523">
        <w:rPr>
          <w:lang w:val="en-GB"/>
        </w:rPr>
        <w:t xml:space="preserve">is key to ensure security of supply and strengthen </w:t>
      </w:r>
      <w:r w:rsidR="00283B91" w:rsidRPr="00163523">
        <w:rPr>
          <w:lang w:val="en-GB"/>
        </w:rPr>
        <w:t>its</w:t>
      </w:r>
      <w:r w:rsidR="00AB3385" w:rsidRPr="00163523">
        <w:rPr>
          <w:lang w:val="en-GB"/>
        </w:rPr>
        <w:t xml:space="preserve"> resilience and autonomy in the event of energy shortages arising from geopolitical tensions</w:t>
      </w:r>
      <w:r w:rsidR="00D22CC5" w:rsidRPr="00163523">
        <w:rPr>
          <w:lang w:val="en-GB"/>
        </w:rPr>
        <w:t xml:space="preserve"> in the future</w:t>
      </w:r>
      <w:r w:rsidR="00AB3385" w:rsidRPr="00163523">
        <w:rPr>
          <w:lang w:val="en-GB"/>
        </w:rPr>
        <w:t xml:space="preserve">. </w:t>
      </w:r>
      <w:r w:rsidR="00546E91" w:rsidRPr="00163523">
        <w:rPr>
          <w:lang w:val="en-GB"/>
        </w:rPr>
        <w:t xml:space="preserve">In addition, it also represents an opportunity to accelerate the green transition by reducing </w:t>
      </w:r>
      <w:r w:rsidR="00256482" w:rsidRPr="00163523">
        <w:rPr>
          <w:lang w:val="en-GB"/>
        </w:rPr>
        <w:t xml:space="preserve">the </w:t>
      </w:r>
      <w:r w:rsidR="00546E91" w:rsidRPr="00163523">
        <w:rPr>
          <w:lang w:val="en-GB"/>
        </w:rPr>
        <w:t>overall gas demand and deploy renewable energy</w:t>
      </w:r>
      <w:r w:rsidR="00F70620" w:rsidRPr="00163523">
        <w:rPr>
          <w:lang w:val="en-GB"/>
        </w:rPr>
        <w:t xml:space="preserve"> sources</w:t>
      </w:r>
      <w:r w:rsidR="00D22CC5" w:rsidRPr="00163523">
        <w:rPr>
          <w:lang w:val="en-GB"/>
        </w:rPr>
        <w:t>,</w:t>
      </w:r>
      <w:r w:rsidR="00D62B92" w:rsidRPr="00163523">
        <w:rPr>
          <w:lang w:val="en-GB"/>
        </w:rPr>
        <w:t xml:space="preserve"> which are </w:t>
      </w:r>
      <w:r w:rsidR="00BE11CA" w:rsidRPr="00163523">
        <w:rPr>
          <w:lang w:val="en-GB"/>
        </w:rPr>
        <w:t>often locally generated</w:t>
      </w:r>
      <w:r w:rsidR="00DD3512" w:rsidRPr="00163523">
        <w:rPr>
          <w:lang w:val="en-GB"/>
        </w:rPr>
        <w:t>/produced</w:t>
      </w:r>
      <w:r w:rsidR="00BE11CA" w:rsidRPr="00163523">
        <w:rPr>
          <w:lang w:val="en-GB"/>
        </w:rPr>
        <w:t xml:space="preserve"> and </w:t>
      </w:r>
      <w:r w:rsidR="00CE1D6E" w:rsidRPr="00163523">
        <w:rPr>
          <w:lang w:val="en-GB"/>
        </w:rPr>
        <w:t xml:space="preserve">may </w:t>
      </w:r>
      <w:r w:rsidR="001323ED" w:rsidRPr="00163523">
        <w:rPr>
          <w:lang w:val="en-GB"/>
        </w:rPr>
        <w:t>thus decrease energy dependency</w:t>
      </w:r>
      <w:r w:rsidR="00546E91" w:rsidRPr="00163523">
        <w:rPr>
          <w:lang w:val="en-GB"/>
        </w:rPr>
        <w:t xml:space="preserve">. </w:t>
      </w:r>
    </w:p>
    <w:p w14:paraId="66710118" w14:textId="77777777" w:rsidR="008B48CC" w:rsidRPr="00163523" w:rsidRDefault="008B48CC" w:rsidP="008B48CC">
      <w:pPr>
        <w:rPr>
          <w:lang w:val="en-GB"/>
        </w:rPr>
      </w:pPr>
    </w:p>
    <w:p w14:paraId="04F62D41" w14:textId="00936F9A" w:rsidR="00B60BFB" w:rsidRPr="00163523" w:rsidRDefault="00EC27C4" w:rsidP="00B60BFB">
      <w:pPr>
        <w:rPr>
          <w:lang w:val="en-GB"/>
        </w:rPr>
      </w:pPr>
      <w:r w:rsidRPr="00163523">
        <w:rPr>
          <w:lang w:val="en-GB"/>
        </w:rPr>
        <w:t xml:space="preserve">As indicated in Deliverable 3, the </w:t>
      </w:r>
      <w:r w:rsidR="00F61603" w:rsidRPr="00163523">
        <w:rPr>
          <w:lang w:val="en-GB"/>
        </w:rPr>
        <w:t xml:space="preserve">gas </w:t>
      </w:r>
      <w:r w:rsidR="00567A54" w:rsidRPr="00163523">
        <w:rPr>
          <w:lang w:val="en-GB"/>
        </w:rPr>
        <w:t xml:space="preserve">imports </w:t>
      </w:r>
      <w:r w:rsidRPr="00163523">
        <w:rPr>
          <w:lang w:val="en-GB"/>
        </w:rPr>
        <w:t>of the Baltic Regional Gas Market</w:t>
      </w:r>
      <w:r w:rsidR="008C4955" w:rsidRPr="00163523">
        <w:rPr>
          <w:lang w:val="en-GB"/>
        </w:rPr>
        <w:t xml:space="preserve"> </w:t>
      </w:r>
      <w:r w:rsidR="00B90170" w:rsidRPr="00163523">
        <w:rPr>
          <w:lang w:val="en-GB"/>
        </w:rPr>
        <w:t>from foreign countries</w:t>
      </w:r>
      <w:r w:rsidRPr="00163523">
        <w:rPr>
          <w:lang w:val="en-GB"/>
        </w:rPr>
        <w:t xml:space="preserve"> will </w:t>
      </w:r>
      <w:r w:rsidR="003729B2" w:rsidRPr="00163523">
        <w:rPr>
          <w:lang w:val="en-GB"/>
        </w:rPr>
        <w:t xml:space="preserve">decrease between 2030 and 2050 </w:t>
      </w:r>
      <w:r w:rsidR="001E11EF" w:rsidRPr="00163523">
        <w:rPr>
          <w:lang w:val="en-GB"/>
        </w:rPr>
        <w:t>(thanks to increased domestic gas production)</w:t>
      </w:r>
      <w:r w:rsidR="00B90170" w:rsidRPr="00163523">
        <w:rPr>
          <w:lang w:val="en-GB"/>
        </w:rPr>
        <w:t xml:space="preserve"> in all scenarios but more substantially </w:t>
      </w:r>
      <w:r w:rsidR="009F5EF7" w:rsidRPr="00163523">
        <w:rPr>
          <w:lang w:val="en-GB"/>
        </w:rPr>
        <w:t>in</w:t>
      </w:r>
      <w:r w:rsidR="00B90170" w:rsidRPr="00163523">
        <w:rPr>
          <w:lang w:val="en-GB"/>
        </w:rPr>
        <w:t xml:space="preserve"> the REN-Methane, REN-Hydrogen and Cost minimal scenarios</w:t>
      </w:r>
      <w:r w:rsidR="009F5EF7" w:rsidRPr="00163523">
        <w:rPr>
          <w:lang w:val="en-GB"/>
        </w:rPr>
        <w:t xml:space="preserve"> than in the BAU scenario</w:t>
      </w:r>
      <w:r w:rsidR="00B90170" w:rsidRPr="00163523">
        <w:rPr>
          <w:lang w:val="en-GB"/>
        </w:rPr>
        <w:t>.</w:t>
      </w:r>
      <w:r w:rsidR="001E11EF" w:rsidRPr="00163523">
        <w:rPr>
          <w:lang w:val="en-GB"/>
        </w:rPr>
        <w:t xml:space="preserve"> </w:t>
      </w:r>
      <w:r w:rsidR="008C4955" w:rsidRPr="00163523">
        <w:rPr>
          <w:lang w:val="en-GB"/>
        </w:rPr>
        <w:t>Th</w:t>
      </w:r>
      <w:r w:rsidR="009F5EF7" w:rsidRPr="00163523">
        <w:rPr>
          <w:lang w:val="en-GB"/>
        </w:rPr>
        <w:t xml:space="preserve">e </w:t>
      </w:r>
      <w:r w:rsidR="004F6AF8" w:rsidRPr="00163523">
        <w:rPr>
          <w:lang w:val="en-GB"/>
        </w:rPr>
        <w:t xml:space="preserve">gas decarbonization scenarios </w:t>
      </w:r>
      <w:r w:rsidR="003D7BE2" w:rsidRPr="00163523">
        <w:rPr>
          <w:lang w:val="en-GB"/>
        </w:rPr>
        <w:t xml:space="preserve">hence </w:t>
      </w:r>
      <w:r w:rsidR="003729B2" w:rsidRPr="00163523">
        <w:rPr>
          <w:lang w:val="en-GB"/>
        </w:rPr>
        <w:t xml:space="preserve">ensure a lower external energy dependence and thus a greater security of supply. </w:t>
      </w:r>
      <w:r w:rsidR="002E5447" w:rsidRPr="00163523">
        <w:rPr>
          <w:lang w:val="en-GB"/>
        </w:rPr>
        <w:t xml:space="preserve">The cross-border </w:t>
      </w:r>
      <w:r w:rsidR="00DC2D97" w:rsidRPr="00163523">
        <w:rPr>
          <w:lang w:val="en-GB"/>
        </w:rPr>
        <w:t xml:space="preserve">regional </w:t>
      </w:r>
      <w:r w:rsidR="002E5447" w:rsidRPr="00163523">
        <w:rPr>
          <w:lang w:val="en-GB"/>
        </w:rPr>
        <w:t>gas flows will however increase over the same period</w:t>
      </w:r>
      <w:r w:rsidR="00A724D7" w:rsidRPr="00163523">
        <w:rPr>
          <w:lang w:val="en-GB"/>
        </w:rPr>
        <w:t xml:space="preserve"> in all decarbonization scenarios</w:t>
      </w:r>
      <w:r w:rsidR="006300BF" w:rsidRPr="00163523">
        <w:rPr>
          <w:lang w:val="en-GB"/>
        </w:rPr>
        <w:t xml:space="preserve">, which </w:t>
      </w:r>
      <w:r w:rsidR="006F4EB8" w:rsidRPr="00163523">
        <w:rPr>
          <w:lang w:val="en-GB"/>
        </w:rPr>
        <w:t>means that the four countries will have a greater dependence on each other.</w:t>
      </w:r>
    </w:p>
    <w:p w14:paraId="0A84E189" w14:textId="77777777" w:rsidR="0022622D" w:rsidRPr="00163523" w:rsidRDefault="0022622D" w:rsidP="00B60BFB">
      <w:pPr>
        <w:rPr>
          <w:lang w:val="en-GB"/>
        </w:rPr>
      </w:pPr>
    </w:p>
    <w:p w14:paraId="2BFEEED2" w14:textId="21AFFB09" w:rsidR="00F63E15" w:rsidRPr="00163523" w:rsidRDefault="00AB17A7" w:rsidP="00F63E15">
      <w:pPr>
        <w:pStyle w:val="Kop4"/>
        <w:rPr>
          <w:lang w:val="en-GB"/>
        </w:rPr>
      </w:pPr>
      <w:r w:rsidRPr="00163523">
        <w:rPr>
          <w:lang w:val="en-GB"/>
        </w:rPr>
        <w:t>Rating</w:t>
      </w:r>
      <w:r w:rsidR="00F63E15" w:rsidRPr="00163523">
        <w:rPr>
          <w:lang w:val="en-GB"/>
        </w:rPr>
        <w:t xml:space="preserve"> of the </w:t>
      </w:r>
      <w:r w:rsidRPr="00163523">
        <w:rPr>
          <w:lang w:val="en-GB"/>
        </w:rPr>
        <w:t xml:space="preserve">risk </w:t>
      </w:r>
      <w:r w:rsidR="00F63E15" w:rsidRPr="00163523">
        <w:rPr>
          <w:lang w:val="en-GB"/>
        </w:rPr>
        <w:t>based on likelihood and severity</w:t>
      </w:r>
    </w:p>
    <w:p w14:paraId="6E1CAE5A" w14:textId="321D6269" w:rsidR="00F63E15" w:rsidRPr="00163523" w:rsidRDefault="00251780" w:rsidP="00F63E15">
      <w:pPr>
        <w:rPr>
          <w:lang w:val="en-GB"/>
        </w:rPr>
      </w:pPr>
      <w:r w:rsidRPr="00163523">
        <w:rPr>
          <w:lang w:val="en-GB"/>
        </w:rPr>
        <w:t>Gas s</w:t>
      </w:r>
      <w:r w:rsidR="00E21CCE" w:rsidRPr="00163523">
        <w:rPr>
          <w:lang w:val="en-GB"/>
        </w:rPr>
        <w:t>upply disruption</w:t>
      </w:r>
      <w:r w:rsidRPr="00163523">
        <w:rPr>
          <w:lang w:val="en-GB"/>
        </w:rPr>
        <w:t>s</w:t>
      </w:r>
      <w:r w:rsidR="00E21CCE" w:rsidRPr="00163523">
        <w:rPr>
          <w:lang w:val="en-GB"/>
        </w:rPr>
        <w:t xml:space="preserve"> can have major impact</w:t>
      </w:r>
      <w:r w:rsidRPr="00163523">
        <w:rPr>
          <w:lang w:val="en-GB"/>
        </w:rPr>
        <w:t>s</w:t>
      </w:r>
      <w:r w:rsidR="00E21CCE" w:rsidRPr="00163523">
        <w:rPr>
          <w:lang w:val="en-GB"/>
        </w:rPr>
        <w:t xml:space="preserve"> on a country’s economic and social wellbeing. </w:t>
      </w:r>
      <w:r w:rsidR="00D660F3" w:rsidRPr="00163523">
        <w:rPr>
          <w:lang w:val="en-GB"/>
        </w:rPr>
        <w:t>In the residential sector, gas is mainly used for heating</w:t>
      </w:r>
      <w:r w:rsidR="006863DC" w:rsidRPr="00163523">
        <w:rPr>
          <w:lang w:val="en-GB"/>
        </w:rPr>
        <w:t xml:space="preserve"> and </w:t>
      </w:r>
      <w:r w:rsidR="009844D5" w:rsidRPr="00163523">
        <w:rPr>
          <w:lang w:val="en-GB"/>
        </w:rPr>
        <w:t xml:space="preserve">a supply disruption </w:t>
      </w:r>
      <w:r w:rsidR="006863DC" w:rsidRPr="00163523">
        <w:rPr>
          <w:lang w:val="en-GB"/>
        </w:rPr>
        <w:t>can thus</w:t>
      </w:r>
      <w:r w:rsidR="00A36203" w:rsidRPr="00163523">
        <w:rPr>
          <w:lang w:val="en-GB"/>
        </w:rPr>
        <w:t xml:space="preserve"> </w:t>
      </w:r>
      <w:r w:rsidR="00F54273" w:rsidRPr="00163523">
        <w:rPr>
          <w:lang w:val="en-GB"/>
        </w:rPr>
        <w:t>highly affect households, and more specifically vulnerable people</w:t>
      </w:r>
      <w:r w:rsidR="005274BD" w:rsidRPr="00163523">
        <w:rPr>
          <w:lang w:val="en-GB"/>
        </w:rPr>
        <w:t xml:space="preserve"> who often live in low energy performant dwellings</w:t>
      </w:r>
      <w:r w:rsidR="001F2369" w:rsidRPr="00163523">
        <w:rPr>
          <w:lang w:val="en-GB"/>
        </w:rPr>
        <w:t xml:space="preserve"> without alternative heating source</w:t>
      </w:r>
      <w:r w:rsidR="00E9140F" w:rsidRPr="00163523">
        <w:rPr>
          <w:lang w:val="en-GB"/>
        </w:rPr>
        <w:t>s</w:t>
      </w:r>
      <w:r w:rsidR="00F54273" w:rsidRPr="00163523">
        <w:rPr>
          <w:lang w:val="en-GB"/>
        </w:rPr>
        <w:t>. In addition,</w:t>
      </w:r>
      <w:r w:rsidR="007E26C9" w:rsidRPr="00163523">
        <w:rPr>
          <w:lang w:val="en-GB"/>
        </w:rPr>
        <w:t xml:space="preserve"> </w:t>
      </w:r>
      <w:r w:rsidR="00B70B17" w:rsidRPr="00163523">
        <w:rPr>
          <w:lang w:val="en-GB"/>
        </w:rPr>
        <w:t xml:space="preserve">electricity supply would be </w:t>
      </w:r>
      <w:r w:rsidR="005274BD" w:rsidRPr="00163523">
        <w:rPr>
          <w:lang w:val="en-GB"/>
        </w:rPr>
        <w:t xml:space="preserve">impacted by a </w:t>
      </w:r>
      <w:r w:rsidR="000C1AE7" w:rsidRPr="00163523">
        <w:rPr>
          <w:lang w:val="en-GB"/>
        </w:rPr>
        <w:t>disruption in gas supply</w:t>
      </w:r>
      <w:r w:rsidR="00201EFA" w:rsidRPr="00163523">
        <w:rPr>
          <w:lang w:val="en-GB"/>
        </w:rPr>
        <w:t>, which would affect all sectors of the economy</w:t>
      </w:r>
      <w:r w:rsidR="00DB5884" w:rsidRPr="00163523">
        <w:rPr>
          <w:lang w:val="en-GB"/>
        </w:rPr>
        <w:t xml:space="preserve"> (particularly in Latvia and Finland where the largest natural gas consumer is electricity generation)</w:t>
      </w:r>
      <w:r w:rsidR="007E26C9" w:rsidRPr="00163523">
        <w:rPr>
          <w:lang w:val="en-GB"/>
        </w:rPr>
        <w:t xml:space="preserve">. </w:t>
      </w:r>
      <w:r w:rsidR="00852F7C" w:rsidRPr="00163523">
        <w:rPr>
          <w:lang w:val="en-GB"/>
        </w:rPr>
        <w:t xml:space="preserve">Therefore, we </w:t>
      </w:r>
      <w:r w:rsidR="00DA170F" w:rsidRPr="00163523">
        <w:rPr>
          <w:lang w:val="en-GB"/>
        </w:rPr>
        <w:t>consider</w:t>
      </w:r>
      <w:r w:rsidR="00E67F8C" w:rsidRPr="00163523">
        <w:rPr>
          <w:lang w:val="en-GB"/>
        </w:rPr>
        <w:t xml:space="preserve"> the </w:t>
      </w:r>
      <w:r w:rsidR="00E67F8C" w:rsidRPr="00163523">
        <w:rPr>
          <w:b/>
          <w:lang w:val="en-GB"/>
        </w:rPr>
        <w:t xml:space="preserve">severity of </w:t>
      </w:r>
      <w:r w:rsidR="00BF6489" w:rsidRPr="00163523">
        <w:rPr>
          <w:b/>
          <w:lang w:val="en-GB"/>
        </w:rPr>
        <w:t>this risk as ‘high’</w:t>
      </w:r>
      <w:r w:rsidR="00BF6489" w:rsidRPr="00163523">
        <w:rPr>
          <w:lang w:val="en-GB"/>
        </w:rPr>
        <w:t xml:space="preserve">. </w:t>
      </w:r>
    </w:p>
    <w:p w14:paraId="2B4ABD23" w14:textId="77777777" w:rsidR="00F54273" w:rsidRPr="00163523" w:rsidRDefault="00F54273" w:rsidP="00F63E15">
      <w:pPr>
        <w:rPr>
          <w:lang w:val="en-GB"/>
        </w:rPr>
      </w:pPr>
    </w:p>
    <w:p w14:paraId="4E4C109F" w14:textId="1B810D7D" w:rsidR="005C69A6" w:rsidRPr="00163523" w:rsidRDefault="001C1A93" w:rsidP="00F63E15">
      <w:pPr>
        <w:rPr>
          <w:lang w:val="en-GB"/>
        </w:rPr>
      </w:pPr>
      <w:r w:rsidRPr="00163523">
        <w:rPr>
          <w:lang w:val="en-GB"/>
        </w:rPr>
        <w:t xml:space="preserve">The </w:t>
      </w:r>
      <w:r w:rsidRPr="00163523">
        <w:rPr>
          <w:b/>
          <w:lang w:val="en-GB"/>
        </w:rPr>
        <w:t xml:space="preserve">likelihood of the risk </w:t>
      </w:r>
      <w:r w:rsidR="00B634CE" w:rsidRPr="00163523">
        <w:rPr>
          <w:b/>
          <w:lang w:val="en-GB"/>
        </w:rPr>
        <w:t>can be assessed as</w:t>
      </w:r>
      <w:r w:rsidRPr="00163523">
        <w:rPr>
          <w:b/>
          <w:lang w:val="en-GB"/>
        </w:rPr>
        <w:t xml:space="preserve"> ‘low’</w:t>
      </w:r>
      <w:r w:rsidR="005C69A6" w:rsidRPr="00163523">
        <w:rPr>
          <w:lang w:val="en-GB"/>
        </w:rPr>
        <w:t>. The risk is more likely to occur in the short and medium term</w:t>
      </w:r>
      <w:r w:rsidRPr="00163523">
        <w:rPr>
          <w:lang w:val="en-GB"/>
        </w:rPr>
        <w:t xml:space="preserve"> as </w:t>
      </w:r>
      <w:r w:rsidR="00085B40" w:rsidRPr="00163523">
        <w:rPr>
          <w:lang w:val="en-GB"/>
        </w:rPr>
        <w:t xml:space="preserve">the external dependence of the </w:t>
      </w:r>
      <w:r w:rsidR="00AA24D6" w:rsidRPr="00163523">
        <w:rPr>
          <w:lang w:val="en-GB"/>
        </w:rPr>
        <w:t xml:space="preserve">Baltic Regional Gas Market </w:t>
      </w:r>
      <w:r w:rsidR="005C69A6" w:rsidRPr="00163523">
        <w:rPr>
          <w:lang w:val="en-GB"/>
        </w:rPr>
        <w:t>is expected to</w:t>
      </w:r>
      <w:r w:rsidR="00AA24D6" w:rsidRPr="00163523">
        <w:rPr>
          <w:lang w:val="en-GB"/>
        </w:rPr>
        <w:t xml:space="preserve"> decrease</w:t>
      </w:r>
      <w:r w:rsidR="005C69A6" w:rsidRPr="00163523">
        <w:rPr>
          <w:lang w:val="en-GB"/>
        </w:rPr>
        <w:t xml:space="preserve">. However, </w:t>
      </w:r>
      <w:r w:rsidR="003069A0" w:rsidRPr="00163523">
        <w:rPr>
          <w:lang w:val="en-GB"/>
        </w:rPr>
        <w:t xml:space="preserve">the four countries will be increasingly reliant on each other which may also have </w:t>
      </w:r>
      <w:r w:rsidR="002245D8" w:rsidRPr="00163523">
        <w:rPr>
          <w:lang w:val="en-GB"/>
        </w:rPr>
        <w:t xml:space="preserve">negative </w:t>
      </w:r>
      <w:r w:rsidR="003069A0" w:rsidRPr="00163523">
        <w:rPr>
          <w:lang w:val="en-GB"/>
        </w:rPr>
        <w:t xml:space="preserve">implications if tensions </w:t>
      </w:r>
      <w:r w:rsidR="00DA3619" w:rsidRPr="00163523">
        <w:rPr>
          <w:lang w:val="en-GB"/>
        </w:rPr>
        <w:t xml:space="preserve">would </w:t>
      </w:r>
      <w:r w:rsidR="003069A0" w:rsidRPr="00163523">
        <w:rPr>
          <w:lang w:val="en-GB"/>
        </w:rPr>
        <w:t xml:space="preserve">arise within the region. </w:t>
      </w:r>
    </w:p>
    <w:p w14:paraId="7ADE2C6A" w14:textId="77777777" w:rsidR="005C69A6" w:rsidRPr="00163523" w:rsidRDefault="005C69A6" w:rsidP="00F63E15">
      <w:pPr>
        <w:rPr>
          <w:lang w:val="en-GB"/>
        </w:rPr>
      </w:pPr>
    </w:p>
    <w:p w14:paraId="40CE7410" w14:textId="7D508DD2" w:rsidR="001C1A93" w:rsidRPr="00163523" w:rsidRDefault="00470A40" w:rsidP="00F63E15">
      <w:pPr>
        <w:rPr>
          <w:lang w:val="en-GB"/>
        </w:rPr>
      </w:pPr>
      <w:r w:rsidRPr="00163523">
        <w:rPr>
          <w:lang w:val="en-GB"/>
        </w:rPr>
        <w:t xml:space="preserve">Dependence on foreign imports will </w:t>
      </w:r>
      <w:r w:rsidR="00DA3BBA" w:rsidRPr="00163523">
        <w:rPr>
          <w:lang w:val="en-GB"/>
        </w:rPr>
        <w:t xml:space="preserve">obviously </w:t>
      </w:r>
      <w:r w:rsidRPr="00163523">
        <w:rPr>
          <w:lang w:val="en-GB"/>
        </w:rPr>
        <w:t xml:space="preserve">decrease </w:t>
      </w:r>
      <w:r w:rsidR="00AA24D6" w:rsidRPr="00163523">
        <w:rPr>
          <w:lang w:val="en-GB"/>
        </w:rPr>
        <w:t xml:space="preserve">in all </w:t>
      </w:r>
      <w:r w:rsidR="00831EA1" w:rsidRPr="00163523">
        <w:rPr>
          <w:lang w:val="en-GB"/>
        </w:rPr>
        <w:t>decarbonization</w:t>
      </w:r>
      <w:r w:rsidR="00AA24D6" w:rsidRPr="00163523">
        <w:rPr>
          <w:lang w:val="en-GB"/>
        </w:rPr>
        <w:t xml:space="preserve"> scenarios</w:t>
      </w:r>
      <w:r w:rsidR="00D92D9F" w:rsidRPr="00163523">
        <w:rPr>
          <w:lang w:val="en-GB"/>
        </w:rPr>
        <w:t xml:space="preserve"> to a higher extent than </w:t>
      </w:r>
      <w:r w:rsidR="00AA24D6" w:rsidRPr="00163523">
        <w:rPr>
          <w:lang w:val="en-GB"/>
        </w:rPr>
        <w:t>in the BAU scenario</w:t>
      </w:r>
      <w:r w:rsidR="005C69A6" w:rsidRPr="00163523">
        <w:rPr>
          <w:lang w:val="en-GB"/>
        </w:rPr>
        <w:t>.</w:t>
      </w:r>
      <w:r w:rsidR="007762D0" w:rsidRPr="00163523">
        <w:rPr>
          <w:lang w:val="en-GB"/>
        </w:rPr>
        <w:t xml:space="preserve"> As </w:t>
      </w:r>
      <w:r w:rsidR="007522DB" w:rsidRPr="00163523">
        <w:rPr>
          <w:lang w:val="en-GB"/>
        </w:rPr>
        <w:t xml:space="preserve">the </w:t>
      </w:r>
      <w:r w:rsidR="007762D0" w:rsidRPr="00163523">
        <w:rPr>
          <w:lang w:val="en-GB"/>
        </w:rPr>
        <w:t>gas consumption is higher in Estonia</w:t>
      </w:r>
      <w:r w:rsidR="00DA49B7" w:rsidRPr="00163523">
        <w:rPr>
          <w:lang w:val="en-GB"/>
        </w:rPr>
        <w:t>, Latvia</w:t>
      </w:r>
      <w:r w:rsidR="007762D0" w:rsidRPr="00163523">
        <w:rPr>
          <w:lang w:val="en-GB"/>
        </w:rPr>
        <w:t xml:space="preserve"> and </w:t>
      </w:r>
      <w:r w:rsidR="00037ABA" w:rsidRPr="00163523">
        <w:rPr>
          <w:lang w:val="en-GB"/>
        </w:rPr>
        <w:t>Lithuania</w:t>
      </w:r>
      <w:r w:rsidR="00DA49B7" w:rsidRPr="00163523">
        <w:rPr>
          <w:lang w:val="en-GB"/>
        </w:rPr>
        <w:t xml:space="preserve"> (</w:t>
      </w:r>
      <w:r w:rsidR="00772632" w:rsidRPr="00163523">
        <w:rPr>
          <w:lang w:val="en-GB"/>
        </w:rPr>
        <w:t>9%, 9% and 11% of total energy consumption in 2021</w:t>
      </w:r>
      <w:r w:rsidR="00772632" w:rsidRPr="00163523">
        <w:rPr>
          <w:rStyle w:val="Voetnootmarkering"/>
          <w:lang w:val="en-GB"/>
        </w:rPr>
        <w:footnoteReference w:id="48"/>
      </w:r>
      <w:r w:rsidR="00772632" w:rsidRPr="00163523">
        <w:rPr>
          <w:lang w:val="en-GB"/>
        </w:rPr>
        <w:t>)</w:t>
      </w:r>
      <w:r w:rsidR="00037ABA" w:rsidRPr="00163523">
        <w:rPr>
          <w:lang w:val="en-GB"/>
        </w:rPr>
        <w:t>, the</w:t>
      </w:r>
      <w:r w:rsidR="00772632" w:rsidRPr="00163523">
        <w:rPr>
          <w:lang w:val="en-GB"/>
        </w:rPr>
        <w:t>ir</w:t>
      </w:r>
      <w:r w:rsidR="00037ABA" w:rsidRPr="00163523">
        <w:rPr>
          <w:lang w:val="en-GB"/>
        </w:rPr>
        <w:t xml:space="preserve"> security of supply w</w:t>
      </w:r>
      <w:r w:rsidR="007522DB" w:rsidRPr="00163523">
        <w:rPr>
          <w:lang w:val="en-GB"/>
        </w:rPr>
        <w:t>ould</w:t>
      </w:r>
      <w:r w:rsidR="00037ABA" w:rsidRPr="00163523">
        <w:rPr>
          <w:lang w:val="en-GB"/>
        </w:rPr>
        <w:t xml:space="preserve"> be more affected by disruptions in </w:t>
      </w:r>
      <w:r w:rsidR="007F580E" w:rsidRPr="00163523">
        <w:rPr>
          <w:lang w:val="en-GB"/>
        </w:rPr>
        <w:t xml:space="preserve">gas imports than Finland </w:t>
      </w:r>
      <w:r w:rsidR="00772632" w:rsidRPr="00163523">
        <w:rPr>
          <w:lang w:val="en-GB"/>
        </w:rPr>
        <w:t>(</w:t>
      </w:r>
      <w:r w:rsidR="007522DB" w:rsidRPr="00163523">
        <w:rPr>
          <w:lang w:val="en-GB"/>
        </w:rPr>
        <w:t xml:space="preserve">only </w:t>
      </w:r>
      <w:r w:rsidR="00772632" w:rsidRPr="00163523">
        <w:rPr>
          <w:lang w:val="en-GB"/>
        </w:rPr>
        <w:t>3% of total energy consumption in 2021</w:t>
      </w:r>
      <w:r w:rsidR="00772632" w:rsidRPr="00163523">
        <w:rPr>
          <w:rStyle w:val="Voetnootmarkering"/>
          <w:lang w:val="en-GB"/>
        </w:rPr>
        <w:footnoteReference w:id="49"/>
      </w:r>
      <w:r w:rsidR="00772632" w:rsidRPr="00163523">
        <w:rPr>
          <w:lang w:val="en-GB"/>
        </w:rPr>
        <w:t>)</w:t>
      </w:r>
      <w:r w:rsidR="007F580E" w:rsidRPr="00163523">
        <w:rPr>
          <w:lang w:val="en-GB"/>
        </w:rPr>
        <w:t xml:space="preserve">. </w:t>
      </w:r>
    </w:p>
    <w:p w14:paraId="62C8679E" w14:textId="77777777" w:rsidR="001C1A93" w:rsidRPr="00163523" w:rsidRDefault="001C1A93" w:rsidP="00F63E15">
      <w:pPr>
        <w:rPr>
          <w:lang w:val="en-GB"/>
        </w:rPr>
      </w:pPr>
    </w:p>
    <w:tbl>
      <w:tblPr>
        <w:tblStyle w:val="Table1"/>
        <w:tblW w:w="8449" w:type="dxa"/>
        <w:tblLayout w:type="fixed"/>
        <w:tblLook w:val="04A0" w:firstRow="1" w:lastRow="0" w:firstColumn="1" w:lastColumn="0" w:noHBand="0" w:noVBand="1"/>
      </w:tblPr>
      <w:tblGrid>
        <w:gridCol w:w="2689"/>
        <w:gridCol w:w="864"/>
        <w:gridCol w:w="864"/>
        <w:gridCol w:w="865"/>
        <w:gridCol w:w="1731"/>
        <w:gridCol w:w="1436"/>
      </w:tblGrid>
      <w:tr w:rsidR="006E18C3" w:rsidRPr="00801E6C" w14:paraId="0C65DF51" w14:textId="77777777" w:rsidTr="0076227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89" w:type="dxa"/>
            <w:vMerge w:val="restart"/>
            <w:noWrap/>
          </w:tcPr>
          <w:p w14:paraId="56A84998" w14:textId="77777777" w:rsidR="006E18C3" w:rsidRPr="00163523" w:rsidRDefault="006E18C3" w:rsidP="0076227C">
            <w:pPr>
              <w:keepNext/>
              <w:spacing w:line="240" w:lineRule="auto"/>
              <w:ind w:left="0"/>
              <w:rPr>
                <w:rFonts w:eastAsia="Times New Roman"/>
                <w:sz w:val="16"/>
                <w:szCs w:val="16"/>
                <w:lang w:val="en-GB" w:eastAsia="en-GB"/>
              </w:rPr>
            </w:pPr>
            <w:r w:rsidRPr="00163523">
              <w:rPr>
                <w:rFonts w:eastAsia="Arial"/>
                <w:sz w:val="16"/>
                <w:szCs w:val="16"/>
                <w:lang w:val="en-GB"/>
              </w:rPr>
              <w:lastRenderedPageBreak/>
              <w:t>Risk</w:t>
            </w:r>
          </w:p>
        </w:tc>
        <w:tc>
          <w:tcPr>
            <w:tcW w:w="2593" w:type="dxa"/>
            <w:gridSpan w:val="3"/>
          </w:tcPr>
          <w:p w14:paraId="111C1F2B" w14:textId="77777777" w:rsidR="006E18C3" w:rsidRPr="00163523" w:rsidRDefault="006E18C3" w:rsidP="0076227C">
            <w:pPr>
              <w:keepNext/>
              <w:spacing w:line="240" w:lineRule="auto"/>
              <w:ind w:left="0"/>
              <w:cnfStyle w:val="100000000000" w:firstRow="1" w:lastRow="0" w:firstColumn="0" w:lastColumn="0" w:oddVBand="0" w:evenVBand="0" w:oddHBand="0" w:evenHBand="0" w:firstRowFirstColumn="0" w:firstRowLastColumn="0" w:lastRowFirstColumn="0" w:lastRowLastColumn="0"/>
              <w:rPr>
                <w:rFonts w:eastAsia="Arial"/>
                <w:sz w:val="16"/>
                <w:szCs w:val="16"/>
                <w:lang w:val="en-GB"/>
              </w:rPr>
            </w:pPr>
            <w:r w:rsidRPr="00801E6C">
              <w:rPr>
                <w:rFonts w:eastAsia="Arial"/>
                <w:sz w:val="16"/>
                <w:szCs w:val="16"/>
                <w:lang w:val="en-GB"/>
              </w:rPr>
              <w:t>Applicable scenarios</w:t>
            </w:r>
          </w:p>
        </w:tc>
        <w:tc>
          <w:tcPr>
            <w:tcW w:w="1731" w:type="dxa"/>
            <w:vMerge w:val="restart"/>
            <w:noWrap/>
          </w:tcPr>
          <w:p w14:paraId="7EE46B04" w14:textId="77777777" w:rsidR="006E18C3" w:rsidRPr="00163523" w:rsidRDefault="006E18C3" w:rsidP="0076227C">
            <w:pPr>
              <w:keepNext/>
              <w:spacing w:line="240" w:lineRule="auto"/>
              <w:ind w:left="0"/>
              <w:cnfStyle w:val="100000000000" w:firstRow="1" w:lastRow="0" w:firstColumn="0" w:lastColumn="0" w:oddVBand="0" w:evenVBand="0" w:oddHBand="0" w:evenHBand="0" w:firstRowFirstColumn="0" w:firstRowLastColumn="0" w:lastRowFirstColumn="0" w:lastRowLastColumn="0"/>
              <w:rPr>
                <w:rFonts w:eastAsia="Times New Roman"/>
                <w:i/>
                <w:sz w:val="16"/>
                <w:szCs w:val="16"/>
                <w:lang w:val="en-GB" w:eastAsia="en-GB"/>
              </w:rPr>
            </w:pPr>
            <w:r w:rsidRPr="00163523">
              <w:rPr>
                <w:rFonts w:eastAsia="Arial"/>
                <w:sz w:val="16"/>
                <w:szCs w:val="16"/>
                <w:lang w:val="en-GB"/>
              </w:rPr>
              <w:t>Likelihood</w:t>
            </w:r>
          </w:p>
        </w:tc>
        <w:tc>
          <w:tcPr>
            <w:tcW w:w="1436" w:type="dxa"/>
            <w:vMerge w:val="restart"/>
            <w:noWrap/>
          </w:tcPr>
          <w:p w14:paraId="1BEA73B6" w14:textId="77777777" w:rsidR="006E18C3" w:rsidRPr="00163523" w:rsidRDefault="006E18C3" w:rsidP="0076227C">
            <w:pPr>
              <w:keepNext/>
              <w:spacing w:line="240" w:lineRule="auto"/>
              <w:ind w:left="0"/>
              <w:cnfStyle w:val="100000000000" w:firstRow="1" w:lastRow="0" w:firstColumn="0" w:lastColumn="0" w:oddVBand="0" w:evenVBand="0" w:oddHBand="0" w:evenHBand="0" w:firstRowFirstColumn="0" w:firstRowLastColumn="0" w:lastRowFirstColumn="0" w:lastRowLastColumn="0"/>
              <w:rPr>
                <w:rFonts w:eastAsia="Times New Roman"/>
                <w:i/>
                <w:sz w:val="16"/>
                <w:szCs w:val="16"/>
                <w:lang w:val="en-GB" w:eastAsia="en-GB"/>
              </w:rPr>
            </w:pPr>
            <w:r w:rsidRPr="00163523">
              <w:rPr>
                <w:rFonts w:eastAsia="Arial"/>
                <w:sz w:val="16"/>
                <w:szCs w:val="16"/>
                <w:lang w:val="en-GB"/>
              </w:rPr>
              <w:t>Severity</w:t>
            </w:r>
          </w:p>
        </w:tc>
      </w:tr>
      <w:tr w:rsidR="006E18C3" w:rsidRPr="00801E6C" w14:paraId="5FF7AFA5" w14:textId="77777777" w:rsidTr="00563D87">
        <w:trPr>
          <w:trHeight w:val="20"/>
        </w:trPr>
        <w:tc>
          <w:tcPr>
            <w:cnfStyle w:val="001000000000" w:firstRow="0" w:lastRow="0" w:firstColumn="1" w:lastColumn="0" w:oddVBand="0" w:evenVBand="0" w:oddHBand="0" w:evenHBand="0" w:firstRowFirstColumn="0" w:firstRowLastColumn="0" w:lastRowFirstColumn="0" w:lastRowLastColumn="0"/>
            <w:tcW w:w="2689" w:type="dxa"/>
            <w:vMerge/>
            <w:noWrap/>
          </w:tcPr>
          <w:p w14:paraId="3B34E3DE" w14:textId="77777777" w:rsidR="006E18C3" w:rsidRPr="00801E6C" w:rsidRDefault="006E18C3" w:rsidP="0076227C">
            <w:pPr>
              <w:spacing w:line="240" w:lineRule="auto"/>
              <w:ind w:left="0"/>
              <w:jc w:val="center"/>
              <w:rPr>
                <w:rFonts w:eastAsia="Arial"/>
                <w:sz w:val="16"/>
                <w:szCs w:val="16"/>
                <w:lang w:val="en-GB"/>
              </w:rPr>
            </w:pPr>
          </w:p>
        </w:tc>
        <w:tc>
          <w:tcPr>
            <w:tcW w:w="864" w:type="dxa"/>
          </w:tcPr>
          <w:p w14:paraId="382131B4" w14:textId="77777777" w:rsidR="006E18C3" w:rsidRPr="00163523" w:rsidRDefault="006E18C3" w:rsidP="0076227C">
            <w:pPr>
              <w:spacing w:line="240" w:lineRule="auto"/>
              <w:ind w:left="0"/>
              <w:cnfStyle w:val="000000000000" w:firstRow="0" w:lastRow="0" w:firstColumn="0" w:lastColumn="0" w:oddVBand="0" w:evenVBand="0" w:oddHBand="0" w:evenHBand="0" w:firstRowFirstColumn="0" w:firstRowLastColumn="0" w:lastRowFirstColumn="0" w:lastRowLastColumn="0"/>
              <w:rPr>
                <w:rFonts w:eastAsia="Times New Roman"/>
                <w:b/>
                <w:color w:val="000000"/>
                <w:sz w:val="14"/>
                <w:szCs w:val="14"/>
                <w:lang w:val="en-GB" w:eastAsia="en-GB"/>
              </w:rPr>
            </w:pPr>
            <w:r w:rsidRPr="00163523">
              <w:rPr>
                <w:rFonts w:eastAsia="Arial"/>
                <w:sz w:val="14"/>
                <w:szCs w:val="14"/>
                <w:lang w:val="en-GB"/>
              </w:rPr>
              <w:t>REN-M</w:t>
            </w:r>
          </w:p>
        </w:tc>
        <w:tc>
          <w:tcPr>
            <w:tcW w:w="864" w:type="dxa"/>
          </w:tcPr>
          <w:p w14:paraId="6C7CA03A" w14:textId="77777777" w:rsidR="006E18C3" w:rsidRPr="00163523" w:rsidRDefault="006E18C3" w:rsidP="0076227C">
            <w:pPr>
              <w:spacing w:line="240" w:lineRule="auto"/>
              <w:ind w:left="0"/>
              <w:cnfStyle w:val="000000000000" w:firstRow="0" w:lastRow="0" w:firstColumn="0" w:lastColumn="0" w:oddVBand="0" w:evenVBand="0" w:oddHBand="0" w:evenHBand="0" w:firstRowFirstColumn="0" w:firstRowLastColumn="0" w:lastRowFirstColumn="0" w:lastRowLastColumn="0"/>
              <w:rPr>
                <w:rFonts w:eastAsia="Times New Roman"/>
                <w:b/>
                <w:color w:val="000000"/>
                <w:sz w:val="14"/>
                <w:szCs w:val="14"/>
                <w:lang w:val="en-GB" w:eastAsia="en-GB"/>
              </w:rPr>
            </w:pPr>
            <w:r w:rsidRPr="00163523">
              <w:rPr>
                <w:rFonts w:eastAsia="Arial"/>
                <w:sz w:val="14"/>
                <w:szCs w:val="14"/>
                <w:lang w:val="en-GB"/>
              </w:rPr>
              <w:t>REN-H</w:t>
            </w:r>
          </w:p>
        </w:tc>
        <w:tc>
          <w:tcPr>
            <w:tcW w:w="865" w:type="dxa"/>
          </w:tcPr>
          <w:p w14:paraId="041BC91C" w14:textId="77777777" w:rsidR="006E18C3" w:rsidRPr="00163523" w:rsidRDefault="006E18C3" w:rsidP="0076227C">
            <w:pPr>
              <w:spacing w:line="240" w:lineRule="auto"/>
              <w:ind w:left="0"/>
              <w:cnfStyle w:val="000000000000" w:firstRow="0" w:lastRow="0" w:firstColumn="0" w:lastColumn="0" w:oddVBand="0" w:evenVBand="0" w:oddHBand="0" w:evenHBand="0" w:firstRowFirstColumn="0" w:firstRowLastColumn="0" w:lastRowFirstColumn="0" w:lastRowLastColumn="0"/>
              <w:rPr>
                <w:rFonts w:eastAsia="Times New Roman"/>
                <w:b/>
                <w:color w:val="000000"/>
                <w:sz w:val="14"/>
                <w:szCs w:val="14"/>
                <w:lang w:val="en-GB" w:eastAsia="en-GB"/>
              </w:rPr>
            </w:pPr>
            <w:r w:rsidRPr="00163523">
              <w:rPr>
                <w:rFonts w:eastAsia="Arial"/>
                <w:sz w:val="14"/>
                <w:szCs w:val="14"/>
                <w:lang w:val="en-GB"/>
              </w:rPr>
              <w:t>CM</w:t>
            </w:r>
          </w:p>
        </w:tc>
        <w:tc>
          <w:tcPr>
            <w:tcW w:w="1731" w:type="dxa"/>
            <w:vMerge/>
            <w:shd w:val="clear" w:color="auto" w:fill="F9B7AC" w:themeFill="accent2" w:themeFillTint="66"/>
            <w:noWrap/>
          </w:tcPr>
          <w:p w14:paraId="38FEEA59" w14:textId="77777777" w:rsidR="006E18C3" w:rsidRPr="00163523" w:rsidRDefault="006E18C3" w:rsidP="0076227C">
            <w:pPr>
              <w:spacing w:line="240" w:lineRule="auto"/>
              <w:ind w:left="0"/>
              <w:cnfStyle w:val="000000000000" w:firstRow="0" w:lastRow="0" w:firstColumn="0" w:lastColumn="0" w:oddVBand="0" w:evenVBand="0" w:oddHBand="0" w:evenHBand="0" w:firstRowFirstColumn="0" w:firstRowLastColumn="0" w:lastRowFirstColumn="0" w:lastRowLastColumn="0"/>
              <w:rPr>
                <w:rFonts w:eastAsia="Times New Roman"/>
                <w:b/>
                <w:color w:val="000000"/>
                <w:sz w:val="16"/>
                <w:szCs w:val="16"/>
                <w:lang w:val="en-GB" w:eastAsia="en-GB"/>
              </w:rPr>
            </w:pPr>
          </w:p>
        </w:tc>
        <w:tc>
          <w:tcPr>
            <w:tcW w:w="1436" w:type="dxa"/>
            <w:vMerge/>
            <w:shd w:val="clear" w:color="auto" w:fill="FFD57B" w:themeFill="accent4" w:themeFillShade="E6"/>
            <w:noWrap/>
          </w:tcPr>
          <w:p w14:paraId="2671347F" w14:textId="77777777" w:rsidR="006E18C3" w:rsidRPr="00163523" w:rsidRDefault="006E18C3" w:rsidP="0076227C">
            <w:pPr>
              <w:spacing w:line="240" w:lineRule="auto"/>
              <w:ind w:left="0"/>
              <w:cnfStyle w:val="000000000000" w:firstRow="0" w:lastRow="0" w:firstColumn="0" w:lastColumn="0" w:oddVBand="0" w:evenVBand="0" w:oddHBand="0" w:evenHBand="0" w:firstRowFirstColumn="0" w:firstRowLastColumn="0" w:lastRowFirstColumn="0" w:lastRowLastColumn="0"/>
              <w:rPr>
                <w:rFonts w:eastAsia="Arial"/>
                <w:b/>
                <w:sz w:val="16"/>
                <w:szCs w:val="16"/>
                <w:lang w:val="en-GB"/>
              </w:rPr>
            </w:pPr>
          </w:p>
        </w:tc>
      </w:tr>
      <w:tr w:rsidR="006E18C3" w:rsidRPr="00801E6C" w14:paraId="15B296C6" w14:textId="77777777" w:rsidTr="00563D87">
        <w:trPr>
          <w:trHeight w:val="20"/>
        </w:trPr>
        <w:tc>
          <w:tcPr>
            <w:cnfStyle w:val="001000000000" w:firstRow="0" w:lastRow="0" w:firstColumn="1" w:lastColumn="0" w:oddVBand="0" w:evenVBand="0" w:oddHBand="0" w:evenHBand="0" w:firstRowFirstColumn="0" w:firstRowLastColumn="0" w:lastRowFirstColumn="0" w:lastRowLastColumn="0"/>
            <w:tcW w:w="2689" w:type="dxa"/>
            <w:noWrap/>
          </w:tcPr>
          <w:p w14:paraId="3C1A4008" w14:textId="39AA41BB" w:rsidR="006E18C3" w:rsidRPr="00801E6C" w:rsidRDefault="000264A1" w:rsidP="0076227C">
            <w:pPr>
              <w:spacing w:line="240" w:lineRule="auto"/>
              <w:ind w:left="0"/>
              <w:jc w:val="center"/>
              <w:rPr>
                <w:rFonts w:eastAsia="Times New Roman"/>
                <w:color w:val="000000"/>
                <w:sz w:val="16"/>
                <w:szCs w:val="16"/>
                <w:highlight w:val="yellow"/>
                <w:lang w:val="en-GB" w:eastAsia="en-GB"/>
              </w:rPr>
            </w:pPr>
            <w:r w:rsidRPr="00801E6C">
              <w:rPr>
                <w:rFonts w:eastAsia="Times New Roman"/>
                <w:color w:val="000000"/>
                <w:sz w:val="16"/>
                <w:szCs w:val="16"/>
                <w:lang w:val="en-GB" w:eastAsia="en-GB"/>
              </w:rPr>
              <w:t>Security of gas supply threatened due to external energy dependence</w:t>
            </w:r>
          </w:p>
        </w:tc>
        <w:tc>
          <w:tcPr>
            <w:tcW w:w="864" w:type="dxa"/>
          </w:tcPr>
          <w:p w14:paraId="56E80D0F" w14:textId="77777777" w:rsidR="006E18C3" w:rsidRPr="00163523" w:rsidRDefault="006E18C3" w:rsidP="0076227C">
            <w:pPr>
              <w:spacing w:line="240" w:lineRule="auto"/>
              <w:ind w:left="0"/>
              <w:cnfStyle w:val="000000000000" w:firstRow="0" w:lastRow="0" w:firstColumn="0" w:lastColumn="0" w:oddVBand="0" w:evenVBand="0" w:oddHBand="0" w:evenHBand="0" w:firstRowFirstColumn="0" w:firstRowLastColumn="0" w:lastRowFirstColumn="0" w:lastRowLastColumn="0"/>
              <w:rPr>
                <w:rFonts w:eastAsia="Times New Roman"/>
                <w:b/>
                <w:color w:val="000000"/>
                <w:sz w:val="16"/>
                <w:szCs w:val="16"/>
                <w:lang w:val="en-GB" w:eastAsia="en-GB"/>
              </w:rPr>
            </w:pPr>
            <w:r w:rsidRPr="00163523">
              <w:rPr>
                <w:rFonts w:ascii="Wingdings" w:eastAsia="Wingdings" w:hAnsi="Wingdings" w:cs="Wingdings"/>
                <w:b/>
                <w:color w:val="000000"/>
                <w:sz w:val="16"/>
                <w:szCs w:val="16"/>
                <w:lang w:val="en-GB" w:eastAsia="en-GB"/>
              </w:rPr>
              <w:sym w:font="Wingdings" w:char="F0FC"/>
            </w:r>
          </w:p>
        </w:tc>
        <w:tc>
          <w:tcPr>
            <w:tcW w:w="864" w:type="dxa"/>
          </w:tcPr>
          <w:p w14:paraId="1F49D1D7" w14:textId="0859060A" w:rsidR="006E18C3" w:rsidRPr="00163523" w:rsidRDefault="006E18C3" w:rsidP="0076227C">
            <w:pPr>
              <w:spacing w:line="240" w:lineRule="auto"/>
              <w:ind w:left="0"/>
              <w:cnfStyle w:val="000000000000" w:firstRow="0" w:lastRow="0" w:firstColumn="0" w:lastColumn="0" w:oddVBand="0" w:evenVBand="0" w:oddHBand="0" w:evenHBand="0" w:firstRowFirstColumn="0" w:firstRowLastColumn="0" w:lastRowFirstColumn="0" w:lastRowLastColumn="0"/>
              <w:rPr>
                <w:rFonts w:eastAsia="Times New Roman"/>
                <w:b/>
                <w:color w:val="000000"/>
                <w:sz w:val="16"/>
                <w:szCs w:val="16"/>
                <w:lang w:val="en-GB" w:eastAsia="en-GB"/>
              </w:rPr>
            </w:pPr>
            <w:r w:rsidRPr="00163523">
              <w:rPr>
                <w:rFonts w:ascii="Wingdings" w:eastAsia="Wingdings" w:hAnsi="Wingdings" w:cs="Wingdings"/>
                <w:b/>
                <w:color w:val="000000"/>
                <w:sz w:val="16"/>
                <w:szCs w:val="16"/>
                <w:lang w:val="en-GB" w:eastAsia="en-GB"/>
              </w:rPr>
              <w:sym w:font="Wingdings" w:char="F0FC"/>
            </w:r>
          </w:p>
        </w:tc>
        <w:tc>
          <w:tcPr>
            <w:tcW w:w="865" w:type="dxa"/>
          </w:tcPr>
          <w:p w14:paraId="6E03F354" w14:textId="77777777" w:rsidR="006E18C3" w:rsidRPr="00163523" w:rsidRDefault="006E18C3" w:rsidP="0076227C">
            <w:pPr>
              <w:spacing w:line="240" w:lineRule="auto"/>
              <w:ind w:left="0"/>
              <w:cnfStyle w:val="000000000000" w:firstRow="0" w:lastRow="0" w:firstColumn="0" w:lastColumn="0" w:oddVBand="0" w:evenVBand="0" w:oddHBand="0" w:evenHBand="0" w:firstRowFirstColumn="0" w:firstRowLastColumn="0" w:lastRowFirstColumn="0" w:lastRowLastColumn="0"/>
              <w:rPr>
                <w:rFonts w:eastAsia="Times New Roman"/>
                <w:b/>
                <w:color w:val="000000"/>
                <w:sz w:val="16"/>
                <w:szCs w:val="16"/>
                <w:lang w:val="en-GB" w:eastAsia="en-GB"/>
              </w:rPr>
            </w:pPr>
            <w:r w:rsidRPr="00163523">
              <w:rPr>
                <w:rFonts w:ascii="Wingdings" w:eastAsia="Wingdings" w:hAnsi="Wingdings" w:cs="Wingdings"/>
                <w:b/>
                <w:color w:val="000000"/>
                <w:sz w:val="16"/>
                <w:szCs w:val="16"/>
                <w:lang w:val="en-GB" w:eastAsia="en-GB"/>
              </w:rPr>
              <w:sym w:font="Wingdings" w:char="F0FC"/>
            </w:r>
          </w:p>
        </w:tc>
        <w:tc>
          <w:tcPr>
            <w:tcW w:w="1731" w:type="dxa"/>
            <w:shd w:val="clear" w:color="auto" w:fill="E0EBEB" w:themeFill="accent3" w:themeFillTint="66"/>
            <w:noWrap/>
          </w:tcPr>
          <w:p w14:paraId="289ACFA2" w14:textId="0F6F6255" w:rsidR="006E18C3" w:rsidRPr="00163523" w:rsidRDefault="006E18C3" w:rsidP="0076227C">
            <w:pPr>
              <w:spacing w:line="240" w:lineRule="auto"/>
              <w:ind w:left="0"/>
              <w:cnfStyle w:val="000000000000" w:firstRow="0" w:lastRow="0" w:firstColumn="0" w:lastColumn="0" w:oddVBand="0" w:evenVBand="0" w:oddHBand="0" w:evenHBand="0" w:firstRowFirstColumn="0" w:firstRowLastColumn="0" w:lastRowFirstColumn="0" w:lastRowLastColumn="0"/>
              <w:rPr>
                <w:rFonts w:eastAsia="Times New Roman"/>
                <w:b/>
                <w:color w:val="000000"/>
                <w:sz w:val="16"/>
                <w:szCs w:val="16"/>
                <w:highlight w:val="yellow"/>
                <w:lang w:val="en-GB" w:eastAsia="en-GB"/>
              </w:rPr>
            </w:pPr>
            <w:r w:rsidRPr="00163523">
              <w:rPr>
                <w:rFonts w:eastAsia="Times New Roman"/>
                <w:b/>
                <w:color w:val="000000"/>
                <w:sz w:val="16"/>
                <w:szCs w:val="16"/>
                <w:lang w:val="en-GB" w:eastAsia="en-GB"/>
              </w:rPr>
              <w:t>Low</w:t>
            </w:r>
            <w:r w:rsidR="00E96829" w:rsidRPr="00163523">
              <w:rPr>
                <w:rStyle w:val="Voetnootmarkering"/>
                <w:rFonts w:eastAsia="Times New Roman"/>
                <w:b/>
                <w:color w:val="000000"/>
                <w:sz w:val="16"/>
                <w:szCs w:val="16"/>
                <w:lang w:val="en-GB" w:eastAsia="en-GB"/>
              </w:rPr>
              <w:footnoteReference w:id="50"/>
            </w:r>
          </w:p>
        </w:tc>
        <w:tc>
          <w:tcPr>
            <w:tcW w:w="1436" w:type="dxa"/>
            <w:shd w:val="clear" w:color="auto" w:fill="F9B7AC" w:themeFill="accent2" w:themeFillTint="66"/>
            <w:noWrap/>
          </w:tcPr>
          <w:p w14:paraId="561C45E7" w14:textId="722FABA2" w:rsidR="006E18C3" w:rsidRPr="00163523" w:rsidRDefault="000264A1" w:rsidP="0076227C">
            <w:pPr>
              <w:spacing w:line="240" w:lineRule="auto"/>
              <w:ind w:left="0"/>
              <w:cnfStyle w:val="000000000000" w:firstRow="0" w:lastRow="0" w:firstColumn="0" w:lastColumn="0" w:oddVBand="0" w:evenVBand="0" w:oddHBand="0" w:evenHBand="0" w:firstRowFirstColumn="0" w:firstRowLastColumn="0" w:lastRowFirstColumn="0" w:lastRowLastColumn="0"/>
              <w:rPr>
                <w:rFonts w:eastAsia="Times New Roman"/>
                <w:b/>
                <w:i/>
                <w:color w:val="000000"/>
                <w:sz w:val="16"/>
                <w:szCs w:val="16"/>
                <w:lang w:val="en-GB" w:eastAsia="en-GB"/>
              </w:rPr>
            </w:pPr>
            <w:r w:rsidRPr="00163523">
              <w:rPr>
                <w:rFonts w:eastAsia="Arial"/>
                <w:b/>
                <w:sz w:val="16"/>
                <w:szCs w:val="16"/>
                <w:lang w:val="en-GB"/>
              </w:rPr>
              <w:t>High</w:t>
            </w:r>
          </w:p>
        </w:tc>
      </w:tr>
    </w:tbl>
    <w:p w14:paraId="5CA59093" w14:textId="77777777" w:rsidR="006E18C3" w:rsidRPr="00163523" w:rsidRDefault="006E18C3" w:rsidP="00F63E15">
      <w:pPr>
        <w:rPr>
          <w:lang w:val="en-GB"/>
        </w:rPr>
      </w:pPr>
    </w:p>
    <w:p w14:paraId="5FE44C36" w14:textId="77777777" w:rsidR="00F63E15" w:rsidRPr="00163523" w:rsidRDefault="00F63E15" w:rsidP="00F63E15">
      <w:pPr>
        <w:pStyle w:val="Kop4"/>
        <w:rPr>
          <w:lang w:val="en-GB"/>
        </w:rPr>
      </w:pPr>
      <w:r>
        <w:rPr>
          <w:lang w:val="en-GB"/>
        </w:rPr>
        <w:t xml:space="preserve">Potential </w:t>
      </w:r>
      <w:r w:rsidRPr="00163523">
        <w:rPr>
          <w:lang w:val="en-GB"/>
        </w:rPr>
        <w:t>mitigation measures</w:t>
      </w:r>
    </w:p>
    <w:p w14:paraId="29AEDDF0" w14:textId="77777777" w:rsidR="00B50E93" w:rsidRPr="00163523" w:rsidRDefault="00B50E93" w:rsidP="00B50E93">
      <w:pPr>
        <w:rPr>
          <w:lang w:val="en-GB"/>
        </w:rPr>
      </w:pPr>
      <w:r w:rsidRPr="00163523">
        <w:rPr>
          <w:lang w:val="en-GB"/>
        </w:rPr>
        <w:t>The following measures can be considered to reduce the likelihood and/or severity of this risk:</w:t>
      </w:r>
    </w:p>
    <w:p w14:paraId="4EF008FF" w14:textId="4EC85B2A" w:rsidR="00F22080" w:rsidRDefault="00F22080" w:rsidP="00F22080">
      <w:pPr>
        <w:pStyle w:val="Bulletpoint"/>
      </w:pPr>
      <w:r>
        <w:t xml:space="preserve">Work on further solidarity </w:t>
      </w:r>
      <w:r w:rsidR="00A02779">
        <w:t>arrangements aimed at</w:t>
      </w:r>
      <w:r w:rsidR="00022038">
        <w:t xml:space="preserve"> ensuring </w:t>
      </w:r>
      <w:r w:rsidR="00504CC8">
        <w:t xml:space="preserve">that </w:t>
      </w:r>
      <w:r w:rsidR="00022038">
        <w:t>protected customers (e.g. households, hospitals</w:t>
      </w:r>
      <w:r w:rsidR="00EB4098">
        <w:t>, electricity generation</w:t>
      </w:r>
      <w:r w:rsidR="00022038">
        <w:t>) have continued access to gas in times of crisis</w:t>
      </w:r>
      <w:r w:rsidR="00E05E56">
        <w:t xml:space="preserve">; Estonia </w:t>
      </w:r>
      <w:r w:rsidR="00DD13F9">
        <w:t xml:space="preserve">already </w:t>
      </w:r>
      <w:r w:rsidR="00E05E56">
        <w:t xml:space="preserve">concluded two </w:t>
      </w:r>
      <w:r w:rsidR="000B6304">
        <w:t>bilateral agreements</w:t>
      </w:r>
      <w:r w:rsidR="00F269A9">
        <w:t>, with La</w:t>
      </w:r>
      <w:r w:rsidR="005A422F">
        <w:t>t</w:t>
      </w:r>
      <w:r w:rsidR="00F269A9">
        <w:t xml:space="preserve">via (on 4 January 2022) and with Finland on (25 April 2022). </w:t>
      </w:r>
    </w:p>
    <w:p w14:paraId="70668FFD" w14:textId="7AF224CC" w:rsidR="00B50E93" w:rsidRPr="00B50E93" w:rsidRDefault="00B50E93" w:rsidP="00B50E93">
      <w:pPr>
        <w:pStyle w:val="Bulletpoint"/>
      </w:pPr>
      <w:r>
        <w:t xml:space="preserve">Decrease </w:t>
      </w:r>
      <w:r w:rsidR="000D7E28">
        <w:t xml:space="preserve">the </w:t>
      </w:r>
      <w:r w:rsidR="005D29B0">
        <w:t xml:space="preserve">overall </w:t>
      </w:r>
      <w:r w:rsidR="000D7E28">
        <w:t xml:space="preserve">natural </w:t>
      </w:r>
      <w:r>
        <w:t>gas consumption</w:t>
      </w:r>
      <w:r w:rsidR="005D29B0">
        <w:t xml:space="preserve"> </w:t>
      </w:r>
      <w:r w:rsidR="000D7E28">
        <w:t>by</w:t>
      </w:r>
      <w:r w:rsidR="005D29B0">
        <w:t xml:space="preserve"> </w:t>
      </w:r>
      <w:r w:rsidR="00F13FCD">
        <w:t>implementing energy efficiency measures (insulation, high</w:t>
      </w:r>
      <w:r w:rsidR="00D53B01">
        <w:t>ly</w:t>
      </w:r>
      <w:r w:rsidR="00F13FCD">
        <w:t xml:space="preserve"> </w:t>
      </w:r>
      <w:r w:rsidR="00D53B01">
        <w:t xml:space="preserve">performant equipment) and </w:t>
      </w:r>
      <w:r w:rsidR="00C974E2">
        <w:t xml:space="preserve">by </w:t>
      </w:r>
      <w:r w:rsidR="00DB24B7">
        <w:t>shift</w:t>
      </w:r>
      <w:r w:rsidR="000D7E28">
        <w:t>ing</w:t>
      </w:r>
      <w:r w:rsidR="00DB24B7">
        <w:t xml:space="preserve"> towards locally generated renewable energy sources</w:t>
      </w:r>
      <w:r w:rsidR="009A1526">
        <w:t xml:space="preserve"> (electric</w:t>
      </w:r>
      <w:r w:rsidR="00B310DD">
        <w:t>ity</w:t>
      </w:r>
      <w:r w:rsidR="009A1526">
        <w:t xml:space="preserve">, </w:t>
      </w:r>
      <w:r w:rsidR="00B36917">
        <w:t>bio</w:t>
      </w:r>
      <w:r w:rsidR="009A1526">
        <w:t>gas</w:t>
      </w:r>
      <w:r w:rsidR="00B36917">
        <w:t>/biomethane</w:t>
      </w:r>
      <w:r w:rsidR="009A1526">
        <w:t xml:space="preserve">, </w:t>
      </w:r>
      <w:r w:rsidR="006C3F1B">
        <w:t xml:space="preserve">district </w:t>
      </w:r>
      <w:r w:rsidR="009A1526">
        <w:t>heat</w:t>
      </w:r>
      <w:r w:rsidR="006C3F1B">
        <w:t>ing</w:t>
      </w:r>
      <w:r w:rsidR="009A1526">
        <w:t>).</w:t>
      </w:r>
    </w:p>
    <w:p w14:paraId="3AA8F7DF" w14:textId="6D153DCC" w:rsidR="00DB24B7" w:rsidRPr="00DB24B7" w:rsidRDefault="00DB24B7" w:rsidP="00DB24B7">
      <w:pPr>
        <w:pStyle w:val="Lijstalinea"/>
      </w:pPr>
      <w:r>
        <w:t xml:space="preserve">Pool gas demand </w:t>
      </w:r>
      <w:r w:rsidR="00B310DD">
        <w:t xml:space="preserve">of the BRGM countries </w:t>
      </w:r>
      <w:r>
        <w:t xml:space="preserve">to have a greater bargaining power </w:t>
      </w:r>
      <w:r w:rsidR="00E11884">
        <w:t xml:space="preserve">in procurement negotiations </w:t>
      </w:r>
      <w:r w:rsidR="00D21A26">
        <w:t>with</w:t>
      </w:r>
      <w:r w:rsidR="000B63A8">
        <w:t xml:space="preserve"> exporting countries</w:t>
      </w:r>
      <w:r w:rsidR="006023AA">
        <w:t>.</w:t>
      </w:r>
      <w:r w:rsidR="00740F33">
        <w:t xml:space="preserve"> This can also be done together with other EU Member States via the EU Energy Platform. </w:t>
      </w:r>
    </w:p>
    <w:bookmarkEnd w:id="59"/>
    <w:p w14:paraId="632647E8" w14:textId="77777777" w:rsidR="00F63E15" w:rsidRDefault="00F63E15" w:rsidP="000C0A9C">
      <w:pPr>
        <w:rPr>
          <w:lang w:val="en-GB"/>
        </w:rPr>
      </w:pPr>
    </w:p>
    <w:p w14:paraId="294A1197" w14:textId="5400020D" w:rsidR="00F63E15" w:rsidRDefault="00F63E15" w:rsidP="00F63E15">
      <w:pPr>
        <w:pStyle w:val="Kop2"/>
      </w:pPr>
      <w:bookmarkStart w:id="61" w:name="_Ref137116845"/>
      <w:bookmarkStart w:id="62" w:name="_Toc138492608"/>
      <w:bookmarkStart w:id="63" w:name="_Toc144803015"/>
      <w:r>
        <w:t xml:space="preserve">Risk 9: </w:t>
      </w:r>
      <w:r w:rsidRPr="00A91236">
        <w:t>Available inputs for production of R/LC gases, e.g. renewable electricity or biomass can be insufficient</w:t>
      </w:r>
      <w:bookmarkEnd w:id="61"/>
      <w:bookmarkEnd w:id="62"/>
      <w:bookmarkEnd w:id="63"/>
    </w:p>
    <w:p w14:paraId="011AE906" w14:textId="652A5E93" w:rsidR="00F63E15" w:rsidRPr="00163523" w:rsidRDefault="00F63E15" w:rsidP="00F63E15">
      <w:pPr>
        <w:pStyle w:val="Kop4"/>
        <w:rPr>
          <w:lang w:val="en-GB"/>
        </w:rPr>
      </w:pPr>
      <w:r>
        <w:rPr>
          <w:lang w:val="en-GB"/>
        </w:rPr>
        <w:t>D</w:t>
      </w:r>
      <w:r w:rsidRPr="00163523">
        <w:rPr>
          <w:lang w:val="en-GB"/>
        </w:rPr>
        <w:t xml:space="preserve">escription of the risk, </w:t>
      </w:r>
      <w:r w:rsidR="00803ADE" w:rsidRPr="00163523">
        <w:rPr>
          <w:lang w:val="en-GB"/>
        </w:rPr>
        <w:t>covering the Baltic Regional Gas Market</w:t>
      </w:r>
    </w:p>
    <w:p w14:paraId="10F249DD" w14:textId="77777777" w:rsidR="00543CF5" w:rsidRPr="00163523" w:rsidRDefault="00543CF5" w:rsidP="00543CF5">
      <w:pPr>
        <w:rPr>
          <w:lang w:val="en-GB"/>
        </w:rPr>
      </w:pPr>
      <w:r w:rsidRPr="00163523">
        <w:rPr>
          <w:lang w:val="en-GB"/>
        </w:rPr>
        <w:t xml:space="preserve">One of the significant risks associated with replacing natural gas with biomethane for decarbonisation is the availability and adequacy of biomass feedstock. Biomethane production heavily relies on biomass resources, such as organic waste, agricultural residues, and dedicated energy crops. If the Baltic States and Finland cannot ensure a sustainable and sufficient supply of biomass, it could hinder the production of biomethane at the required scale. Insufficient biomass availability may limit the potential for decarbonisation through biomethane, impacting the overall energy transition goals. Moreover, Biomethane production processes require advanced technologies, such as anaerobic digestion or gasification, to convert biomass into usable fuel. The risk lies in the technological limitations and scalability of these conversion methods. Limited efficiency, and high production costs may impede the large-scale production of biomethane. Also, biomethane production requires an adequate infrastructure for collection, transportation, and distribution. The lack of a well-developed infrastructure network can hinder the growth and deployment of biomethane projects. Without the indicated necessary technological support, the desired decarbonisation goals in the Baltic States and Finland's gas market may be challenging to achieve. </w:t>
      </w:r>
    </w:p>
    <w:p w14:paraId="05698E79" w14:textId="77777777" w:rsidR="00543CF5" w:rsidRPr="00163523" w:rsidRDefault="00543CF5" w:rsidP="00543CF5">
      <w:pPr>
        <w:rPr>
          <w:lang w:val="en-GB"/>
        </w:rPr>
      </w:pPr>
    </w:p>
    <w:p w14:paraId="3A086A05" w14:textId="649166BC" w:rsidR="00543CF5" w:rsidRPr="00163523" w:rsidRDefault="00543CF5" w:rsidP="00543CF5">
      <w:pPr>
        <w:rPr>
          <w:lang w:val="en-GB"/>
        </w:rPr>
      </w:pPr>
      <w:r w:rsidRPr="00163523">
        <w:rPr>
          <w:lang w:val="en-GB"/>
        </w:rPr>
        <w:t>As mentioned in D</w:t>
      </w:r>
      <w:r w:rsidR="001B2062" w:rsidRPr="00163523">
        <w:rPr>
          <w:lang w:val="en-GB"/>
        </w:rPr>
        <w:t xml:space="preserve">eliverable </w:t>
      </w:r>
      <w:r w:rsidRPr="00163523">
        <w:rPr>
          <w:lang w:val="en-GB"/>
        </w:rPr>
        <w:t xml:space="preserve">2, multiple studies have varying perspectives on the biomethane potential in the Baltic states and Finland. Thus, the renewable gas production potential estimation of </w:t>
      </w:r>
      <w:r w:rsidR="001B2062" w:rsidRPr="00163523">
        <w:rPr>
          <w:lang w:val="en-GB"/>
        </w:rPr>
        <w:t>Baltic-Finnish regional gas market</w:t>
      </w:r>
      <w:r w:rsidRPr="00163523">
        <w:rPr>
          <w:lang w:val="en-GB"/>
        </w:rPr>
        <w:t xml:space="preserve"> in this study for each country have been based on input from ministry representatives of each country, combined with authors</w:t>
      </w:r>
      <w:r w:rsidR="00740F33" w:rsidRPr="00163523">
        <w:rPr>
          <w:lang w:val="en-GB"/>
        </w:rPr>
        <w:t>’</w:t>
      </w:r>
      <w:r w:rsidRPr="00163523">
        <w:rPr>
          <w:lang w:val="en-GB"/>
        </w:rPr>
        <w:t xml:space="preserve"> estimations using existing literature sources</w:t>
      </w:r>
      <w:r w:rsidRPr="00163523">
        <w:rPr>
          <w:rStyle w:val="Voetnootmarkering"/>
          <w:lang w:val="en-GB"/>
        </w:rPr>
        <w:footnoteReference w:id="51"/>
      </w:r>
      <w:r w:rsidRPr="00163523">
        <w:rPr>
          <w:lang w:val="en-GB"/>
        </w:rPr>
        <w:t>. Although the provided potential estimation from different resources varies, it could show that the potential is sufficient to meet the demand in 2050 perspective, as calculated in D</w:t>
      </w:r>
      <w:r w:rsidR="001B2062" w:rsidRPr="00163523">
        <w:rPr>
          <w:lang w:val="en-GB"/>
        </w:rPr>
        <w:t xml:space="preserve">eliverable </w:t>
      </w:r>
      <w:r w:rsidRPr="00163523">
        <w:rPr>
          <w:lang w:val="en-GB"/>
        </w:rPr>
        <w:t xml:space="preserve">3. However, the success of biomethane as a decarbonisation solution depends on market demand and </w:t>
      </w:r>
      <w:r w:rsidRPr="00163523">
        <w:rPr>
          <w:lang w:val="en-GB"/>
        </w:rPr>
        <w:lastRenderedPageBreak/>
        <w:t>competition in the RGMCG region. The Baltic and Finnish states may become dependent on biomass imports to other countries if the demand overcome the production, and reliance on external sources can introduce supply chain risks, including price fluctuations, geopolitical factors, and logistical challenges. On the other hand, if the market demand for biomethane is low in the region or if other low-carbon alternatives emerge, it could limit the economic viability of biomethane projects.</w:t>
      </w:r>
    </w:p>
    <w:p w14:paraId="6FD80746" w14:textId="77777777" w:rsidR="00543CF5" w:rsidRPr="00163523" w:rsidRDefault="00543CF5" w:rsidP="00543CF5">
      <w:pPr>
        <w:rPr>
          <w:lang w:val="en-GB"/>
        </w:rPr>
      </w:pPr>
    </w:p>
    <w:p w14:paraId="006A4A6C" w14:textId="4B9BACD3" w:rsidR="00F63E15" w:rsidRPr="00163523" w:rsidRDefault="00543CF5" w:rsidP="00543CF5">
      <w:pPr>
        <w:rPr>
          <w:lang w:val="en-GB"/>
        </w:rPr>
      </w:pPr>
      <w:r w:rsidRPr="00163523">
        <w:rPr>
          <w:lang w:val="en-GB"/>
        </w:rPr>
        <w:t xml:space="preserve">One of the risks associated with hydrogen production and its impact on the RGMCG region is the uncertainty surrounding hydrogen infrastructure development and market demand. Hydrogen production also requires a well-developed and interconnected infrastructure for its supply of renewable electricity to the production unit, transportation, storage, and distribution of hydrogen to end users. The region may face challenges in establishing the necessary infrastructure to support large-scale </w:t>
      </w:r>
      <w:r w:rsidR="0000330A" w:rsidRPr="00163523">
        <w:rPr>
          <w:lang w:val="en-GB"/>
        </w:rPr>
        <w:t xml:space="preserve">domestic </w:t>
      </w:r>
      <w:r w:rsidRPr="00163523">
        <w:rPr>
          <w:lang w:val="en-GB"/>
        </w:rPr>
        <w:t xml:space="preserve">hydrogen production because to produce green hydrogen, the region </w:t>
      </w:r>
      <w:r w:rsidR="00C479DD" w:rsidRPr="00163523">
        <w:rPr>
          <w:lang w:val="en-GB"/>
        </w:rPr>
        <w:t xml:space="preserve">would </w:t>
      </w:r>
      <w:r w:rsidRPr="00163523">
        <w:rPr>
          <w:lang w:val="en-GB"/>
        </w:rPr>
        <w:t xml:space="preserve">need to deploy </w:t>
      </w:r>
      <w:r w:rsidR="00F10048" w:rsidRPr="00163523">
        <w:rPr>
          <w:lang w:val="en-GB"/>
        </w:rPr>
        <w:t xml:space="preserve">large-scale </w:t>
      </w:r>
      <w:r w:rsidRPr="00163523">
        <w:rPr>
          <w:lang w:val="en-GB"/>
        </w:rPr>
        <w:t xml:space="preserve">renewable </w:t>
      </w:r>
      <w:r w:rsidR="00B22032" w:rsidRPr="00163523">
        <w:rPr>
          <w:lang w:val="en-GB"/>
        </w:rPr>
        <w:t xml:space="preserve">electricity </w:t>
      </w:r>
      <w:r w:rsidRPr="00163523">
        <w:rPr>
          <w:lang w:val="en-GB"/>
        </w:rPr>
        <w:t xml:space="preserve">plants, mainly </w:t>
      </w:r>
      <w:r w:rsidR="007C6E42" w:rsidRPr="00163523">
        <w:rPr>
          <w:lang w:val="en-GB"/>
        </w:rPr>
        <w:t xml:space="preserve">offshore </w:t>
      </w:r>
      <w:r w:rsidRPr="00163523">
        <w:rPr>
          <w:lang w:val="en-GB"/>
        </w:rPr>
        <w:t>wind</w:t>
      </w:r>
      <w:r w:rsidR="00B22032" w:rsidRPr="00163523">
        <w:rPr>
          <w:lang w:val="en-GB"/>
        </w:rPr>
        <w:t xml:space="preserve"> energy</w:t>
      </w:r>
      <w:r w:rsidRPr="00163523">
        <w:rPr>
          <w:lang w:val="en-GB"/>
        </w:rPr>
        <w:t>, which will require huge investment</w:t>
      </w:r>
      <w:r w:rsidR="007C6E42" w:rsidRPr="00163523">
        <w:rPr>
          <w:lang w:val="en-GB"/>
        </w:rPr>
        <w:t>s</w:t>
      </w:r>
      <w:r w:rsidRPr="00163523">
        <w:rPr>
          <w:lang w:val="en-GB"/>
        </w:rPr>
        <w:t xml:space="preserve">. Moreover, the establishment of a regional hydrogen network would require collaboration between neighbouring countries, which could involve complex negotiations and </w:t>
      </w:r>
      <w:r w:rsidR="0080439D" w:rsidRPr="00163523">
        <w:rPr>
          <w:lang w:val="en-GB"/>
        </w:rPr>
        <w:t xml:space="preserve">an adequate </w:t>
      </w:r>
      <w:r w:rsidRPr="00163523">
        <w:rPr>
          <w:lang w:val="en-GB"/>
        </w:rPr>
        <w:t xml:space="preserve">regulatory </w:t>
      </w:r>
      <w:r w:rsidR="00CC5ABE" w:rsidRPr="00163523">
        <w:rPr>
          <w:lang w:val="en-GB"/>
        </w:rPr>
        <w:t>framework</w:t>
      </w:r>
      <w:r w:rsidRPr="00163523">
        <w:rPr>
          <w:lang w:val="en-GB"/>
        </w:rPr>
        <w:t>.</w:t>
      </w:r>
    </w:p>
    <w:p w14:paraId="70B534EA" w14:textId="77777777" w:rsidR="00543CF5" w:rsidRPr="00163523" w:rsidRDefault="00543CF5" w:rsidP="00F63E15">
      <w:pPr>
        <w:rPr>
          <w:lang w:val="en-GB"/>
        </w:rPr>
      </w:pPr>
    </w:p>
    <w:p w14:paraId="08B5D067" w14:textId="29F13B46" w:rsidR="00F63E15" w:rsidRPr="00163523" w:rsidRDefault="00AB17A7" w:rsidP="00F63E15">
      <w:pPr>
        <w:pStyle w:val="Kop4"/>
        <w:rPr>
          <w:lang w:val="en-GB"/>
        </w:rPr>
      </w:pPr>
      <w:r w:rsidRPr="00163523">
        <w:rPr>
          <w:lang w:val="en-GB"/>
        </w:rPr>
        <w:t>Rating</w:t>
      </w:r>
      <w:r w:rsidR="00F63E15" w:rsidRPr="00163523">
        <w:rPr>
          <w:lang w:val="en-GB"/>
        </w:rPr>
        <w:t xml:space="preserve"> of the </w:t>
      </w:r>
      <w:r w:rsidRPr="00163523">
        <w:rPr>
          <w:lang w:val="en-GB"/>
        </w:rPr>
        <w:t xml:space="preserve">risk </w:t>
      </w:r>
      <w:r w:rsidR="00F63E15" w:rsidRPr="00163523">
        <w:rPr>
          <w:lang w:val="en-GB"/>
        </w:rPr>
        <w:t>based on likelihood and severity</w:t>
      </w:r>
    </w:p>
    <w:p w14:paraId="664C7352" w14:textId="0A374FEC" w:rsidR="00543CF5" w:rsidRPr="00163523" w:rsidRDefault="00543CF5" w:rsidP="00543CF5">
      <w:pPr>
        <w:rPr>
          <w:lang w:val="en-GB"/>
        </w:rPr>
      </w:pPr>
      <w:r w:rsidRPr="00163523">
        <w:rPr>
          <w:lang w:val="en-GB"/>
        </w:rPr>
        <w:t xml:space="preserve">The </w:t>
      </w:r>
      <w:r w:rsidRPr="00163523">
        <w:rPr>
          <w:b/>
          <w:lang w:val="en-GB"/>
        </w:rPr>
        <w:t>likelihood of the risk can be assessed as ‘medium’</w:t>
      </w:r>
      <w:r w:rsidRPr="00163523">
        <w:rPr>
          <w:lang w:val="en-GB"/>
        </w:rPr>
        <w:t>. This is because while the region has the potential to develop renewable electricity and biomass resources, there may be challenges in scaling up production to meet the demand for renewable gases such as hydrogen and biomethane. Factors such as limited biomass availability, competing uses for renewable electricity, and the need for significant investments in infrastructure and technology can pose constraints on the availability of inputs for gas decarbonisation. However, with appropriate policies, investments, and regional cooperation, it is possible to mitigate this risk and ensure an adequate supply of inputs for the production of renewable/low carbon gases.</w:t>
      </w:r>
    </w:p>
    <w:p w14:paraId="7B97C522" w14:textId="77777777" w:rsidR="00543CF5" w:rsidRPr="00163523" w:rsidRDefault="00543CF5" w:rsidP="00543CF5">
      <w:pPr>
        <w:rPr>
          <w:lang w:val="en-GB"/>
        </w:rPr>
      </w:pPr>
    </w:p>
    <w:p w14:paraId="4208C31D" w14:textId="5B9EC34C" w:rsidR="00F63E15" w:rsidRPr="00163523" w:rsidRDefault="00543CF5" w:rsidP="00543CF5">
      <w:pPr>
        <w:rPr>
          <w:lang w:val="en-GB"/>
        </w:rPr>
      </w:pPr>
      <w:r w:rsidRPr="00163523">
        <w:rPr>
          <w:lang w:val="en-GB"/>
        </w:rPr>
        <w:t xml:space="preserve">We consider </w:t>
      </w:r>
      <w:r w:rsidRPr="00163523">
        <w:rPr>
          <w:b/>
          <w:lang w:val="en-GB"/>
        </w:rPr>
        <w:t>the severity of this risk as ‘high’</w:t>
      </w:r>
      <w:r w:rsidRPr="00163523">
        <w:rPr>
          <w:lang w:val="en-GB"/>
        </w:rPr>
        <w:t xml:space="preserve">. This is because a shortage of inputs can hamper the scaling up of renewable gas production, potentially limiting the ability to meet decarbonisation targets and transition away from traditional fossil fuels. The availability of renewable electricity and biomass is crucial for the production of renewable gases like hydrogen and biomethane, which are </w:t>
      </w:r>
      <w:r w:rsidR="000D2D35" w:rsidRPr="00163523">
        <w:rPr>
          <w:lang w:val="en-GB"/>
        </w:rPr>
        <w:t xml:space="preserve">key components </w:t>
      </w:r>
      <w:r w:rsidRPr="00163523">
        <w:rPr>
          <w:lang w:val="en-GB"/>
        </w:rPr>
        <w:t xml:space="preserve">to </w:t>
      </w:r>
      <w:r w:rsidR="002F28D1" w:rsidRPr="00163523">
        <w:rPr>
          <w:lang w:val="en-GB"/>
        </w:rPr>
        <w:t>decarbonising</w:t>
      </w:r>
      <w:r w:rsidRPr="00163523">
        <w:rPr>
          <w:lang w:val="en-GB"/>
        </w:rPr>
        <w:t xml:space="preserve"> the gas sector. Insufficient inputs </w:t>
      </w:r>
      <w:r w:rsidR="00362CE2" w:rsidRPr="00163523">
        <w:rPr>
          <w:lang w:val="en-GB"/>
        </w:rPr>
        <w:t xml:space="preserve">of biogas or renewable electricity </w:t>
      </w:r>
      <w:r w:rsidRPr="00163523">
        <w:rPr>
          <w:lang w:val="en-GB"/>
        </w:rPr>
        <w:t xml:space="preserve">can lead to delays, reduced </w:t>
      </w:r>
      <w:r w:rsidR="00362CE2" w:rsidRPr="00163523">
        <w:rPr>
          <w:lang w:val="en-GB"/>
        </w:rPr>
        <w:t xml:space="preserve">green gas </w:t>
      </w:r>
      <w:r w:rsidRPr="00163523">
        <w:rPr>
          <w:lang w:val="en-GB"/>
        </w:rPr>
        <w:t xml:space="preserve">production capacity, increased costs, and </w:t>
      </w:r>
      <w:r w:rsidR="00754934" w:rsidRPr="00163523">
        <w:rPr>
          <w:lang w:val="en-GB"/>
        </w:rPr>
        <w:t xml:space="preserve">continued </w:t>
      </w:r>
      <w:r w:rsidRPr="00163523">
        <w:rPr>
          <w:lang w:val="en-GB"/>
        </w:rPr>
        <w:t xml:space="preserve">reliance on conventional fossil fuel sources. However, with proactive measures to address the input shortage, such as diversifying renewable energy sources and enhancing biomass availability, the impact can be mitigated and the </w:t>
      </w:r>
      <w:r w:rsidR="007B649C" w:rsidRPr="00163523">
        <w:rPr>
          <w:lang w:val="en-GB"/>
        </w:rPr>
        <w:t xml:space="preserve">timely </w:t>
      </w:r>
      <w:r w:rsidRPr="00163523">
        <w:rPr>
          <w:lang w:val="en-GB"/>
        </w:rPr>
        <w:t xml:space="preserve">transition to a </w:t>
      </w:r>
      <w:r w:rsidR="00754934" w:rsidRPr="00163523">
        <w:rPr>
          <w:lang w:val="en-GB"/>
        </w:rPr>
        <w:t>decarbonised</w:t>
      </w:r>
      <w:r w:rsidRPr="00163523">
        <w:rPr>
          <w:lang w:val="en-GB"/>
        </w:rPr>
        <w:t xml:space="preserve"> gas market can still be achiev</w:t>
      </w:r>
      <w:r w:rsidR="000D57DA" w:rsidRPr="00163523">
        <w:rPr>
          <w:lang w:val="en-GB"/>
        </w:rPr>
        <w:t>ed</w:t>
      </w:r>
      <w:r w:rsidRPr="00163523">
        <w:rPr>
          <w:lang w:val="en-GB"/>
        </w:rPr>
        <w:t>.</w:t>
      </w:r>
    </w:p>
    <w:p w14:paraId="30D8B125" w14:textId="77777777" w:rsidR="00543CF5" w:rsidRPr="00163523" w:rsidRDefault="00543CF5" w:rsidP="00543CF5">
      <w:pPr>
        <w:rPr>
          <w:lang w:val="en-GB"/>
        </w:rPr>
      </w:pPr>
    </w:p>
    <w:tbl>
      <w:tblPr>
        <w:tblStyle w:val="Table1"/>
        <w:tblW w:w="8449" w:type="dxa"/>
        <w:tblLayout w:type="fixed"/>
        <w:tblLook w:val="04A0" w:firstRow="1" w:lastRow="0" w:firstColumn="1" w:lastColumn="0" w:noHBand="0" w:noVBand="1"/>
      </w:tblPr>
      <w:tblGrid>
        <w:gridCol w:w="2689"/>
        <w:gridCol w:w="864"/>
        <w:gridCol w:w="864"/>
        <w:gridCol w:w="865"/>
        <w:gridCol w:w="1731"/>
        <w:gridCol w:w="1436"/>
      </w:tblGrid>
      <w:tr w:rsidR="00543CF5" w:rsidRPr="00801E6C" w14:paraId="153B2710" w14:textId="77777777" w:rsidTr="002E50F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89" w:type="dxa"/>
            <w:vMerge w:val="restart"/>
            <w:noWrap/>
          </w:tcPr>
          <w:p w14:paraId="717588FC" w14:textId="77777777" w:rsidR="00543CF5" w:rsidRPr="00163523" w:rsidRDefault="00543CF5" w:rsidP="002E50F7">
            <w:pPr>
              <w:keepNext/>
              <w:spacing w:line="240" w:lineRule="auto"/>
              <w:ind w:left="0"/>
              <w:rPr>
                <w:rFonts w:eastAsia="Times New Roman"/>
                <w:sz w:val="16"/>
                <w:szCs w:val="16"/>
                <w:lang w:val="en-GB" w:eastAsia="en-GB"/>
              </w:rPr>
            </w:pPr>
            <w:r w:rsidRPr="00163523">
              <w:rPr>
                <w:rFonts w:eastAsia="Arial"/>
                <w:sz w:val="16"/>
                <w:szCs w:val="16"/>
                <w:lang w:val="en-GB"/>
              </w:rPr>
              <w:t>Risk</w:t>
            </w:r>
          </w:p>
        </w:tc>
        <w:tc>
          <w:tcPr>
            <w:tcW w:w="2593" w:type="dxa"/>
            <w:gridSpan w:val="3"/>
          </w:tcPr>
          <w:p w14:paraId="4515169F" w14:textId="77777777" w:rsidR="00543CF5" w:rsidRPr="00163523" w:rsidRDefault="00543CF5" w:rsidP="002E50F7">
            <w:pPr>
              <w:keepNext/>
              <w:spacing w:line="240" w:lineRule="auto"/>
              <w:ind w:left="0"/>
              <w:cnfStyle w:val="100000000000" w:firstRow="1" w:lastRow="0" w:firstColumn="0" w:lastColumn="0" w:oddVBand="0" w:evenVBand="0" w:oddHBand="0" w:evenHBand="0" w:firstRowFirstColumn="0" w:firstRowLastColumn="0" w:lastRowFirstColumn="0" w:lastRowLastColumn="0"/>
              <w:rPr>
                <w:rFonts w:eastAsia="Arial"/>
                <w:sz w:val="16"/>
                <w:szCs w:val="16"/>
                <w:lang w:val="en-GB"/>
              </w:rPr>
            </w:pPr>
            <w:r w:rsidRPr="00801E6C">
              <w:rPr>
                <w:rFonts w:eastAsia="Arial"/>
                <w:sz w:val="16"/>
                <w:szCs w:val="16"/>
                <w:lang w:val="en-GB"/>
              </w:rPr>
              <w:t>Applicable scenarios</w:t>
            </w:r>
          </w:p>
        </w:tc>
        <w:tc>
          <w:tcPr>
            <w:tcW w:w="1731" w:type="dxa"/>
            <w:vMerge w:val="restart"/>
            <w:noWrap/>
          </w:tcPr>
          <w:p w14:paraId="55119AF7" w14:textId="77777777" w:rsidR="00543CF5" w:rsidRPr="00163523" w:rsidRDefault="00543CF5" w:rsidP="002E50F7">
            <w:pPr>
              <w:keepNext/>
              <w:spacing w:line="240" w:lineRule="auto"/>
              <w:ind w:left="0"/>
              <w:cnfStyle w:val="100000000000" w:firstRow="1" w:lastRow="0" w:firstColumn="0" w:lastColumn="0" w:oddVBand="0" w:evenVBand="0" w:oddHBand="0" w:evenHBand="0" w:firstRowFirstColumn="0" w:firstRowLastColumn="0" w:lastRowFirstColumn="0" w:lastRowLastColumn="0"/>
              <w:rPr>
                <w:rFonts w:eastAsia="Times New Roman"/>
                <w:i/>
                <w:sz w:val="16"/>
                <w:szCs w:val="16"/>
                <w:lang w:val="en-GB" w:eastAsia="en-GB"/>
              </w:rPr>
            </w:pPr>
            <w:r w:rsidRPr="00163523">
              <w:rPr>
                <w:rFonts w:eastAsia="Arial"/>
                <w:sz w:val="16"/>
                <w:szCs w:val="16"/>
                <w:lang w:val="en-GB"/>
              </w:rPr>
              <w:t>Likelihood</w:t>
            </w:r>
          </w:p>
        </w:tc>
        <w:tc>
          <w:tcPr>
            <w:tcW w:w="1436" w:type="dxa"/>
            <w:vMerge w:val="restart"/>
            <w:noWrap/>
          </w:tcPr>
          <w:p w14:paraId="1F72E154" w14:textId="77777777" w:rsidR="00543CF5" w:rsidRPr="00163523" w:rsidRDefault="00543CF5" w:rsidP="002E50F7">
            <w:pPr>
              <w:keepNext/>
              <w:spacing w:line="240" w:lineRule="auto"/>
              <w:ind w:left="0"/>
              <w:cnfStyle w:val="100000000000" w:firstRow="1" w:lastRow="0" w:firstColumn="0" w:lastColumn="0" w:oddVBand="0" w:evenVBand="0" w:oddHBand="0" w:evenHBand="0" w:firstRowFirstColumn="0" w:firstRowLastColumn="0" w:lastRowFirstColumn="0" w:lastRowLastColumn="0"/>
              <w:rPr>
                <w:rFonts w:eastAsia="Times New Roman"/>
                <w:i/>
                <w:sz w:val="16"/>
                <w:szCs w:val="16"/>
                <w:lang w:val="en-GB" w:eastAsia="en-GB"/>
              </w:rPr>
            </w:pPr>
            <w:r w:rsidRPr="00163523">
              <w:rPr>
                <w:rFonts w:eastAsia="Arial"/>
                <w:sz w:val="16"/>
                <w:szCs w:val="16"/>
                <w:lang w:val="en-GB"/>
              </w:rPr>
              <w:t>Severity</w:t>
            </w:r>
          </w:p>
        </w:tc>
      </w:tr>
      <w:tr w:rsidR="00543CF5" w:rsidRPr="00801E6C" w14:paraId="7A2AFD11" w14:textId="77777777" w:rsidTr="002E50F7">
        <w:trPr>
          <w:trHeight w:val="20"/>
        </w:trPr>
        <w:tc>
          <w:tcPr>
            <w:cnfStyle w:val="001000000000" w:firstRow="0" w:lastRow="0" w:firstColumn="1" w:lastColumn="0" w:oddVBand="0" w:evenVBand="0" w:oddHBand="0" w:evenHBand="0" w:firstRowFirstColumn="0" w:firstRowLastColumn="0" w:lastRowFirstColumn="0" w:lastRowLastColumn="0"/>
            <w:tcW w:w="2689" w:type="dxa"/>
            <w:vMerge/>
            <w:noWrap/>
          </w:tcPr>
          <w:p w14:paraId="19565899" w14:textId="77777777" w:rsidR="00543CF5" w:rsidRPr="00801E6C" w:rsidRDefault="00543CF5" w:rsidP="002E50F7">
            <w:pPr>
              <w:spacing w:line="240" w:lineRule="auto"/>
              <w:ind w:left="0"/>
              <w:jc w:val="center"/>
              <w:rPr>
                <w:rFonts w:eastAsia="Arial"/>
                <w:sz w:val="16"/>
                <w:szCs w:val="16"/>
                <w:lang w:val="en-GB"/>
              </w:rPr>
            </w:pPr>
          </w:p>
        </w:tc>
        <w:tc>
          <w:tcPr>
            <w:tcW w:w="864" w:type="dxa"/>
          </w:tcPr>
          <w:p w14:paraId="20919982" w14:textId="77777777" w:rsidR="00543CF5" w:rsidRPr="00163523" w:rsidRDefault="00543CF5" w:rsidP="002E50F7">
            <w:pPr>
              <w:spacing w:line="240" w:lineRule="auto"/>
              <w:ind w:left="0"/>
              <w:cnfStyle w:val="000000000000" w:firstRow="0" w:lastRow="0" w:firstColumn="0" w:lastColumn="0" w:oddVBand="0" w:evenVBand="0" w:oddHBand="0" w:evenHBand="0" w:firstRowFirstColumn="0" w:firstRowLastColumn="0" w:lastRowFirstColumn="0" w:lastRowLastColumn="0"/>
              <w:rPr>
                <w:rFonts w:eastAsia="Times New Roman"/>
                <w:b/>
                <w:color w:val="000000"/>
                <w:sz w:val="14"/>
                <w:szCs w:val="14"/>
                <w:lang w:val="en-GB" w:eastAsia="en-GB"/>
              </w:rPr>
            </w:pPr>
            <w:r w:rsidRPr="00163523">
              <w:rPr>
                <w:rFonts w:eastAsia="Arial"/>
                <w:sz w:val="14"/>
                <w:szCs w:val="14"/>
                <w:lang w:val="en-GB"/>
              </w:rPr>
              <w:t>REN-M</w:t>
            </w:r>
          </w:p>
        </w:tc>
        <w:tc>
          <w:tcPr>
            <w:tcW w:w="864" w:type="dxa"/>
          </w:tcPr>
          <w:p w14:paraId="0CBAE559" w14:textId="77777777" w:rsidR="00543CF5" w:rsidRPr="00163523" w:rsidRDefault="00543CF5" w:rsidP="002E50F7">
            <w:pPr>
              <w:spacing w:line="240" w:lineRule="auto"/>
              <w:ind w:left="0"/>
              <w:cnfStyle w:val="000000000000" w:firstRow="0" w:lastRow="0" w:firstColumn="0" w:lastColumn="0" w:oddVBand="0" w:evenVBand="0" w:oddHBand="0" w:evenHBand="0" w:firstRowFirstColumn="0" w:firstRowLastColumn="0" w:lastRowFirstColumn="0" w:lastRowLastColumn="0"/>
              <w:rPr>
                <w:rFonts w:eastAsia="Times New Roman"/>
                <w:b/>
                <w:color w:val="000000"/>
                <w:sz w:val="14"/>
                <w:szCs w:val="14"/>
                <w:lang w:val="en-GB" w:eastAsia="en-GB"/>
              </w:rPr>
            </w:pPr>
            <w:r w:rsidRPr="00163523">
              <w:rPr>
                <w:rFonts w:eastAsia="Arial"/>
                <w:sz w:val="14"/>
                <w:szCs w:val="14"/>
                <w:lang w:val="en-GB"/>
              </w:rPr>
              <w:t>REN-H</w:t>
            </w:r>
          </w:p>
        </w:tc>
        <w:tc>
          <w:tcPr>
            <w:tcW w:w="865" w:type="dxa"/>
          </w:tcPr>
          <w:p w14:paraId="78FD47FE" w14:textId="77777777" w:rsidR="00543CF5" w:rsidRPr="00163523" w:rsidRDefault="00543CF5" w:rsidP="002E50F7">
            <w:pPr>
              <w:spacing w:line="240" w:lineRule="auto"/>
              <w:ind w:left="0"/>
              <w:cnfStyle w:val="000000000000" w:firstRow="0" w:lastRow="0" w:firstColumn="0" w:lastColumn="0" w:oddVBand="0" w:evenVBand="0" w:oddHBand="0" w:evenHBand="0" w:firstRowFirstColumn="0" w:firstRowLastColumn="0" w:lastRowFirstColumn="0" w:lastRowLastColumn="0"/>
              <w:rPr>
                <w:rFonts w:eastAsia="Times New Roman"/>
                <w:b/>
                <w:color w:val="000000"/>
                <w:sz w:val="14"/>
                <w:szCs w:val="14"/>
                <w:lang w:val="en-GB" w:eastAsia="en-GB"/>
              </w:rPr>
            </w:pPr>
            <w:r w:rsidRPr="00163523">
              <w:rPr>
                <w:rFonts w:eastAsia="Arial"/>
                <w:sz w:val="14"/>
                <w:szCs w:val="14"/>
                <w:lang w:val="en-GB"/>
              </w:rPr>
              <w:t>CM</w:t>
            </w:r>
          </w:p>
        </w:tc>
        <w:tc>
          <w:tcPr>
            <w:tcW w:w="1731" w:type="dxa"/>
            <w:vMerge/>
            <w:shd w:val="clear" w:color="auto" w:fill="F9B7AC" w:themeFill="accent2" w:themeFillTint="66"/>
            <w:noWrap/>
          </w:tcPr>
          <w:p w14:paraId="27BFD21D" w14:textId="77777777" w:rsidR="00543CF5" w:rsidRPr="00163523" w:rsidRDefault="00543CF5" w:rsidP="002E50F7">
            <w:pPr>
              <w:spacing w:line="240" w:lineRule="auto"/>
              <w:ind w:left="0"/>
              <w:cnfStyle w:val="000000000000" w:firstRow="0" w:lastRow="0" w:firstColumn="0" w:lastColumn="0" w:oddVBand="0" w:evenVBand="0" w:oddHBand="0" w:evenHBand="0" w:firstRowFirstColumn="0" w:firstRowLastColumn="0" w:lastRowFirstColumn="0" w:lastRowLastColumn="0"/>
              <w:rPr>
                <w:rFonts w:eastAsia="Times New Roman"/>
                <w:b/>
                <w:color w:val="000000"/>
                <w:sz w:val="16"/>
                <w:szCs w:val="16"/>
                <w:lang w:val="en-GB" w:eastAsia="en-GB"/>
              </w:rPr>
            </w:pPr>
          </w:p>
        </w:tc>
        <w:tc>
          <w:tcPr>
            <w:tcW w:w="1436" w:type="dxa"/>
            <w:vMerge/>
            <w:shd w:val="clear" w:color="auto" w:fill="FFD57B" w:themeFill="accent4" w:themeFillShade="E6"/>
            <w:noWrap/>
          </w:tcPr>
          <w:p w14:paraId="04EC5950" w14:textId="77777777" w:rsidR="00543CF5" w:rsidRPr="00163523" w:rsidRDefault="00543CF5" w:rsidP="002E50F7">
            <w:pPr>
              <w:spacing w:line="240" w:lineRule="auto"/>
              <w:ind w:left="0"/>
              <w:cnfStyle w:val="000000000000" w:firstRow="0" w:lastRow="0" w:firstColumn="0" w:lastColumn="0" w:oddVBand="0" w:evenVBand="0" w:oddHBand="0" w:evenHBand="0" w:firstRowFirstColumn="0" w:firstRowLastColumn="0" w:lastRowFirstColumn="0" w:lastRowLastColumn="0"/>
              <w:rPr>
                <w:rFonts w:eastAsia="Arial"/>
                <w:b/>
                <w:sz w:val="16"/>
                <w:szCs w:val="16"/>
                <w:lang w:val="en-GB"/>
              </w:rPr>
            </w:pPr>
          </w:p>
        </w:tc>
      </w:tr>
      <w:tr w:rsidR="00504CEB" w:rsidRPr="00801E6C" w14:paraId="2BA82666" w14:textId="77777777" w:rsidTr="00543CF5">
        <w:trPr>
          <w:trHeight w:val="20"/>
        </w:trPr>
        <w:tc>
          <w:tcPr>
            <w:cnfStyle w:val="001000000000" w:firstRow="0" w:lastRow="0" w:firstColumn="1" w:lastColumn="0" w:oddVBand="0" w:evenVBand="0" w:oddHBand="0" w:evenHBand="0" w:firstRowFirstColumn="0" w:firstRowLastColumn="0" w:lastRowFirstColumn="0" w:lastRowLastColumn="0"/>
            <w:tcW w:w="2689" w:type="dxa"/>
            <w:noWrap/>
          </w:tcPr>
          <w:p w14:paraId="5E3B7F6B" w14:textId="1951315A" w:rsidR="00504CEB" w:rsidRPr="00801E6C" w:rsidRDefault="00504CEB" w:rsidP="00504CEB">
            <w:pPr>
              <w:spacing w:line="240" w:lineRule="auto"/>
              <w:ind w:left="0"/>
              <w:jc w:val="center"/>
              <w:rPr>
                <w:rFonts w:eastAsia="Times New Roman"/>
                <w:color w:val="000000"/>
                <w:sz w:val="16"/>
                <w:szCs w:val="16"/>
                <w:highlight w:val="yellow"/>
                <w:lang w:val="en-GB" w:eastAsia="en-GB"/>
              </w:rPr>
            </w:pPr>
            <w:r w:rsidRPr="00543CF5">
              <w:rPr>
                <w:rFonts w:eastAsia="Times New Roman"/>
                <w:color w:val="000000"/>
                <w:sz w:val="16"/>
                <w:szCs w:val="16"/>
                <w:lang w:val="en-GB" w:eastAsia="en-GB"/>
              </w:rPr>
              <w:t>Available inputs for production of R/LC gases can be insufficient</w:t>
            </w:r>
          </w:p>
        </w:tc>
        <w:tc>
          <w:tcPr>
            <w:tcW w:w="864" w:type="dxa"/>
          </w:tcPr>
          <w:p w14:paraId="2B940AA8" w14:textId="46D2F29C" w:rsidR="00504CEB" w:rsidRPr="00163523" w:rsidRDefault="00504CEB" w:rsidP="00504CEB">
            <w:pPr>
              <w:spacing w:line="240" w:lineRule="auto"/>
              <w:ind w:left="0"/>
              <w:cnfStyle w:val="000000000000" w:firstRow="0" w:lastRow="0" w:firstColumn="0" w:lastColumn="0" w:oddVBand="0" w:evenVBand="0" w:oddHBand="0" w:evenHBand="0" w:firstRowFirstColumn="0" w:firstRowLastColumn="0" w:lastRowFirstColumn="0" w:lastRowLastColumn="0"/>
              <w:rPr>
                <w:rFonts w:eastAsia="Times New Roman"/>
                <w:b/>
                <w:color w:val="000000"/>
                <w:sz w:val="16"/>
                <w:szCs w:val="14"/>
                <w:lang w:val="en-GB" w:eastAsia="en-GB"/>
              </w:rPr>
            </w:pPr>
            <w:r w:rsidRPr="00163523">
              <w:rPr>
                <w:rFonts w:ascii="Wingdings" w:eastAsia="Times New Roman" w:hAnsi="Wingdings" w:cs="Calibri"/>
                <w:b/>
                <w:color w:val="000000"/>
                <w:sz w:val="16"/>
                <w:szCs w:val="14"/>
                <w:bdr w:val="none" w:sz="0" w:space="0" w:color="auto" w:frame="1"/>
                <w:lang w:val="en-GB"/>
              </w:rPr>
              <w:t>üü</w:t>
            </w:r>
          </w:p>
        </w:tc>
        <w:tc>
          <w:tcPr>
            <w:tcW w:w="864" w:type="dxa"/>
          </w:tcPr>
          <w:p w14:paraId="6969A040" w14:textId="3F7A1864" w:rsidR="00504CEB" w:rsidRPr="00163523" w:rsidRDefault="00504CEB" w:rsidP="00504CEB">
            <w:pPr>
              <w:spacing w:line="240" w:lineRule="auto"/>
              <w:ind w:left="0"/>
              <w:cnfStyle w:val="000000000000" w:firstRow="0" w:lastRow="0" w:firstColumn="0" w:lastColumn="0" w:oddVBand="0" w:evenVBand="0" w:oddHBand="0" w:evenHBand="0" w:firstRowFirstColumn="0" w:firstRowLastColumn="0" w:lastRowFirstColumn="0" w:lastRowLastColumn="0"/>
              <w:rPr>
                <w:rFonts w:eastAsia="Times New Roman"/>
                <w:b/>
                <w:color w:val="000000"/>
                <w:sz w:val="16"/>
                <w:szCs w:val="14"/>
                <w:lang w:val="en-GB" w:eastAsia="en-GB"/>
              </w:rPr>
            </w:pPr>
            <w:r w:rsidRPr="00163523">
              <w:rPr>
                <w:rFonts w:ascii="Wingdings" w:eastAsia="Times New Roman" w:hAnsi="Wingdings" w:cs="Calibri"/>
                <w:b/>
                <w:color w:val="000000"/>
                <w:sz w:val="16"/>
                <w:szCs w:val="14"/>
                <w:bdr w:val="none" w:sz="0" w:space="0" w:color="auto" w:frame="1"/>
                <w:lang w:val="en-GB"/>
              </w:rPr>
              <w:t>üü</w:t>
            </w:r>
          </w:p>
        </w:tc>
        <w:tc>
          <w:tcPr>
            <w:tcW w:w="865" w:type="dxa"/>
          </w:tcPr>
          <w:p w14:paraId="1435B38F" w14:textId="766F5179" w:rsidR="00504CEB" w:rsidRPr="00163523" w:rsidRDefault="00504CEB" w:rsidP="00504CEB">
            <w:pPr>
              <w:spacing w:line="240" w:lineRule="auto"/>
              <w:ind w:left="0"/>
              <w:cnfStyle w:val="000000000000" w:firstRow="0" w:lastRow="0" w:firstColumn="0" w:lastColumn="0" w:oddVBand="0" w:evenVBand="0" w:oddHBand="0" w:evenHBand="0" w:firstRowFirstColumn="0" w:firstRowLastColumn="0" w:lastRowFirstColumn="0" w:lastRowLastColumn="0"/>
              <w:rPr>
                <w:rFonts w:eastAsia="Times New Roman"/>
                <w:b/>
                <w:color w:val="000000"/>
                <w:sz w:val="16"/>
                <w:szCs w:val="14"/>
                <w:lang w:val="en-GB" w:eastAsia="en-GB"/>
              </w:rPr>
            </w:pPr>
            <w:r w:rsidRPr="00163523">
              <w:rPr>
                <w:rFonts w:ascii="Wingdings" w:eastAsia="Times New Roman" w:hAnsi="Wingdings" w:cs="Calibri"/>
                <w:b/>
                <w:color w:val="000000"/>
                <w:sz w:val="16"/>
                <w:szCs w:val="14"/>
                <w:bdr w:val="none" w:sz="0" w:space="0" w:color="auto" w:frame="1"/>
                <w:lang w:val="en-GB"/>
              </w:rPr>
              <w:t>üü</w:t>
            </w:r>
          </w:p>
        </w:tc>
        <w:tc>
          <w:tcPr>
            <w:tcW w:w="1731" w:type="dxa"/>
            <w:shd w:val="clear" w:color="auto" w:fill="FFD57B" w:themeFill="accent4" w:themeFillShade="E6"/>
            <w:noWrap/>
          </w:tcPr>
          <w:p w14:paraId="6B363589" w14:textId="3F80907B" w:rsidR="00504CEB" w:rsidRPr="00163523" w:rsidRDefault="00504CEB" w:rsidP="00504CEB">
            <w:pPr>
              <w:spacing w:line="240" w:lineRule="auto"/>
              <w:ind w:left="0"/>
              <w:cnfStyle w:val="000000000000" w:firstRow="0" w:lastRow="0" w:firstColumn="0" w:lastColumn="0" w:oddVBand="0" w:evenVBand="0" w:oddHBand="0" w:evenHBand="0" w:firstRowFirstColumn="0" w:firstRowLastColumn="0" w:lastRowFirstColumn="0" w:lastRowLastColumn="0"/>
              <w:rPr>
                <w:rFonts w:eastAsia="Times New Roman"/>
                <w:b/>
                <w:color w:val="000000"/>
                <w:sz w:val="16"/>
                <w:szCs w:val="16"/>
                <w:highlight w:val="yellow"/>
                <w:lang w:val="en-GB" w:eastAsia="en-GB"/>
              </w:rPr>
            </w:pPr>
            <w:r w:rsidRPr="00163523">
              <w:rPr>
                <w:rFonts w:eastAsia="Times New Roman"/>
                <w:b/>
                <w:color w:val="000000"/>
                <w:sz w:val="16"/>
                <w:szCs w:val="16"/>
                <w:lang w:val="en-GB" w:eastAsia="en-GB"/>
              </w:rPr>
              <w:t>Medium</w:t>
            </w:r>
          </w:p>
        </w:tc>
        <w:tc>
          <w:tcPr>
            <w:tcW w:w="1436" w:type="dxa"/>
            <w:shd w:val="clear" w:color="auto" w:fill="F9B7AC" w:themeFill="accent2" w:themeFillTint="66"/>
            <w:noWrap/>
          </w:tcPr>
          <w:p w14:paraId="19B0B8A4" w14:textId="77777777" w:rsidR="00504CEB" w:rsidRPr="00163523" w:rsidRDefault="00504CEB" w:rsidP="00504CEB">
            <w:pPr>
              <w:spacing w:line="240" w:lineRule="auto"/>
              <w:ind w:left="0"/>
              <w:cnfStyle w:val="000000000000" w:firstRow="0" w:lastRow="0" w:firstColumn="0" w:lastColumn="0" w:oddVBand="0" w:evenVBand="0" w:oddHBand="0" w:evenHBand="0" w:firstRowFirstColumn="0" w:firstRowLastColumn="0" w:lastRowFirstColumn="0" w:lastRowLastColumn="0"/>
              <w:rPr>
                <w:rFonts w:eastAsia="Times New Roman"/>
                <w:b/>
                <w:i/>
                <w:color w:val="000000"/>
                <w:sz w:val="16"/>
                <w:szCs w:val="16"/>
                <w:lang w:val="en-GB" w:eastAsia="en-GB"/>
              </w:rPr>
            </w:pPr>
            <w:r w:rsidRPr="00163523">
              <w:rPr>
                <w:rFonts w:eastAsia="Arial"/>
                <w:b/>
                <w:sz w:val="16"/>
                <w:szCs w:val="16"/>
                <w:lang w:val="en-GB"/>
              </w:rPr>
              <w:t>High</w:t>
            </w:r>
          </w:p>
        </w:tc>
      </w:tr>
    </w:tbl>
    <w:p w14:paraId="10719BE0" w14:textId="77777777" w:rsidR="00543CF5" w:rsidRPr="00163523" w:rsidRDefault="00543CF5" w:rsidP="00543CF5">
      <w:pPr>
        <w:rPr>
          <w:lang w:val="en-GB"/>
        </w:rPr>
      </w:pPr>
    </w:p>
    <w:p w14:paraId="6E137DB0" w14:textId="0480AE6A" w:rsidR="00F63E15" w:rsidRPr="00163523" w:rsidRDefault="00F63E15" w:rsidP="00F6652B">
      <w:pPr>
        <w:pStyle w:val="Kop4"/>
        <w:rPr>
          <w:lang w:val="en-GB"/>
        </w:rPr>
      </w:pPr>
      <w:r>
        <w:rPr>
          <w:lang w:val="en-GB"/>
        </w:rPr>
        <w:t xml:space="preserve">Potential </w:t>
      </w:r>
      <w:r w:rsidRPr="00163523">
        <w:rPr>
          <w:lang w:val="en-GB"/>
        </w:rPr>
        <w:t>mitigation measures</w:t>
      </w:r>
    </w:p>
    <w:p w14:paraId="7CC9B821" w14:textId="14D8D619" w:rsidR="00F63E15" w:rsidRDefault="00543CF5" w:rsidP="00F63E15">
      <w:pPr>
        <w:rPr>
          <w:lang w:val="en-GB"/>
        </w:rPr>
      </w:pPr>
      <w:r w:rsidRPr="00543CF5">
        <w:rPr>
          <w:lang w:val="en-GB"/>
        </w:rPr>
        <w:t>List of Actions and Policy Recommendations for Mitigating Risks in Hydrogen and Biomethane Production includes but not limited to:</w:t>
      </w:r>
    </w:p>
    <w:p w14:paraId="27414F13" w14:textId="2702BEE9" w:rsidR="00543CF5" w:rsidRPr="00543CF5" w:rsidRDefault="00543CF5" w:rsidP="00543CF5">
      <w:pPr>
        <w:pStyle w:val="Bulletpoint"/>
      </w:pPr>
      <w:r w:rsidRPr="00543CF5">
        <w:t xml:space="preserve">Increase Investment in Renewable Energy Infrastructure: Allocate adequate funding and incentives to promote the development of renewable energy sources, including solar, wind, and </w:t>
      </w:r>
      <w:r w:rsidRPr="00543CF5">
        <w:lastRenderedPageBreak/>
        <w:t>biomass. This will ensure sufficient electricity supply for electrolysis processes in hydrogen production and biomass availability for biomethane production.</w:t>
      </w:r>
    </w:p>
    <w:p w14:paraId="0F83667E" w14:textId="1AAE0B08" w:rsidR="00543CF5" w:rsidRPr="00543CF5" w:rsidRDefault="00543CF5" w:rsidP="00543CF5">
      <w:pPr>
        <w:pStyle w:val="Bulletpoint"/>
      </w:pPr>
      <w:r w:rsidRPr="00543CF5">
        <w:t>Upgrade Power Grid Infrastructure: Invest in upgrading and expanding the power grid infrastructure to accommodate the increasing penetration of renewable energy sources. This will facilitate the transmission and distribution of renewable electricity required for both hydrogen and biomethane production.</w:t>
      </w:r>
    </w:p>
    <w:p w14:paraId="739ED7F5" w14:textId="0C36CDD9" w:rsidR="00543CF5" w:rsidRPr="00543CF5" w:rsidRDefault="00543CF5" w:rsidP="00543CF5">
      <w:pPr>
        <w:pStyle w:val="Bulletpoint"/>
      </w:pPr>
      <w:r w:rsidRPr="00543CF5">
        <w:t>Streamline Legal and Regulatory Frameworks: Develop clear and supportive legal frameworks and regulations for renewable energy and low-carbon gas production. Streamline permitting processes, provide incentives for project development, and ensure compliance with environmental standards to expedite the deployment of hydrogen and biomethane projects.</w:t>
      </w:r>
    </w:p>
    <w:p w14:paraId="2FCFCA57" w14:textId="74B7265A" w:rsidR="00543CF5" w:rsidRPr="00543CF5" w:rsidRDefault="00543CF5" w:rsidP="00543CF5">
      <w:pPr>
        <w:pStyle w:val="Bulletpoint"/>
      </w:pPr>
      <w:r w:rsidRPr="00543CF5">
        <w:t>Promote Research and Development: Increase investments in research and development (R&amp;D) to advance renewable energy technologies, energy storage, biomass conversion processes</w:t>
      </w:r>
      <w:r w:rsidR="00655BF0">
        <w:t>, and availability of alternative feedstock sources (e.g. algae-based feedstocks that could be available in the Baltic Sea)</w:t>
      </w:r>
      <w:r w:rsidRPr="00543CF5">
        <w:t>. This will enhance the efficiency and scalability of both hydrogen and biomethane production methods, making them more cost-effective and commercially viable.</w:t>
      </w:r>
    </w:p>
    <w:p w14:paraId="51923AA7" w14:textId="2C561EE9" w:rsidR="00543CF5" w:rsidRPr="00543CF5" w:rsidRDefault="00543CF5" w:rsidP="00543CF5">
      <w:pPr>
        <w:pStyle w:val="Bulletpoint"/>
      </w:pPr>
      <w:r w:rsidRPr="00543CF5">
        <w:t>Enhance Climate Resilience Measures: Implement climate resilience strategies to address the potential impact of natural fluctuations on renewable energy production. This includes improving forecasting capabilities, investing in energy storage systems, and promoting diversification of renewable energy sources to ensure a consistent and reliable supply of electricity for hydrogen and biomethane production.</w:t>
      </w:r>
    </w:p>
    <w:p w14:paraId="71E10AB5" w14:textId="40DDED51" w:rsidR="00543CF5" w:rsidRPr="00543CF5" w:rsidRDefault="00543CF5" w:rsidP="00543CF5">
      <w:pPr>
        <w:pStyle w:val="Bulletpoint"/>
      </w:pPr>
      <w:r w:rsidRPr="00543CF5">
        <w:t>Establish Sustainable Biomass Management Practices: Promote sustainable biomass sourcing and cultivation practices to ensure a reliable and environmentally responsible feedstock supply for biomethane production. Encourage circular economy approaches, waste-to-energy initiatives, and land-use planning that prioritizes sustainable biomass production.</w:t>
      </w:r>
    </w:p>
    <w:p w14:paraId="722124D7" w14:textId="77777777" w:rsidR="00543CF5" w:rsidRDefault="00543CF5" w:rsidP="00543CF5">
      <w:pPr>
        <w:rPr>
          <w:lang w:val="en-GB"/>
        </w:rPr>
      </w:pPr>
    </w:p>
    <w:p w14:paraId="02818A61" w14:textId="538A0CFD" w:rsidR="00543CF5" w:rsidRPr="000C0A9C" w:rsidRDefault="00543CF5" w:rsidP="00543CF5">
      <w:pPr>
        <w:rPr>
          <w:lang w:val="en-GB"/>
        </w:rPr>
      </w:pPr>
      <w:r w:rsidRPr="00543CF5">
        <w:rPr>
          <w:lang w:val="en-GB"/>
        </w:rPr>
        <w:t>By implementing these actions and policy recommendations, policymakers and stakeholders can effectively address the identified risks and create an enabling environment for the successful adoption and deployment of hydrogen and biomethane as clean and sustainable energy alternatives.</w:t>
      </w:r>
    </w:p>
    <w:p w14:paraId="5924BD30" w14:textId="77777777" w:rsidR="00F63E15" w:rsidRDefault="00F63E15" w:rsidP="000C0A9C">
      <w:pPr>
        <w:rPr>
          <w:lang w:val="en-GB"/>
        </w:rPr>
      </w:pPr>
    </w:p>
    <w:p w14:paraId="5CEF32E9" w14:textId="6567B575" w:rsidR="00F63E15" w:rsidRDefault="00F63E15">
      <w:pPr>
        <w:pStyle w:val="Kop2"/>
      </w:pPr>
      <w:bookmarkStart w:id="64" w:name="_Ref137116849"/>
      <w:bookmarkStart w:id="65" w:name="_Toc138492609"/>
      <w:bookmarkStart w:id="66" w:name="_Hlk138344422"/>
      <w:bookmarkStart w:id="67" w:name="_Toc144803016"/>
      <w:r>
        <w:t xml:space="preserve">Risk 10: </w:t>
      </w:r>
      <w:r w:rsidRPr="00A91236">
        <w:t xml:space="preserve">Investments in </w:t>
      </w:r>
      <w:r>
        <w:t xml:space="preserve">methane </w:t>
      </w:r>
      <w:r w:rsidRPr="00A91236">
        <w:t>infrastructure can lead to lock-in on natural gas or asset stranding</w:t>
      </w:r>
      <w:bookmarkEnd w:id="64"/>
      <w:bookmarkEnd w:id="65"/>
      <w:bookmarkEnd w:id="67"/>
    </w:p>
    <w:p w14:paraId="5F81032A" w14:textId="5B3B78E9" w:rsidR="00F63E15" w:rsidRPr="00163523" w:rsidRDefault="00F63E15" w:rsidP="00F63E15">
      <w:pPr>
        <w:pStyle w:val="Kop4"/>
        <w:rPr>
          <w:lang w:val="en-GB"/>
        </w:rPr>
      </w:pPr>
      <w:r>
        <w:rPr>
          <w:lang w:val="en-GB"/>
        </w:rPr>
        <w:t>D</w:t>
      </w:r>
      <w:r w:rsidRPr="00163523">
        <w:rPr>
          <w:lang w:val="en-GB"/>
        </w:rPr>
        <w:t>escription of th</w:t>
      </w:r>
      <w:r w:rsidR="00971A8E" w:rsidRPr="00163523">
        <w:rPr>
          <w:lang w:val="en-GB"/>
        </w:rPr>
        <w:t>is</w:t>
      </w:r>
      <w:r w:rsidRPr="00163523">
        <w:rPr>
          <w:lang w:val="en-GB"/>
        </w:rPr>
        <w:t xml:space="preserve"> risk</w:t>
      </w:r>
      <w:r w:rsidR="0014216A" w:rsidRPr="00163523">
        <w:rPr>
          <w:lang w:val="en-GB"/>
        </w:rPr>
        <w:t xml:space="preserve"> for </w:t>
      </w:r>
      <w:r w:rsidR="00971A8E" w:rsidRPr="00163523">
        <w:rPr>
          <w:lang w:val="en-GB"/>
        </w:rPr>
        <w:t>the</w:t>
      </w:r>
      <w:r w:rsidRPr="00163523">
        <w:rPr>
          <w:lang w:val="en-GB"/>
        </w:rPr>
        <w:t xml:space="preserve"> Baltic Regional Gas Market</w:t>
      </w:r>
    </w:p>
    <w:p w14:paraId="62785721" w14:textId="4155C0AA" w:rsidR="00636D5A" w:rsidRPr="00163523" w:rsidRDefault="009B2412" w:rsidP="00B40E44">
      <w:pPr>
        <w:rPr>
          <w:color w:val="0D0D0D"/>
          <w:shd w:val="clear" w:color="auto" w:fill="FFFFFF"/>
          <w:lang w:val="en-GB"/>
        </w:rPr>
      </w:pPr>
      <w:r w:rsidRPr="00163523">
        <w:rPr>
          <w:lang w:val="en-GB" w:eastAsia="nl-BE"/>
        </w:rPr>
        <w:t xml:space="preserve">The Baltic </w:t>
      </w:r>
      <w:r w:rsidR="005778C8" w:rsidRPr="00163523">
        <w:rPr>
          <w:lang w:val="en-GB" w:eastAsia="nl-BE"/>
        </w:rPr>
        <w:t xml:space="preserve">Regional </w:t>
      </w:r>
      <w:r w:rsidR="001C49AC" w:rsidRPr="00163523">
        <w:rPr>
          <w:lang w:val="en-GB" w:eastAsia="nl-BE"/>
        </w:rPr>
        <w:t xml:space="preserve">Gas Market countries </w:t>
      </w:r>
      <w:r w:rsidR="00300F5D" w:rsidRPr="00163523">
        <w:rPr>
          <w:lang w:val="en-GB" w:eastAsia="nl-BE"/>
        </w:rPr>
        <w:t xml:space="preserve">have already taken multiple </w:t>
      </w:r>
      <w:r w:rsidR="00C5163F" w:rsidRPr="00163523">
        <w:rPr>
          <w:lang w:val="en-GB" w:eastAsia="nl-BE"/>
        </w:rPr>
        <w:t>initiatives</w:t>
      </w:r>
      <w:r w:rsidRPr="00163523">
        <w:rPr>
          <w:lang w:val="en-GB" w:eastAsia="nl-BE"/>
        </w:rPr>
        <w:t xml:space="preserve"> to diversify </w:t>
      </w:r>
      <w:r w:rsidR="005B6631" w:rsidRPr="00163523">
        <w:rPr>
          <w:lang w:val="en-GB" w:eastAsia="nl-BE"/>
        </w:rPr>
        <w:t xml:space="preserve">their natural gas sourcing </w:t>
      </w:r>
      <w:r w:rsidR="008B4050" w:rsidRPr="00163523">
        <w:rPr>
          <w:lang w:val="en-GB" w:eastAsia="nl-BE"/>
        </w:rPr>
        <w:t xml:space="preserve">in particular </w:t>
      </w:r>
      <w:r w:rsidRPr="00163523">
        <w:rPr>
          <w:lang w:val="en-GB" w:eastAsia="nl-BE"/>
        </w:rPr>
        <w:t xml:space="preserve">through </w:t>
      </w:r>
      <w:r w:rsidR="00AA12BE" w:rsidRPr="00163523">
        <w:rPr>
          <w:lang w:val="en-GB" w:eastAsia="nl-BE"/>
        </w:rPr>
        <w:t xml:space="preserve">existing and </w:t>
      </w:r>
      <w:r w:rsidRPr="00163523">
        <w:rPr>
          <w:lang w:val="en-GB" w:eastAsia="nl-BE"/>
        </w:rPr>
        <w:t>new LNG infrastructure</w:t>
      </w:r>
      <w:r w:rsidR="005B6631" w:rsidRPr="00163523">
        <w:rPr>
          <w:lang w:val="en-GB" w:eastAsia="nl-BE"/>
        </w:rPr>
        <w:t xml:space="preserve">. While </w:t>
      </w:r>
      <w:r w:rsidRPr="00163523">
        <w:rPr>
          <w:color w:val="0D0D0D"/>
          <w:lang w:val="en-GB" w:eastAsia="nl-BE"/>
        </w:rPr>
        <w:t xml:space="preserve">three-quarters of the region’s </w:t>
      </w:r>
      <w:r w:rsidR="00B21215" w:rsidRPr="00163523">
        <w:rPr>
          <w:color w:val="0D0D0D"/>
          <w:lang w:val="en-GB" w:eastAsia="nl-BE"/>
        </w:rPr>
        <w:t xml:space="preserve">natural </w:t>
      </w:r>
      <w:r w:rsidRPr="00163523">
        <w:rPr>
          <w:color w:val="0D0D0D"/>
          <w:lang w:val="en-GB" w:eastAsia="nl-BE"/>
        </w:rPr>
        <w:t>gas imports came from Russia before the invasion of Ukraine</w:t>
      </w:r>
      <w:r w:rsidR="00BA2554" w:rsidRPr="00163523">
        <w:rPr>
          <w:color w:val="0D0D0D"/>
          <w:lang w:val="en-GB" w:eastAsia="nl-BE"/>
        </w:rPr>
        <w:t xml:space="preserve">, the </w:t>
      </w:r>
      <w:r w:rsidRPr="00163523">
        <w:rPr>
          <w:color w:val="0D0D0D"/>
          <w:lang w:val="en-GB" w:eastAsia="nl-BE"/>
        </w:rPr>
        <w:t xml:space="preserve">Baltic </w:t>
      </w:r>
      <w:r w:rsidR="00BA2554" w:rsidRPr="00163523">
        <w:rPr>
          <w:color w:val="0D0D0D"/>
          <w:lang w:val="en-GB" w:eastAsia="nl-BE"/>
        </w:rPr>
        <w:t xml:space="preserve">states have succeeded </w:t>
      </w:r>
      <w:r w:rsidR="00097156" w:rsidRPr="00163523">
        <w:rPr>
          <w:color w:val="0D0D0D"/>
          <w:lang w:val="en-GB" w:eastAsia="nl-BE"/>
        </w:rPr>
        <w:t>in</w:t>
      </w:r>
      <w:r w:rsidR="00BA2554" w:rsidRPr="00163523">
        <w:rPr>
          <w:color w:val="0D0D0D"/>
          <w:lang w:val="en-GB" w:eastAsia="nl-BE"/>
        </w:rPr>
        <w:t xml:space="preserve"> replac</w:t>
      </w:r>
      <w:r w:rsidR="00097156" w:rsidRPr="00163523">
        <w:rPr>
          <w:color w:val="0D0D0D"/>
          <w:lang w:val="en-GB" w:eastAsia="nl-BE"/>
        </w:rPr>
        <w:t>ing</w:t>
      </w:r>
      <w:r w:rsidR="00BA2554" w:rsidRPr="00163523">
        <w:rPr>
          <w:color w:val="0D0D0D"/>
          <w:lang w:val="en-GB" w:eastAsia="nl-BE"/>
        </w:rPr>
        <w:t xml:space="preserve"> this source </w:t>
      </w:r>
      <w:r w:rsidR="00EF11FC" w:rsidRPr="00163523">
        <w:rPr>
          <w:color w:val="0D0D0D"/>
          <w:lang w:val="en-GB" w:eastAsia="nl-BE"/>
        </w:rPr>
        <w:t xml:space="preserve">mainly </w:t>
      </w:r>
      <w:r w:rsidRPr="00163523">
        <w:rPr>
          <w:color w:val="0D0D0D"/>
          <w:lang w:val="en-GB" w:eastAsia="nl-BE"/>
        </w:rPr>
        <w:t xml:space="preserve">through the new shared Estonia-Finland LNG terminal in </w:t>
      </w:r>
      <w:proofErr w:type="spellStart"/>
      <w:r w:rsidRPr="00163523">
        <w:rPr>
          <w:color w:val="0D0D0D"/>
          <w:lang w:val="en-GB" w:eastAsia="nl-BE"/>
        </w:rPr>
        <w:t>Inkoo</w:t>
      </w:r>
      <w:proofErr w:type="spellEnd"/>
      <w:r w:rsidRPr="00163523">
        <w:rPr>
          <w:color w:val="0D0D0D"/>
          <w:lang w:val="en-GB" w:eastAsia="nl-BE"/>
        </w:rPr>
        <w:t>, Finland, as well as the Klaipeda LNG terminal in Lithuania. </w:t>
      </w:r>
      <w:r w:rsidR="00982A25" w:rsidRPr="00163523">
        <w:rPr>
          <w:color w:val="0D0D0D"/>
          <w:shd w:val="clear" w:color="auto" w:fill="FFFFFF"/>
          <w:lang w:val="en-GB"/>
        </w:rPr>
        <w:t xml:space="preserve">A new LNG terminal </w:t>
      </w:r>
      <w:r w:rsidR="001E2388" w:rsidRPr="00163523">
        <w:rPr>
          <w:color w:val="0D0D0D"/>
          <w:shd w:val="clear" w:color="auto" w:fill="FFFFFF"/>
          <w:lang w:val="en-GB"/>
        </w:rPr>
        <w:t>was</w:t>
      </w:r>
      <w:r w:rsidR="00755365" w:rsidRPr="00163523">
        <w:rPr>
          <w:color w:val="0D0D0D"/>
          <w:shd w:val="clear" w:color="auto" w:fill="FFFFFF"/>
          <w:lang w:val="en-GB"/>
        </w:rPr>
        <w:t xml:space="preserve"> considered</w:t>
      </w:r>
      <w:r w:rsidR="00982A25" w:rsidRPr="00163523">
        <w:rPr>
          <w:color w:val="0D0D0D"/>
          <w:shd w:val="clear" w:color="auto" w:fill="FFFFFF"/>
          <w:lang w:val="en-GB"/>
        </w:rPr>
        <w:t xml:space="preserve"> in Latvia. An international group of investors </w:t>
      </w:r>
      <w:r w:rsidR="00755365" w:rsidRPr="00163523">
        <w:rPr>
          <w:color w:val="0D0D0D"/>
          <w:shd w:val="clear" w:color="auto" w:fill="FFFFFF"/>
          <w:lang w:val="en-GB"/>
        </w:rPr>
        <w:t xml:space="preserve">had </w:t>
      </w:r>
      <w:r w:rsidR="00982A25" w:rsidRPr="00163523">
        <w:rPr>
          <w:color w:val="0D0D0D"/>
          <w:shd w:val="clear" w:color="auto" w:fill="FFFFFF"/>
          <w:lang w:val="en-GB"/>
        </w:rPr>
        <w:t>commit</w:t>
      </w:r>
      <w:r w:rsidR="00755365" w:rsidRPr="00163523">
        <w:rPr>
          <w:color w:val="0D0D0D"/>
          <w:shd w:val="clear" w:color="auto" w:fill="FFFFFF"/>
          <w:lang w:val="en-GB"/>
        </w:rPr>
        <w:t>ted to invest</w:t>
      </w:r>
      <w:r w:rsidR="00982A25" w:rsidRPr="00163523">
        <w:rPr>
          <w:color w:val="0D0D0D"/>
          <w:shd w:val="clear" w:color="auto" w:fill="FFFFFF"/>
          <w:lang w:val="en-GB"/>
        </w:rPr>
        <w:t xml:space="preserve"> €</w:t>
      </w:r>
      <w:r w:rsidR="00182558" w:rsidRPr="00163523">
        <w:rPr>
          <w:color w:val="0D0D0D"/>
          <w:shd w:val="clear" w:color="auto" w:fill="FFFFFF"/>
          <w:lang w:val="en-GB"/>
        </w:rPr>
        <w:t xml:space="preserve"> </w:t>
      </w:r>
      <w:r w:rsidR="00982A25" w:rsidRPr="00163523">
        <w:rPr>
          <w:color w:val="0D0D0D"/>
          <w:shd w:val="clear" w:color="auto" w:fill="FFFFFF"/>
          <w:lang w:val="en-GB"/>
        </w:rPr>
        <w:t>150</w:t>
      </w:r>
      <w:r w:rsidR="00182558" w:rsidRPr="00163523">
        <w:rPr>
          <w:color w:val="0D0D0D"/>
          <w:shd w:val="clear" w:color="auto" w:fill="FFFFFF"/>
          <w:lang w:val="en-GB"/>
        </w:rPr>
        <w:t xml:space="preserve"> </w:t>
      </w:r>
      <w:r w:rsidR="00982A25" w:rsidRPr="00163523">
        <w:rPr>
          <w:color w:val="0D0D0D"/>
          <w:shd w:val="clear" w:color="auto" w:fill="FFFFFF"/>
          <w:lang w:val="en-GB"/>
        </w:rPr>
        <w:t>m</w:t>
      </w:r>
      <w:r w:rsidR="00182558" w:rsidRPr="00163523">
        <w:rPr>
          <w:color w:val="0D0D0D"/>
          <w:shd w:val="clear" w:color="auto" w:fill="FFFFFF"/>
          <w:lang w:val="en-GB"/>
        </w:rPr>
        <w:t>illion</w:t>
      </w:r>
      <w:r w:rsidR="00982A25" w:rsidRPr="00163523">
        <w:rPr>
          <w:color w:val="0D0D0D"/>
          <w:shd w:val="clear" w:color="auto" w:fill="FFFFFF"/>
          <w:lang w:val="en-GB"/>
        </w:rPr>
        <w:t xml:space="preserve"> in a floating regasification unit in the </w:t>
      </w:r>
      <w:proofErr w:type="spellStart"/>
      <w:r w:rsidR="00982A25" w:rsidRPr="00163523">
        <w:rPr>
          <w:color w:val="0D0D0D"/>
          <w:shd w:val="clear" w:color="auto" w:fill="FFFFFF"/>
          <w:lang w:val="en-GB"/>
        </w:rPr>
        <w:t>Skulte</w:t>
      </w:r>
      <w:proofErr w:type="spellEnd"/>
      <w:r w:rsidR="00982A25" w:rsidRPr="00163523">
        <w:rPr>
          <w:color w:val="0D0D0D"/>
          <w:shd w:val="clear" w:color="auto" w:fill="FFFFFF"/>
          <w:lang w:val="en-GB"/>
        </w:rPr>
        <w:t xml:space="preserve"> Port area, 2.5 km offshore off the coast, with a 34</w:t>
      </w:r>
      <w:r w:rsidR="00182558" w:rsidRPr="00163523">
        <w:rPr>
          <w:color w:val="0D0D0D"/>
          <w:shd w:val="clear" w:color="auto" w:fill="FFFFFF"/>
          <w:lang w:val="en-GB"/>
        </w:rPr>
        <w:t xml:space="preserve"> </w:t>
      </w:r>
      <w:r w:rsidR="00982A25" w:rsidRPr="00163523">
        <w:rPr>
          <w:color w:val="0D0D0D"/>
          <w:shd w:val="clear" w:color="auto" w:fill="FFFFFF"/>
          <w:lang w:val="en-GB"/>
        </w:rPr>
        <w:t xml:space="preserve">km pipeline connection to the vast </w:t>
      </w:r>
      <w:proofErr w:type="spellStart"/>
      <w:r w:rsidR="00A91328" w:rsidRPr="00163523">
        <w:rPr>
          <w:color w:val="0D0D0D"/>
          <w:shd w:val="clear" w:color="auto" w:fill="FFFFFF"/>
          <w:lang w:val="en-GB"/>
        </w:rPr>
        <w:t>Inčukalns</w:t>
      </w:r>
      <w:proofErr w:type="spellEnd"/>
      <w:r w:rsidR="00982A25" w:rsidRPr="00163523">
        <w:rPr>
          <w:color w:val="0D0D0D"/>
          <w:shd w:val="clear" w:color="auto" w:fill="FFFFFF"/>
          <w:lang w:val="en-GB"/>
        </w:rPr>
        <w:t xml:space="preserve"> underground gas storage facility. The investors have demanded state guarantees in case </w:t>
      </w:r>
      <w:r w:rsidR="004F626C" w:rsidRPr="00163523">
        <w:rPr>
          <w:color w:val="0D0D0D"/>
          <w:shd w:val="clear" w:color="auto" w:fill="FFFFFF"/>
          <w:lang w:val="en-GB"/>
        </w:rPr>
        <w:t xml:space="preserve">the </w:t>
      </w:r>
      <w:r w:rsidR="00881297" w:rsidRPr="00163523">
        <w:rPr>
          <w:color w:val="0D0D0D"/>
          <w:shd w:val="clear" w:color="auto" w:fill="FFFFFF"/>
          <w:lang w:val="en-GB"/>
        </w:rPr>
        <w:t xml:space="preserve">gas </w:t>
      </w:r>
      <w:r w:rsidR="00982A25" w:rsidRPr="00163523">
        <w:rPr>
          <w:color w:val="0D0D0D"/>
          <w:shd w:val="clear" w:color="auto" w:fill="FFFFFF"/>
          <w:lang w:val="en-GB"/>
        </w:rPr>
        <w:t xml:space="preserve">demand </w:t>
      </w:r>
      <w:r w:rsidR="00881297" w:rsidRPr="00163523">
        <w:rPr>
          <w:color w:val="0D0D0D"/>
          <w:shd w:val="clear" w:color="auto" w:fill="FFFFFF"/>
          <w:lang w:val="en-GB"/>
        </w:rPr>
        <w:t xml:space="preserve">would </w:t>
      </w:r>
      <w:r w:rsidR="00982A25" w:rsidRPr="00163523">
        <w:rPr>
          <w:color w:val="0D0D0D"/>
          <w:shd w:val="clear" w:color="auto" w:fill="FFFFFF"/>
          <w:lang w:val="en-GB"/>
        </w:rPr>
        <w:t xml:space="preserve">fall below </w:t>
      </w:r>
      <w:r w:rsidR="00881297" w:rsidRPr="00163523">
        <w:rPr>
          <w:color w:val="0D0D0D"/>
          <w:shd w:val="clear" w:color="auto" w:fill="FFFFFF"/>
          <w:lang w:val="en-GB"/>
        </w:rPr>
        <w:t xml:space="preserve">the </w:t>
      </w:r>
      <w:r w:rsidR="00982A25" w:rsidRPr="00163523">
        <w:rPr>
          <w:color w:val="0D0D0D"/>
          <w:shd w:val="clear" w:color="auto" w:fill="FFFFFF"/>
          <w:lang w:val="en-GB"/>
        </w:rPr>
        <w:t>current estimates.</w:t>
      </w:r>
      <w:r w:rsidR="00B32B41" w:rsidRPr="00163523">
        <w:rPr>
          <w:rStyle w:val="Voetnootmarkering"/>
          <w:color w:val="0D0D0D"/>
          <w:szCs w:val="18"/>
          <w:shd w:val="clear" w:color="auto" w:fill="FFFFFF"/>
          <w:lang w:val="en-GB"/>
        </w:rPr>
        <w:footnoteReference w:id="52"/>
      </w:r>
      <w:r w:rsidR="008A5141" w:rsidRPr="00163523">
        <w:rPr>
          <w:color w:val="0D0D0D"/>
          <w:shd w:val="clear" w:color="auto" w:fill="FFFFFF"/>
          <w:lang w:val="en-GB"/>
        </w:rPr>
        <w:t xml:space="preserve"> </w:t>
      </w:r>
      <w:r w:rsidR="007A0353" w:rsidRPr="00163523">
        <w:rPr>
          <w:color w:val="0D0D0D"/>
          <w:shd w:val="clear" w:color="auto" w:fill="FFFFFF"/>
          <w:lang w:val="en-GB"/>
        </w:rPr>
        <w:t xml:space="preserve">Meanwhile, the </w:t>
      </w:r>
      <w:r w:rsidR="000B14A7" w:rsidRPr="00163523">
        <w:rPr>
          <w:color w:val="0D0D0D"/>
          <w:shd w:val="clear" w:color="auto" w:fill="FFFFFF"/>
          <w:lang w:val="en-GB"/>
        </w:rPr>
        <w:t xml:space="preserve">Latvian government has decided not to pursue this </w:t>
      </w:r>
      <w:r w:rsidR="007641F2" w:rsidRPr="00163523">
        <w:rPr>
          <w:color w:val="0D0D0D"/>
          <w:shd w:val="clear" w:color="auto" w:fill="FFFFFF"/>
          <w:lang w:val="en-GB"/>
        </w:rPr>
        <w:t>project</w:t>
      </w:r>
      <w:r w:rsidR="00D1265D" w:rsidRPr="00163523">
        <w:rPr>
          <w:color w:val="0D0D0D"/>
          <w:shd w:val="clear" w:color="auto" w:fill="FFFFFF"/>
          <w:lang w:val="en-GB"/>
        </w:rPr>
        <w:t xml:space="preserve">, and the Estonian and Latvian authorities have </w:t>
      </w:r>
      <w:r w:rsidR="00720899" w:rsidRPr="00163523">
        <w:rPr>
          <w:color w:val="0D0D0D"/>
          <w:shd w:val="clear" w:color="auto" w:fill="FFFFFF"/>
          <w:lang w:val="en-GB"/>
        </w:rPr>
        <w:lastRenderedPageBreak/>
        <w:t xml:space="preserve">reached an agreement on </w:t>
      </w:r>
      <w:r w:rsidR="00532BD7" w:rsidRPr="00163523">
        <w:rPr>
          <w:color w:val="0D0D0D"/>
          <w:shd w:val="clear" w:color="auto" w:fill="FFFFFF"/>
          <w:lang w:val="en-GB"/>
        </w:rPr>
        <w:t>a potential floating LNG terminal in Estonia.</w:t>
      </w:r>
      <w:r w:rsidR="00394239" w:rsidRPr="00163523">
        <w:rPr>
          <w:rStyle w:val="Voetnootmarkering"/>
          <w:color w:val="0D0D0D"/>
          <w:shd w:val="clear" w:color="auto" w:fill="FFFFFF"/>
          <w:lang w:val="en-GB"/>
        </w:rPr>
        <w:footnoteReference w:id="53"/>
      </w:r>
      <w:r w:rsidR="00A53114" w:rsidRPr="00163523">
        <w:rPr>
          <w:color w:val="0D0D0D"/>
          <w:shd w:val="clear" w:color="auto" w:fill="FFFFFF"/>
          <w:lang w:val="en-GB"/>
        </w:rPr>
        <w:t xml:space="preserve"> </w:t>
      </w:r>
      <w:r w:rsidR="00D87A3D" w:rsidRPr="00163523">
        <w:rPr>
          <w:color w:val="0D0D0D"/>
          <w:shd w:val="clear" w:color="auto" w:fill="FFFFFF"/>
          <w:lang w:val="en-GB"/>
        </w:rPr>
        <w:t>Recent investments in</w:t>
      </w:r>
      <w:r w:rsidR="00A83C25" w:rsidRPr="00163523">
        <w:rPr>
          <w:color w:val="0D0D0D"/>
          <w:shd w:val="clear" w:color="auto" w:fill="FFFFFF"/>
          <w:lang w:val="en-GB"/>
        </w:rPr>
        <w:t xml:space="preserve"> the </w:t>
      </w:r>
      <w:proofErr w:type="spellStart"/>
      <w:r w:rsidR="00A83C25" w:rsidRPr="00163523">
        <w:rPr>
          <w:color w:val="0D0D0D"/>
          <w:shd w:val="clear" w:color="auto" w:fill="FFFFFF"/>
          <w:lang w:val="en-GB"/>
        </w:rPr>
        <w:t>Balticonnector</w:t>
      </w:r>
      <w:proofErr w:type="spellEnd"/>
      <w:r w:rsidR="00A83C25" w:rsidRPr="00163523">
        <w:rPr>
          <w:color w:val="0D0D0D"/>
          <w:shd w:val="clear" w:color="auto" w:fill="FFFFFF"/>
          <w:lang w:val="en-GB"/>
        </w:rPr>
        <w:t xml:space="preserve"> pipeline (</w:t>
      </w:r>
      <w:r w:rsidR="00EF376F" w:rsidRPr="00163523">
        <w:rPr>
          <w:color w:val="0D0D0D"/>
          <w:shd w:val="clear" w:color="auto" w:fill="FFFFFF"/>
          <w:lang w:val="en-GB"/>
        </w:rPr>
        <w:t>Finland</w:t>
      </w:r>
      <w:r w:rsidR="00A83C25" w:rsidRPr="00163523">
        <w:rPr>
          <w:color w:val="0D0D0D"/>
          <w:shd w:val="clear" w:color="auto" w:fill="FFFFFF"/>
          <w:lang w:val="en-GB"/>
        </w:rPr>
        <w:t>-Estonia)</w:t>
      </w:r>
      <w:r w:rsidR="001930F8" w:rsidRPr="00163523">
        <w:rPr>
          <w:color w:val="0D0D0D"/>
          <w:shd w:val="clear" w:color="auto" w:fill="FFFFFF"/>
          <w:lang w:val="en-GB"/>
        </w:rPr>
        <w:t xml:space="preserve"> and in the</w:t>
      </w:r>
      <w:r w:rsidR="00F209A0" w:rsidRPr="00163523">
        <w:rPr>
          <w:color w:val="0D0D0D"/>
          <w:shd w:val="clear" w:color="auto" w:fill="FFFFFF"/>
          <w:lang w:val="en-GB"/>
        </w:rPr>
        <w:t xml:space="preserve"> </w:t>
      </w:r>
      <w:r w:rsidR="008A5141" w:rsidRPr="00163523">
        <w:rPr>
          <w:color w:val="0D0D0D"/>
          <w:shd w:val="clear" w:color="auto" w:fill="FFFFFF"/>
          <w:lang w:val="en-GB"/>
        </w:rPr>
        <w:t xml:space="preserve">gas interconnector between Poland and the Baltic States </w:t>
      </w:r>
      <w:r w:rsidR="00A92545" w:rsidRPr="00163523">
        <w:rPr>
          <w:color w:val="0D0D0D"/>
          <w:shd w:val="clear" w:color="auto" w:fill="FFFFFF"/>
          <w:lang w:val="en-GB"/>
        </w:rPr>
        <w:t>(</w:t>
      </w:r>
      <w:r w:rsidR="008A5141" w:rsidRPr="00163523">
        <w:rPr>
          <w:color w:val="0D0D0D"/>
          <w:shd w:val="clear" w:color="auto" w:fill="FFFFFF"/>
          <w:lang w:val="en-GB"/>
        </w:rPr>
        <w:t>commissioned in 2022</w:t>
      </w:r>
      <w:r w:rsidR="00A92545" w:rsidRPr="00163523">
        <w:rPr>
          <w:color w:val="0D0D0D"/>
          <w:shd w:val="clear" w:color="auto" w:fill="FFFFFF"/>
          <w:lang w:val="en-GB"/>
        </w:rPr>
        <w:t>)</w:t>
      </w:r>
      <w:r w:rsidR="004352FE" w:rsidRPr="00163523">
        <w:rPr>
          <w:color w:val="0D0D0D"/>
          <w:shd w:val="clear" w:color="auto" w:fill="FFFFFF"/>
          <w:lang w:val="en-GB"/>
        </w:rPr>
        <w:t>,</w:t>
      </w:r>
      <w:r w:rsidR="00EF376F" w:rsidRPr="00163523">
        <w:rPr>
          <w:color w:val="0D0D0D"/>
          <w:shd w:val="clear" w:color="auto" w:fill="FFFFFF"/>
          <w:lang w:val="en-GB"/>
        </w:rPr>
        <w:t xml:space="preserve"> are</w:t>
      </w:r>
      <w:r w:rsidR="008A5141" w:rsidRPr="00163523">
        <w:rPr>
          <w:color w:val="0D0D0D"/>
          <w:shd w:val="clear" w:color="auto" w:fill="FFFFFF"/>
          <w:lang w:val="en-GB"/>
        </w:rPr>
        <w:t xml:space="preserve"> also a</w:t>
      </w:r>
      <w:r w:rsidR="00F227A2" w:rsidRPr="00163523">
        <w:rPr>
          <w:color w:val="0D0D0D"/>
          <w:shd w:val="clear" w:color="auto" w:fill="FFFFFF"/>
          <w:lang w:val="en-GB"/>
        </w:rPr>
        <w:t xml:space="preserve"> key pilar in the region’s strategy to </w:t>
      </w:r>
      <w:r w:rsidR="00ED483D" w:rsidRPr="00163523">
        <w:rPr>
          <w:color w:val="0D0D0D"/>
          <w:shd w:val="clear" w:color="auto" w:fill="FFFFFF"/>
          <w:lang w:val="en-GB"/>
        </w:rPr>
        <w:t xml:space="preserve">enhance its security of gas supply while remaining independent from Russia’s </w:t>
      </w:r>
      <w:r w:rsidR="003C2E80" w:rsidRPr="00163523">
        <w:rPr>
          <w:color w:val="0D0D0D"/>
          <w:shd w:val="clear" w:color="auto" w:fill="FFFFFF"/>
          <w:lang w:val="en-GB"/>
        </w:rPr>
        <w:t xml:space="preserve">gas </w:t>
      </w:r>
      <w:r w:rsidR="00ED483D" w:rsidRPr="00163523">
        <w:rPr>
          <w:color w:val="0D0D0D"/>
          <w:shd w:val="clear" w:color="auto" w:fill="FFFFFF"/>
          <w:lang w:val="en-GB"/>
        </w:rPr>
        <w:t>imports.</w:t>
      </w:r>
      <w:r w:rsidR="006450F0" w:rsidRPr="00163523">
        <w:rPr>
          <w:color w:val="0D0D0D"/>
          <w:shd w:val="clear" w:color="auto" w:fill="FFFFFF"/>
          <w:lang w:val="en-GB"/>
        </w:rPr>
        <w:t xml:space="preserve"> </w:t>
      </w:r>
    </w:p>
    <w:p w14:paraId="027FEBEF" w14:textId="77777777" w:rsidR="00B40E44" w:rsidRPr="00163523" w:rsidRDefault="00B40E44" w:rsidP="00CE0AC5">
      <w:pPr>
        <w:rPr>
          <w:color w:val="0D0D0D"/>
          <w:shd w:val="clear" w:color="auto" w:fill="FFFFFF"/>
          <w:lang w:val="en-GB"/>
        </w:rPr>
      </w:pPr>
    </w:p>
    <w:p w14:paraId="2625A644" w14:textId="77777777" w:rsidR="00FE73DD" w:rsidRPr="00163523" w:rsidRDefault="006D1E96" w:rsidP="00B40E44">
      <w:pPr>
        <w:rPr>
          <w:shd w:val="clear" w:color="auto" w:fill="FFFFFF"/>
          <w:lang w:val="en-GB"/>
        </w:rPr>
      </w:pPr>
      <w:r w:rsidRPr="00163523">
        <w:rPr>
          <w:shd w:val="clear" w:color="auto" w:fill="FFFFFF"/>
          <w:lang w:val="en-GB"/>
        </w:rPr>
        <w:t>The</w:t>
      </w:r>
      <w:r w:rsidR="00EF376F" w:rsidRPr="00163523">
        <w:rPr>
          <w:shd w:val="clear" w:color="auto" w:fill="FFFFFF"/>
          <w:lang w:val="en-GB"/>
        </w:rPr>
        <w:t>se</w:t>
      </w:r>
      <w:r w:rsidRPr="00163523">
        <w:rPr>
          <w:shd w:val="clear" w:color="auto" w:fill="FFFFFF"/>
          <w:lang w:val="en-GB"/>
        </w:rPr>
        <w:t xml:space="preserve"> recent</w:t>
      </w:r>
      <w:r w:rsidR="006450F0" w:rsidRPr="00163523">
        <w:rPr>
          <w:shd w:val="clear" w:color="auto" w:fill="FFFFFF"/>
          <w:lang w:val="en-GB"/>
        </w:rPr>
        <w:t xml:space="preserve">, ongoing and planned </w:t>
      </w:r>
      <w:r w:rsidRPr="00163523">
        <w:rPr>
          <w:shd w:val="clear" w:color="auto" w:fill="FFFFFF"/>
          <w:lang w:val="en-GB"/>
        </w:rPr>
        <w:t>investments</w:t>
      </w:r>
      <w:r w:rsidR="006450F0" w:rsidRPr="00163523">
        <w:rPr>
          <w:shd w:val="clear" w:color="auto" w:fill="FFFFFF"/>
          <w:lang w:val="en-GB"/>
        </w:rPr>
        <w:t xml:space="preserve"> in natural gas infrastructure </w:t>
      </w:r>
      <w:r w:rsidR="00E62277" w:rsidRPr="00163523">
        <w:rPr>
          <w:shd w:val="clear" w:color="auto" w:fill="FFFFFF"/>
          <w:lang w:val="en-GB"/>
        </w:rPr>
        <w:t xml:space="preserve">(and the </w:t>
      </w:r>
      <w:r w:rsidR="00575A08" w:rsidRPr="00163523">
        <w:rPr>
          <w:shd w:val="clear" w:color="auto" w:fill="FFFFFF"/>
          <w:lang w:val="en-GB"/>
        </w:rPr>
        <w:t>expectation that natural gas prices will</w:t>
      </w:r>
      <w:r w:rsidR="004211F2" w:rsidRPr="00163523">
        <w:rPr>
          <w:shd w:val="clear" w:color="auto" w:fill="FFFFFF"/>
          <w:lang w:val="en-GB"/>
        </w:rPr>
        <w:t>,</w:t>
      </w:r>
      <w:r w:rsidR="00575A08" w:rsidRPr="00163523">
        <w:rPr>
          <w:shd w:val="clear" w:color="auto" w:fill="FFFFFF"/>
          <w:lang w:val="en-GB"/>
        </w:rPr>
        <w:t xml:space="preserve"> </w:t>
      </w:r>
      <w:r w:rsidR="001C73A6" w:rsidRPr="00163523">
        <w:rPr>
          <w:shd w:val="clear" w:color="auto" w:fill="FFFFFF"/>
          <w:lang w:val="en-GB"/>
        </w:rPr>
        <w:t xml:space="preserve">after having reached their </w:t>
      </w:r>
      <w:r w:rsidR="000C68D6" w:rsidRPr="00163523">
        <w:rPr>
          <w:shd w:val="clear" w:color="auto" w:fill="FFFFFF"/>
          <w:lang w:val="en-GB"/>
        </w:rPr>
        <w:t>peak level in 2022</w:t>
      </w:r>
      <w:r w:rsidR="004211F2" w:rsidRPr="00163523">
        <w:rPr>
          <w:shd w:val="clear" w:color="auto" w:fill="FFFFFF"/>
          <w:lang w:val="en-GB"/>
        </w:rPr>
        <w:t>,</w:t>
      </w:r>
      <w:r w:rsidR="000C68D6" w:rsidRPr="00163523">
        <w:rPr>
          <w:shd w:val="clear" w:color="auto" w:fill="FFFFFF"/>
          <w:lang w:val="en-GB"/>
        </w:rPr>
        <w:t xml:space="preserve"> </w:t>
      </w:r>
      <w:r w:rsidR="006448C2" w:rsidRPr="00163523">
        <w:rPr>
          <w:shd w:val="clear" w:color="auto" w:fill="FFFFFF"/>
          <w:lang w:val="en-GB"/>
        </w:rPr>
        <w:t xml:space="preserve">further </w:t>
      </w:r>
      <w:r w:rsidR="000474CB" w:rsidRPr="00163523">
        <w:rPr>
          <w:shd w:val="clear" w:color="auto" w:fill="FFFFFF"/>
          <w:lang w:val="en-GB"/>
        </w:rPr>
        <w:t>decre</w:t>
      </w:r>
      <w:r w:rsidR="00E87B2F" w:rsidRPr="00163523">
        <w:rPr>
          <w:shd w:val="clear" w:color="auto" w:fill="FFFFFF"/>
          <w:lang w:val="en-GB"/>
        </w:rPr>
        <w:t xml:space="preserve">ase to </w:t>
      </w:r>
      <w:r w:rsidR="00D73D25" w:rsidRPr="00163523">
        <w:rPr>
          <w:shd w:val="clear" w:color="auto" w:fill="FFFFFF"/>
          <w:lang w:val="en-GB"/>
        </w:rPr>
        <w:t xml:space="preserve">structurally lower and hence </w:t>
      </w:r>
      <w:r w:rsidR="0076314C" w:rsidRPr="00163523">
        <w:rPr>
          <w:shd w:val="clear" w:color="auto" w:fill="FFFFFF"/>
          <w:lang w:val="en-GB"/>
        </w:rPr>
        <w:t>more comp</w:t>
      </w:r>
      <w:r w:rsidR="006448C2" w:rsidRPr="00163523">
        <w:rPr>
          <w:shd w:val="clear" w:color="auto" w:fill="FFFFFF"/>
          <w:lang w:val="en-GB"/>
        </w:rPr>
        <w:t xml:space="preserve">etitive and affordable levels) </w:t>
      </w:r>
      <w:r w:rsidR="0010656E" w:rsidRPr="00163523">
        <w:rPr>
          <w:shd w:val="clear" w:color="auto" w:fill="FFFFFF"/>
          <w:lang w:val="en-GB"/>
        </w:rPr>
        <w:t>may</w:t>
      </w:r>
      <w:r w:rsidR="006450F0" w:rsidRPr="00163523">
        <w:rPr>
          <w:shd w:val="clear" w:color="auto" w:fill="FFFFFF"/>
          <w:lang w:val="en-GB"/>
        </w:rPr>
        <w:t xml:space="preserve"> lead to </w:t>
      </w:r>
      <w:r w:rsidR="0010656E" w:rsidRPr="00163523">
        <w:rPr>
          <w:shd w:val="clear" w:color="auto" w:fill="FFFFFF"/>
          <w:lang w:val="en-GB"/>
        </w:rPr>
        <w:t xml:space="preserve">a </w:t>
      </w:r>
      <w:r w:rsidR="005B3C1C" w:rsidRPr="00163523">
        <w:rPr>
          <w:shd w:val="clear" w:color="auto" w:fill="FFFFFF"/>
          <w:lang w:val="en-GB"/>
        </w:rPr>
        <w:t xml:space="preserve">structural </w:t>
      </w:r>
      <w:r w:rsidR="006450F0" w:rsidRPr="00163523">
        <w:rPr>
          <w:shd w:val="clear" w:color="auto" w:fill="FFFFFF"/>
          <w:lang w:val="en-GB"/>
        </w:rPr>
        <w:t xml:space="preserve">lock-in </w:t>
      </w:r>
      <w:r w:rsidR="0032028C" w:rsidRPr="00163523">
        <w:rPr>
          <w:shd w:val="clear" w:color="auto" w:fill="FFFFFF"/>
          <w:lang w:val="en-GB"/>
        </w:rPr>
        <w:t xml:space="preserve">on natural gas and delay the transition to </w:t>
      </w:r>
      <w:r w:rsidR="00ED3F9B" w:rsidRPr="00163523">
        <w:rPr>
          <w:shd w:val="clear" w:color="auto" w:fill="FFFFFF"/>
          <w:lang w:val="en-GB"/>
        </w:rPr>
        <w:t xml:space="preserve">decarbonization options including electrification of building heating and </w:t>
      </w:r>
      <w:r w:rsidR="0032028C" w:rsidRPr="00163523">
        <w:rPr>
          <w:shd w:val="clear" w:color="auto" w:fill="FFFFFF"/>
          <w:lang w:val="en-GB"/>
        </w:rPr>
        <w:t>s</w:t>
      </w:r>
      <w:r w:rsidR="00ED3F9B" w:rsidRPr="00163523">
        <w:rPr>
          <w:shd w:val="clear" w:color="auto" w:fill="FFFFFF"/>
          <w:lang w:val="en-GB"/>
        </w:rPr>
        <w:t>witch</w:t>
      </w:r>
      <w:r w:rsidR="009D1AA3" w:rsidRPr="00163523">
        <w:rPr>
          <w:shd w:val="clear" w:color="auto" w:fill="FFFFFF"/>
          <w:lang w:val="en-GB"/>
        </w:rPr>
        <w:t>ing</w:t>
      </w:r>
      <w:r w:rsidR="00ED3F9B" w:rsidRPr="00163523">
        <w:rPr>
          <w:shd w:val="clear" w:color="auto" w:fill="FFFFFF"/>
          <w:lang w:val="en-GB"/>
        </w:rPr>
        <w:t xml:space="preserve"> to renewable gas. </w:t>
      </w:r>
      <w:r w:rsidR="00BF3ECF" w:rsidRPr="00163523">
        <w:rPr>
          <w:shd w:val="clear" w:color="auto" w:fill="FFFFFF"/>
          <w:lang w:val="en-GB"/>
        </w:rPr>
        <w:t>I</w:t>
      </w:r>
      <w:r w:rsidR="00467538" w:rsidRPr="00163523">
        <w:rPr>
          <w:shd w:val="clear" w:color="auto" w:fill="FFFFFF"/>
          <w:lang w:val="en-GB"/>
        </w:rPr>
        <w:t xml:space="preserve">nvestments in </w:t>
      </w:r>
      <w:r w:rsidR="000C68D6" w:rsidRPr="00163523">
        <w:rPr>
          <w:shd w:val="clear" w:color="auto" w:fill="FFFFFF"/>
          <w:lang w:val="en-GB"/>
        </w:rPr>
        <w:t xml:space="preserve">floating </w:t>
      </w:r>
      <w:r w:rsidR="009D1AA3" w:rsidRPr="00163523">
        <w:rPr>
          <w:shd w:val="clear" w:color="auto" w:fill="FFFFFF"/>
          <w:lang w:val="en-GB"/>
        </w:rPr>
        <w:t xml:space="preserve">LNG </w:t>
      </w:r>
      <w:r w:rsidR="0032028C" w:rsidRPr="00163523">
        <w:rPr>
          <w:shd w:val="clear" w:color="auto" w:fill="FFFFFF"/>
          <w:lang w:val="en-GB"/>
        </w:rPr>
        <w:t>i</w:t>
      </w:r>
      <w:r w:rsidR="000C68D6" w:rsidRPr="00163523">
        <w:rPr>
          <w:shd w:val="clear" w:color="auto" w:fill="FFFFFF"/>
          <w:lang w:val="en-GB"/>
        </w:rPr>
        <w:t>nstall</w:t>
      </w:r>
      <w:r w:rsidR="00467538" w:rsidRPr="00163523">
        <w:rPr>
          <w:shd w:val="clear" w:color="auto" w:fill="FFFFFF"/>
          <w:lang w:val="en-GB"/>
        </w:rPr>
        <w:t xml:space="preserve">ations </w:t>
      </w:r>
      <w:r w:rsidR="003A42C0" w:rsidRPr="00163523">
        <w:rPr>
          <w:shd w:val="clear" w:color="auto" w:fill="FFFFFF"/>
          <w:lang w:val="en-GB"/>
        </w:rPr>
        <w:t>are in principle flexible</w:t>
      </w:r>
      <w:r w:rsidR="009D1AA3" w:rsidRPr="00163523">
        <w:rPr>
          <w:shd w:val="clear" w:color="auto" w:fill="FFFFFF"/>
          <w:lang w:val="en-GB"/>
        </w:rPr>
        <w:t xml:space="preserve"> </w:t>
      </w:r>
      <w:r w:rsidR="008247AD" w:rsidRPr="00163523">
        <w:rPr>
          <w:shd w:val="clear" w:color="auto" w:fill="FFFFFF"/>
          <w:lang w:val="en-GB"/>
        </w:rPr>
        <w:t xml:space="preserve">and present </w:t>
      </w:r>
      <w:r w:rsidR="00BD2AC0" w:rsidRPr="00163523">
        <w:rPr>
          <w:shd w:val="clear" w:color="auto" w:fill="FFFFFF"/>
          <w:lang w:val="en-GB"/>
        </w:rPr>
        <w:t xml:space="preserve">lower </w:t>
      </w:r>
      <w:r w:rsidR="008247AD" w:rsidRPr="00163523">
        <w:rPr>
          <w:shd w:val="clear" w:color="auto" w:fill="FFFFFF"/>
          <w:lang w:val="en-GB"/>
        </w:rPr>
        <w:t xml:space="preserve">risks </w:t>
      </w:r>
      <w:r w:rsidR="00F82176" w:rsidRPr="00163523">
        <w:rPr>
          <w:shd w:val="clear" w:color="auto" w:fill="FFFFFF"/>
          <w:lang w:val="en-GB"/>
        </w:rPr>
        <w:t xml:space="preserve">than fixed installations </w:t>
      </w:r>
      <w:r w:rsidR="008247AD" w:rsidRPr="00163523">
        <w:rPr>
          <w:shd w:val="clear" w:color="auto" w:fill="FFFFFF"/>
          <w:lang w:val="en-GB"/>
        </w:rPr>
        <w:t>for asset stranding</w:t>
      </w:r>
      <w:r w:rsidR="003A42C0" w:rsidRPr="00163523">
        <w:rPr>
          <w:shd w:val="clear" w:color="auto" w:fill="FFFFFF"/>
          <w:lang w:val="en-GB"/>
        </w:rPr>
        <w:t xml:space="preserve">, </w:t>
      </w:r>
      <w:r w:rsidR="00F82176" w:rsidRPr="00163523">
        <w:rPr>
          <w:shd w:val="clear" w:color="auto" w:fill="FFFFFF"/>
          <w:lang w:val="en-GB"/>
        </w:rPr>
        <w:t xml:space="preserve">but they still </w:t>
      </w:r>
      <w:r w:rsidR="00FC3705" w:rsidRPr="00163523">
        <w:rPr>
          <w:shd w:val="clear" w:color="auto" w:fill="FFFFFF"/>
          <w:lang w:val="en-GB"/>
        </w:rPr>
        <w:t xml:space="preserve">include the risk for </w:t>
      </w:r>
      <w:r w:rsidR="00EF1CCA" w:rsidRPr="00163523">
        <w:rPr>
          <w:shd w:val="clear" w:color="auto" w:fill="FFFFFF"/>
          <w:lang w:val="en-GB"/>
        </w:rPr>
        <w:t xml:space="preserve">a fossil fuel </w:t>
      </w:r>
      <w:r w:rsidR="00FC3705" w:rsidRPr="00163523">
        <w:rPr>
          <w:shd w:val="clear" w:color="auto" w:fill="FFFFFF"/>
          <w:lang w:val="en-GB"/>
        </w:rPr>
        <w:t xml:space="preserve">lock-in </w:t>
      </w:r>
      <w:r w:rsidR="00AC1E71" w:rsidRPr="00163523">
        <w:rPr>
          <w:shd w:val="clear" w:color="auto" w:fill="FFFFFF"/>
          <w:lang w:val="en-GB"/>
        </w:rPr>
        <w:t>from a global perspective</w:t>
      </w:r>
      <w:r w:rsidR="005223D3" w:rsidRPr="00163523">
        <w:rPr>
          <w:shd w:val="clear" w:color="auto" w:fill="FFFFFF"/>
          <w:lang w:val="en-GB"/>
        </w:rPr>
        <w:t>. H</w:t>
      </w:r>
      <w:r w:rsidR="00DF3451" w:rsidRPr="00163523">
        <w:rPr>
          <w:shd w:val="clear" w:color="auto" w:fill="FFFFFF"/>
          <w:lang w:val="en-GB"/>
        </w:rPr>
        <w:t xml:space="preserve">owever, </w:t>
      </w:r>
      <w:r w:rsidR="003A42C0" w:rsidRPr="00163523">
        <w:rPr>
          <w:shd w:val="clear" w:color="auto" w:fill="FFFFFF"/>
          <w:lang w:val="en-GB"/>
        </w:rPr>
        <w:t>fixed LNG terminals</w:t>
      </w:r>
      <w:r w:rsidR="008E55FE" w:rsidRPr="00163523">
        <w:rPr>
          <w:shd w:val="clear" w:color="auto" w:fill="FFFFFF"/>
          <w:lang w:val="en-GB"/>
        </w:rPr>
        <w:t>,</w:t>
      </w:r>
      <w:r w:rsidR="003A42C0" w:rsidRPr="00163523">
        <w:rPr>
          <w:shd w:val="clear" w:color="auto" w:fill="FFFFFF"/>
          <w:lang w:val="en-GB"/>
        </w:rPr>
        <w:t xml:space="preserve"> </w:t>
      </w:r>
      <w:r w:rsidR="009E23AB" w:rsidRPr="00163523">
        <w:rPr>
          <w:shd w:val="clear" w:color="auto" w:fill="FFFFFF"/>
          <w:lang w:val="en-GB"/>
        </w:rPr>
        <w:t>pip</w:t>
      </w:r>
      <w:r w:rsidR="008E55FE" w:rsidRPr="00163523">
        <w:rPr>
          <w:shd w:val="clear" w:color="auto" w:fill="FFFFFF"/>
          <w:lang w:val="en-GB"/>
        </w:rPr>
        <w:t xml:space="preserve">elines and related </w:t>
      </w:r>
      <w:r w:rsidR="00EF19DF" w:rsidRPr="00163523">
        <w:rPr>
          <w:shd w:val="clear" w:color="auto" w:fill="FFFFFF"/>
          <w:lang w:val="en-GB"/>
        </w:rPr>
        <w:t xml:space="preserve">equipment have a long technical and economic lifetime, and </w:t>
      </w:r>
      <w:r w:rsidR="00836A90" w:rsidRPr="00163523">
        <w:rPr>
          <w:shd w:val="clear" w:color="auto" w:fill="FFFFFF"/>
          <w:lang w:val="en-GB"/>
        </w:rPr>
        <w:t xml:space="preserve">present higher </w:t>
      </w:r>
      <w:r w:rsidR="00617DAF" w:rsidRPr="00163523">
        <w:rPr>
          <w:shd w:val="clear" w:color="auto" w:fill="FFFFFF"/>
          <w:lang w:val="en-GB"/>
        </w:rPr>
        <w:t xml:space="preserve">stranding </w:t>
      </w:r>
      <w:r w:rsidR="00836A90" w:rsidRPr="00163523">
        <w:rPr>
          <w:shd w:val="clear" w:color="auto" w:fill="FFFFFF"/>
          <w:lang w:val="en-GB"/>
        </w:rPr>
        <w:t>risks</w:t>
      </w:r>
      <w:r w:rsidR="00617DAF" w:rsidRPr="00163523">
        <w:rPr>
          <w:shd w:val="clear" w:color="auto" w:fill="FFFFFF"/>
          <w:lang w:val="en-GB"/>
        </w:rPr>
        <w:t xml:space="preserve"> than floating installations</w:t>
      </w:r>
      <w:r w:rsidR="00836A90" w:rsidRPr="00163523">
        <w:rPr>
          <w:shd w:val="clear" w:color="auto" w:fill="FFFFFF"/>
          <w:lang w:val="en-GB"/>
        </w:rPr>
        <w:t xml:space="preserve">, also taking into account that </w:t>
      </w:r>
      <w:r w:rsidR="00013B3F" w:rsidRPr="00163523">
        <w:rPr>
          <w:shd w:val="clear" w:color="auto" w:fill="FFFFFF"/>
          <w:lang w:val="en-GB"/>
        </w:rPr>
        <w:t xml:space="preserve">at this point </w:t>
      </w:r>
      <w:r w:rsidR="00836A90" w:rsidRPr="00163523">
        <w:rPr>
          <w:shd w:val="clear" w:color="auto" w:fill="FFFFFF"/>
          <w:lang w:val="en-GB"/>
        </w:rPr>
        <w:t xml:space="preserve">it </w:t>
      </w:r>
      <w:r w:rsidR="002E622F" w:rsidRPr="00163523">
        <w:rPr>
          <w:shd w:val="clear" w:color="auto" w:fill="FFFFFF"/>
          <w:lang w:val="en-GB"/>
        </w:rPr>
        <w:t xml:space="preserve">is </w:t>
      </w:r>
      <w:r w:rsidR="00013B3F" w:rsidRPr="00163523">
        <w:rPr>
          <w:shd w:val="clear" w:color="auto" w:fill="FFFFFF"/>
          <w:lang w:val="en-GB"/>
        </w:rPr>
        <w:t xml:space="preserve">still </w:t>
      </w:r>
      <w:r w:rsidR="00EF19DF" w:rsidRPr="00163523">
        <w:rPr>
          <w:shd w:val="clear" w:color="auto" w:fill="FFFFFF"/>
          <w:lang w:val="en-GB"/>
        </w:rPr>
        <w:t>un</w:t>
      </w:r>
      <w:r w:rsidR="002B02BB" w:rsidRPr="00163523">
        <w:rPr>
          <w:shd w:val="clear" w:color="auto" w:fill="FFFFFF"/>
          <w:lang w:val="en-GB"/>
        </w:rPr>
        <w:t>sure whether and at what cost th</w:t>
      </w:r>
      <w:r w:rsidR="002E622F" w:rsidRPr="00163523">
        <w:rPr>
          <w:shd w:val="clear" w:color="auto" w:fill="FFFFFF"/>
          <w:lang w:val="en-GB"/>
        </w:rPr>
        <w:t>is infrastructure</w:t>
      </w:r>
      <w:r w:rsidR="002B02BB" w:rsidRPr="00163523">
        <w:rPr>
          <w:shd w:val="clear" w:color="auto" w:fill="FFFFFF"/>
          <w:lang w:val="en-GB"/>
        </w:rPr>
        <w:t xml:space="preserve"> can be re</w:t>
      </w:r>
      <w:r w:rsidR="00932DA1" w:rsidRPr="00163523">
        <w:rPr>
          <w:shd w:val="clear" w:color="auto" w:fill="FFFFFF"/>
          <w:lang w:val="en-GB"/>
        </w:rPr>
        <w:t xml:space="preserve">purposed for dedicated hydrogen use. </w:t>
      </w:r>
      <w:r w:rsidR="006F01A1" w:rsidRPr="00163523">
        <w:rPr>
          <w:shd w:val="clear" w:color="auto" w:fill="FFFFFF"/>
          <w:lang w:val="en-GB"/>
        </w:rPr>
        <w:t xml:space="preserve">The risk is hence that for </w:t>
      </w:r>
      <w:r w:rsidR="006A5F3A" w:rsidRPr="00163523">
        <w:rPr>
          <w:shd w:val="clear" w:color="auto" w:fill="FFFFFF"/>
          <w:lang w:val="en-GB"/>
        </w:rPr>
        <w:t xml:space="preserve">technical and </w:t>
      </w:r>
      <w:r w:rsidR="006F01A1" w:rsidRPr="00163523">
        <w:rPr>
          <w:shd w:val="clear" w:color="auto" w:fill="FFFFFF"/>
          <w:lang w:val="en-GB"/>
        </w:rPr>
        <w:t xml:space="preserve">economic reasons </w:t>
      </w:r>
      <w:r w:rsidR="00190313" w:rsidRPr="00163523">
        <w:rPr>
          <w:shd w:val="clear" w:color="auto" w:fill="FFFFFF"/>
          <w:lang w:val="en-GB"/>
        </w:rPr>
        <w:t xml:space="preserve">the substitution of </w:t>
      </w:r>
      <w:r w:rsidR="006F01A1" w:rsidRPr="00163523">
        <w:rPr>
          <w:shd w:val="clear" w:color="auto" w:fill="FFFFFF"/>
          <w:lang w:val="en-GB"/>
        </w:rPr>
        <w:t xml:space="preserve">natural gas </w:t>
      </w:r>
      <w:r w:rsidR="006A5F3A" w:rsidRPr="00163523">
        <w:rPr>
          <w:shd w:val="clear" w:color="auto" w:fill="FFFFFF"/>
          <w:lang w:val="en-GB"/>
        </w:rPr>
        <w:t xml:space="preserve">will be hindered and </w:t>
      </w:r>
      <w:r w:rsidR="00190313" w:rsidRPr="00163523">
        <w:rPr>
          <w:shd w:val="clear" w:color="auto" w:fill="FFFFFF"/>
          <w:lang w:val="en-GB"/>
        </w:rPr>
        <w:t>dela</w:t>
      </w:r>
      <w:r w:rsidR="004816EC" w:rsidRPr="00163523">
        <w:rPr>
          <w:shd w:val="clear" w:color="auto" w:fill="FFFFFF"/>
          <w:lang w:val="en-GB"/>
        </w:rPr>
        <w:t xml:space="preserve">yed. </w:t>
      </w:r>
      <w:r w:rsidR="00725B03" w:rsidRPr="00163523">
        <w:rPr>
          <w:shd w:val="clear" w:color="auto" w:fill="FFFFFF"/>
          <w:lang w:val="en-GB"/>
        </w:rPr>
        <w:t>On the other hand, i</w:t>
      </w:r>
      <w:r w:rsidR="004816EC" w:rsidRPr="00163523">
        <w:rPr>
          <w:shd w:val="clear" w:color="auto" w:fill="FFFFFF"/>
          <w:lang w:val="en-GB"/>
        </w:rPr>
        <w:t xml:space="preserve">f the </w:t>
      </w:r>
      <w:r w:rsidR="006958F3" w:rsidRPr="00163523">
        <w:rPr>
          <w:shd w:val="clear" w:color="auto" w:fill="FFFFFF"/>
          <w:lang w:val="en-GB"/>
        </w:rPr>
        <w:t xml:space="preserve">natural </w:t>
      </w:r>
      <w:r w:rsidR="004816EC" w:rsidRPr="00163523">
        <w:rPr>
          <w:shd w:val="clear" w:color="auto" w:fill="FFFFFF"/>
          <w:lang w:val="en-GB"/>
        </w:rPr>
        <w:t>gas volumes t</w:t>
      </w:r>
      <w:r w:rsidR="006958F3" w:rsidRPr="00163523">
        <w:rPr>
          <w:shd w:val="clear" w:color="auto" w:fill="FFFFFF"/>
          <w:lang w:val="en-GB"/>
        </w:rPr>
        <w:t>raded and consumed in the Baltic region rapidly decrease</w:t>
      </w:r>
      <w:r w:rsidR="00725B03" w:rsidRPr="00163523">
        <w:rPr>
          <w:shd w:val="clear" w:color="auto" w:fill="FFFFFF"/>
          <w:lang w:val="en-GB"/>
        </w:rPr>
        <w:t xml:space="preserve">, part of the natural gas </w:t>
      </w:r>
      <w:r w:rsidR="00413EE1" w:rsidRPr="00163523">
        <w:rPr>
          <w:shd w:val="clear" w:color="auto" w:fill="FFFFFF"/>
          <w:lang w:val="en-GB"/>
        </w:rPr>
        <w:t xml:space="preserve">import and transport </w:t>
      </w:r>
      <w:r w:rsidR="00725B03" w:rsidRPr="00163523">
        <w:rPr>
          <w:shd w:val="clear" w:color="auto" w:fill="FFFFFF"/>
          <w:lang w:val="en-GB"/>
        </w:rPr>
        <w:t>infr</w:t>
      </w:r>
      <w:r w:rsidR="00413EE1" w:rsidRPr="00163523">
        <w:rPr>
          <w:shd w:val="clear" w:color="auto" w:fill="FFFFFF"/>
          <w:lang w:val="en-GB"/>
        </w:rPr>
        <w:t xml:space="preserve">astructure may become redundant, and may need to be decommissioned. The </w:t>
      </w:r>
      <w:r w:rsidR="00297AE3" w:rsidRPr="00163523">
        <w:rPr>
          <w:shd w:val="clear" w:color="auto" w:fill="FFFFFF"/>
          <w:lang w:val="en-GB"/>
        </w:rPr>
        <w:t xml:space="preserve">economic consequences </w:t>
      </w:r>
      <w:r w:rsidR="00D2745E" w:rsidRPr="00163523">
        <w:rPr>
          <w:shd w:val="clear" w:color="auto" w:fill="FFFFFF"/>
          <w:lang w:val="en-GB"/>
        </w:rPr>
        <w:t xml:space="preserve">and potential to repurpose </w:t>
      </w:r>
      <w:r w:rsidR="008633D9" w:rsidRPr="00163523">
        <w:rPr>
          <w:shd w:val="clear" w:color="auto" w:fill="FFFFFF"/>
          <w:lang w:val="en-GB"/>
        </w:rPr>
        <w:t xml:space="preserve">(part of) the infrastructure </w:t>
      </w:r>
      <w:r w:rsidR="00297AE3" w:rsidRPr="00163523">
        <w:rPr>
          <w:shd w:val="clear" w:color="auto" w:fill="FFFFFF"/>
          <w:lang w:val="en-GB"/>
        </w:rPr>
        <w:t xml:space="preserve">should be </w:t>
      </w:r>
      <w:r w:rsidR="001D3D8C" w:rsidRPr="00163523">
        <w:rPr>
          <w:shd w:val="clear" w:color="auto" w:fill="FFFFFF"/>
          <w:lang w:val="en-GB"/>
        </w:rPr>
        <w:t>timely assessed</w:t>
      </w:r>
      <w:r w:rsidR="00824312" w:rsidRPr="00163523">
        <w:rPr>
          <w:shd w:val="clear" w:color="auto" w:fill="FFFFFF"/>
          <w:lang w:val="en-GB"/>
        </w:rPr>
        <w:t xml:space="preserve">, and </w:t>
      </w:r>
      <w:r w:rsidR="005C7812" w:rsidRPr="00163523">
        <w:rPr>
          <w:shd w:val="clear" w:color="auto" w:fill="FFFFFF"/>
          <w:lang w:val="en-GB"/>
        </w:rPr>
        <w:t>ade</w:t>
      </w:r>
      <w:r w:rsidR="007C6092" w:rsidRPr="00163523">
        <w:rPr>
          <w:shd w:val="clear" w:color="auto" w:fill="FFFFFF"/>
          <w:lang w:val="en-GB"/>
        </w:rPr>
        <w:t xml:space="preserve">quate </w:t>
      </w:r>
      <w:r w:rsidR="00824312" w:rsidRPr="00163523">
        <w:rPr>
          <w:shd w:val="clear" w:color="auto" w:fill="FFFFFF"/>
          <w:lang w:val="en-GB"/>
        </w:rPr>
        <w:t xml:space="preserve">measures should be taken to </w:t>
      </w:r>
      <w:r w:rsidR="002B5019" w:rsidRPr="00163523">
        <w:rPr>
          <w:shd w:val="clear" w:color="auto" w:fill="FFFFFF"/>
          <w:lang w:val="en-GB"/>
        </w:rPr>
        <w:t xml:space="preserve">anticipate and </w:t>
      </w:r>
      <w:r w:rsidR="00824312" w:rsidRPr="00163523">
        <w:rPr>
          <w:shd w:val="clear" w:color="auto" w:fill="FFFFFF"/>
          <w:lang w:val="en-GB"/>
        </w:rPr>
        <w:t xml:space="preserve">reduce the </w:t>
      </w:r>
      <w:r w:rsidR="008B4050" w:rsidRPr="00163523">
        <w:rPr>
          <w:shd w:val="clear" w:color="auto" w:fill="FFFFFF"/>
          <w:lang w:val="en-GB"/>
        </w:rPr>
        <w:t xml:space="preserve">above-mentioned </w:t>
      </w:r>
      <w:r w:rsidR="00824312" w:rsidRPr="00163523">
        <w:rPr>
          <w:shd w:val="clear" w:color="auto" w:fill="FFFFFF"/>
          <w:lang w:val="en-GB"/>
        </w:rPr>
        <w:t>risk</w:t>
      </w:r>
      <w:r w:rsidR="008B4050" w:rsidRPr="00163523">
        <w:rPr>
          <w:shd w:val="clear" w:color="auto" w:fill="FFFFFF"/>
          <w:lang w:val="en-GB"/>
        </w:rPr>
        <w:t>s</w:t>
      </w:r>
      <w:r w:rsidR="00824312" w:rsidRPr="00163523">
        <w:rPr>
          <w:shd w:val="clear" w:color="auto" w:fill="FFFFFF"/>
          <w:lang w:val="en-GB"/>
        </w:rPr>
        <w:t>.</w:t>
      </w:r>
      <w:r w:rsidR="00632FD8" w:rsidRPr="00163523">
        <w:rPr>
          <w:shd w:val="clear" w:color="auto" w:fill="FFFFFF"/>
          <w:lang w:val="en-GB"/>
        </w:rPr>
        <w:t xml:space="preserve"> </w:t>
      </w:r>
    </w:p>
    <w:p w14:paraId="0501FCB6" w14:textId="77777777" w:rsidR="00FE73DD" w:rsidRPr="00163523" w:rsidRDefault="00FE73DD" w:rsidP="00B40E44">
      <w:pPr>
        <w:rPr>
          <w:shd w:val="clear" w:color="auto" w:fill="FFFFFF"/>
          <w:lang w:val="en-GB"/>
        </w:rPr>
      </w:pPr>
    </w:p>
    <w:p w14:paraId="73633906" w14:textId="66ADA675" w:rsidR="00F63E15" w:rsidRPr="00163523" w:rsidRDefault="00632FD8" w:rsidP="00B40E44">
      <w:pPr>
        <w:rPr>
          <w:shd w:val="clear" w:color="auto" w:fill="FFFFFF"/>
          <w:lang w:val="en-GB"/>
        </w:rPr>
      </w:pPr>
      <w:r w:rsidRPr="00163523">
        <w:rPr>
          <w:shd w:val="clear" w:color="auto" w:fill="FFFFFF"/>
          <w:lang w:val="en-GB"/>
        </w:rPr>
        <w:t>Th</w:t>
      </w:r>
      <w:r w:rsidR="003F141F" w:rsidRPr="00163523">
        <w:rPr>
          <w:shd w:val="clear" w:color="auto" w:fill="FFFFFF"/>
          <w:lang w:val="en-GB"/>
        </w:rPr>
        <w:t xml:space="preserve">is risk is </w:t>
      </w:r>
      <w:r w:rsidR="00FA3672" w:rsidRPr="00163523">
        <w:rPr>
          <w:shd w:val="clear" w:color="auto" w:fill="FFFFFF"/>
          <w:lang w:val="en-GB"/>
        </w:rPr>
        <w:t xml:space="preserve">substantially higher in the BAU than in the decarbonization scenarios, </w:t>
      </w:r>
      <w:r w:rsidR="008B31A0" w:rsidRPr="00163523">
        <w:rPr>
          <w:shd w:val="clear" w:color="auto" w:fill="FFFFFF"/>
          <w:lang w:val="en-GB"/>
        </w:rPr>
        <w:t>as the r</w:t>
      </w:r>
      <w:r w:rsidR="00FE73DD" w:rsidRPr="00163523">
        <w:rPr>
          <w:shd w:val="clear" w:color="auto" w:fill="FFFFFF"/>
          <w:lang w:val="en-GB"/>
        </w:rPr>
        <w:t>equired investments</w:t>
      </w:r>
      <w:r w:rsidR="003D1511" w:rsidRPr="00163523">
        <w:rPr>
          <w:shd w:val="clear" w:color="auto" w:fill="FFFFFF"/>
          <w:lang w:val="en-GB"/>
        </w:rPr>
        <w:t xml:space="preserve"> (</w:t>
      </w:r>
      <w:r w:rsidR="00FE73DD" w:rsidRPr="00163523">
        <w:rPr>
          <w:shd w:val="clear" w:color="auto" w:fill="FFFFFF"/>
          <w:lang w:val="en-GB"/>
        </w:rPr>
        <w:t>CAPEX</w:t>
      </w:r>
      <w:r w:rsidR="003D1511" w:rsidRPr="00163523">
        <w:rPr>
          <w:shd w:val="clear" w:color="auto" w:fill="FFFFFF"/>
          <w:lang w:val="en-GB"/>
        </w:rPr>
        <w:t>)</w:t>
      </w:r>
      <w:r w:rsidR="00FE73DD" w:rsidRPr="00163523">
        <w:rPr>
          <w:shd w:val="clear" w:color="auto" w:fill="FFFFFF"/>
          <w:lang w:val="en-GB"/>
        </w:rPr>
        <w:t xml:space="preserve"> in LNG terminals between 2022 and 2050 are </w:t>
      </w:r>
      <w:r w:rsidR="008B31A0" w:rsidRPr="00163523">
        <w:rPr>
          <w:shd w:val="clear" w:color="auto" w:fill="FFFFFF"/>
          <w:lang w:val="en-GB"/>
        </w:rPr>
        <w:t>est</w:t>
      </w:r>
      <w:r w:rsidR="00324727" w:rsidRPr="00163523">
        <w:rPr>
          <w:shd w:val="clear" w:color="auto" w:fill="FFFFFF"/>
          <w:lang w:val="en-GB"/>
        </w:rPr>
        <w:t>imated at</w:t>
      </w:r>
      <w:r w:rsidR="00FE73DD" w:rsidRPr="00163523">
        <w:rPr>
          <w:shd w:val="clear" w:color="auto" w:fill="FFFFFF"/>
          <w:lang w:val="en-GB"/>
        </w:rPr>
        <w:t xml:space="preserve"> 6.7 billion EUR, 3.1 billion EUR and 3.5 billion EUR respectively in the B</w:t>
      </w:r>
      <w:r w:rsidR="00324727" w:rsidRPr="00163523">
        <w:rPr>
          <w:shd w:val="clear" w:color="auto" w:fill="FFFFFF"/>
          <w:lang w:val="en-GB"/>
        </w:rPr>
        <w:t>AU</w:t>
      </w:r>
      <w:r w:rsidR="00FE73DD" w:rsidRPr="00163523">
        <w:rPr>
          <w:shd w:val="clear" w:color="auto" w:fill="FFFFFF"/>
          <w:lang w:val="en-GB"/>
        </w:rPr>
        <w:t xml:space="preserve">, REN-Hydrogen and REN-Methane scenarios. </w:t>
      </w:r>
      <w:r w:rsidR="00C14421" w:rsidRPr="00163523">
        <w:rPr>
          <w:shd w:val="clear" w:color="auto" w:fill="FFFFFF"/>
          <w:lang w:val="en-GB"/>
        </w:rPr>
        <w:t>The 4 c</w:t>
      </w:r>
      <w:r w:rsidR="00F647E3" w:rsidRPr="00163523">
        <w:rPr>
          <w:shd w:val="clear" w:color="auto" w:fill="FFFFFF"/>
          <w:lang w:val="en-GB"/>
        </w:rPr>
        <w:t xml:space="preserve">ountries will continue to </w:t>
      </w:r>
      <w:r w:rsidR="00DF27EA" w:rsidRPr="00163523">
        <w:rPr>
          <w:shd w:val="clear" w:color="auto" w:fill="FFFFFF"/>
          <w:lang w:val="en-GB"/>
        </w:rPr>
        <w:t xml:space="preserve">have large </w:t>
      </w:r>
      <w:r w:rsidR="00F647E3" w:rsidRPr="00163523">
        <w:rPr>
          <w:shd w:val="clear" w:color="auto" w:fill="FFFFFF"/>
          <w:lang w:val="en-GB"/>
        </w:rPr>
        <w:t>OPEX</w:t>
      </w:r>
      <w:r w:rsidR="00C14421" w:rsidRPr="00163523">
        <w:rPr>
          <w:shd w:val="clear" w:color="auto" w:fill="FFFFFF"/>
          <w:lang w:val="en-GB"/>
        </w:rPr>
        <w:t xml:space="preserve"> related to </w:t>
      </w:r>
      <w:r w:rsidR="00F647E3" w:rsidRPr="00163523">
        <w:rPr>
          <w:shd w:val="clear" w:color="auto" w:fill="FFFFFF"/>
          <w:lang w:val="en-GB"/>
        </w:rPr>
        <w:t xml:space="preserve">LNG </w:t>
      </w:r>
      <w:r w:rsidR="00C14421" w:rsidRPr="00163523">
        <w:rPr>
          <w:shd w:val="clear" w:color="auto" w:fill="FFFFFF"/>
          <w:lang w:val="en-GB"/>
        </w:rPr>
        <w:t>imports</w:t>
      </w:r>
      <w:r w:rsidR="00F647E3" w:rsidRPr="00163523">
        <w:rPr>
          <w:shd w:val="clear" w:color="auto" w:fill="FFFFFF"/>
          <w:lang w:val="en-GB"/>
        </w:rPr>
        <w:t xml:space="preserve"> in all scenarios, including the Cost Minimal scenario. These </w:t>
      </w:r>
      <w:r w:rsidR="003031FB" w:rsidRPr="00163523">
        <w:rPr>
          <w:shd w:val="clear" w:color="auto" w:fill="FFFFFF"/>
          <w:lang w:val="en-GB"/>
        </w:rPr>
        <w:t>are estimated at</w:t>
      </w:r>
      <w:r w:rsidR="00F647E3" w:rsidRPr="00163523">
        <w:rPr>
          <w:shd w:val="clear" w:color="auto" w:fill="FFFFFF"/>
          <w:lang w:val="en-GB"/>
        </w:rPr>
        <w:t xml:space="preserve"> 144 million EUR in the BAU scenario, 109 million EUR in the REN-Hydrogen scenario, 101 million EUR in the REN-Methane scenario and 54 million EUR in the Cost Minimal scenario.</w:t>
      </w:r>
    </w:p>
    <w:p w14:paraId="0EAD3E97" w14:textId="77777777" w:rsidR="004C1E9B" w:rsidRPr="00163523" w:rsidRDefault="004C1E9B" w:rsidP="00D214C2">
      <w:pPr>
        <w:rPr>
          <w:lang w:val="en-GB"/>
        </w:rPr>
      </w:pPr>
    </w:p>
    <w:p w14:paraId="408F820E" w14:textId="32F74FFB" w:rsidR="00F63E15" w:rsidRPr="00163523" w:rsidRDefault="00AB17A7" w:rsidP="00F63E15">
      <w:pPr>
        <w:pStyle w:val="Kop4"/>
        <w:rPr>
          <w:lang w:val="en-GB"/>
        </w:rPr>
      </w:pPr>
      <w:r w:rsidRPr="00163523">
        <w:rPr>
          <w:lang w:val="en-GB"/>
        </w:rPr>
        <w:t>Rating</w:t>
      </w:r>
      <w:r w:rsidR="00F63E15" w:rsidRPr="00163523">
        <w:rPr>
          <w:lang w:val="en-GB"/>
        </w:rPr>
        <w:t xml:space="preserve"> of the </w:t>
      </w:r>
      <w:r w:rsidRPr="00163523">
        <w:rPr>
          <w:lang w:val="en-GB"/>
        </w:rPr>
        <w:t xml:space="preserve">risk </w:t>
      </w:r>
      <w:r w:rsidR="00F63E15" w:rsidRPr="00163523">
        <w:rPr>
          <w:lang w:val="en-GB"/>
        </w:rPr>
        <w:t>based on likelihood and severity</w:t>
      </w:r>
    </w:p>
    <w:p w14:paraId="16B7F03E" w14:textId="2A9129D1" w:rsidR="00920786" w:rsidRPr="00163523" w:rsidRDefault="0092687A" w:rsidP="00FF78F9">
      <w:pPr>
        <w:rPr>
          <w:lang w:val="en-GB"/>
        </w:rPr>
      </w:pPr>
      <w:r w:rsidRPr="00163523">
        <w:rPr>
          <w:lang w:val="en-GB"/>
        </w:rPr>
        <w:t>A</w:t>
      </w:r>
      <w:r w:rsidR="00DD5876" w:rsidRPr="00163523">
        <w:rPr>
          <w:lang w:val="en-GB"/>
        </w:rPr>
        <w:t xml:space="preserve"> lock-in on natural gas </w:t>
      </w:r>
      <w:r w:rsidR="00213FDE" w:rsidRPr="00163523">
        <w:rPr>
          <w:lang w:val="en-GB"/>
        </w:rPr>
        <w:t>c</w:t>
      </w:r>
      <w:r w:rsidR="00DD5876" w:rsidRPr="00163523">
        <w:rPr>
          <w:lang w:val="en-GB"/>
        </w:rPr>
        <w:t xml:space="preserve">ould </w:t>
      </w:r>
      <w:r w:rsidR="00213FDE" w:rsidRPr="00163523">
        <w:rPr>
          <w:lang w:val="en-GB"/>
        </w:rPr>
        <w:t>hinder</w:t>
      </w:r>
      <w:r w:rsidR="00420828" w:rsidRPr="00163523">
        <w:rPr>
          <w:lang w:val="en-GB"/>
        </w:rPr>
        <w:t xml:space="preserve"> the decarbonisation </w:t>
      </w:r>
      <w:r w:rsidR="006C64AF" w:rsidRPr="00163523">
        <w:rPr>
          <w:lang w:val="en-GB"/>
        </w:rPr>
        <w:t xml:space="preserve">of the gas market and </w:t>
      </w:r>
      <w:r w:rsidR="00213FDE" w:rsidRPr="00163523">
        <w:rPr>
          <w:lang w:val="en-GB"/>
        </w:rPr>
        <w:t>delay investments in electrification and renewable gas</w:t>
      </w:r>
      <w:r w:rsidR="00347D1A" w:rsidRPr="00163523">
        <w:rPr>
          <w:lang w:val="en-GB"/>
        </w:rPr>
        <w:t xml:space="preserve"> deployment</w:t>
      </w:r>
      <w:r w:rsidR="00213FDE" w:rsidRPr="00163523">
        <w:rPr>
          <w:lang w:val="en-GB"/>
        </w:rPr>
        <w:t>.</w:t>
      </w:r>
      <w:r w:rsidR="00FF78F9" w:rsidRPr="00163523">
        <w:rPr>
          <w:lang w:val="en-GB"/>
        </w:rPr>
        <w:t xml:space="preserve"> T</w:t>
      </w:r>
      <w:r w:rsidR="004A5AE2" w:rsidRPr="00163523">
        <w:rPr>
          <w:lang w:val="en-GB"/>
        </w:rPr>
        <w:t xml:space="preserve">he risk for asset stranding mainly concerns </w:t>
      </w:r>
      <w:r w:rsidR="00F05089" w:rsidRPr="00163523">
        <w:rPr>
          <w:lang w:val="en-GB"/>
        </w:rPr>
        <w:t xml:space="preserve">regulated methane networks and </w:t>
      </w:r>
      <w:r w:rsidR="00FF4A55" w:rsidRPr="00163523">
        <w:rPr>
          <w:lang w:val="en-GB"/>
        </w:rPr>
        <w:t>LNG terminals which would not be suitable for repurposing</w:t>
      </w:r>
      <w:r w:rsidR="00DC7412" w:rsidRPr="00163523">
        <w:rPr>
          <w:lang w:val="en-GB"/>
        </w:rPr>
        <w:t>,</w:t>
      </w:r>
      <w:r w:rsidR="00FF4A55" w:rsidRPr="00163523">
        <w:rPr>
          <w:lang w:val="en-GB"/>
        </w:rPr>
        <w:t xml:space="preserve"> </w:t>
      </w:r>
      <w:r w:rsidR="008524BC" w:rsidRPr="00163523">
        <w:rPr>
          <w:lang w:val="en-GB"/>
        </w:rPr>
        <w:t>either for technical or for economic (market related) reasons.</w:t>
      </w:r>
      <w:r w:rsidR="00FF4A55" w:rsidRPr="00163523">
        <w:rPr>
          <w:lang w:val="en-GB"/>
        </w:rPr>
        <w:t xml:space="preserve"> </w:t>
      </w:r>
    </w:p>
    <w:p w14:paraId="2670E3EB" w14:textId="77777777" w:rsidR="003612A4" w:rsidRPr="00163523" w:rsidRDefault="003612A4" w:rsidP="00FF78F9">
      <w:pPr>
        <w:rPr>
          <w:lang w:val="en-GB"/>
        </w:rPr>
      </w:pPr>
    </w:p>
    <w:p w14:paraId="47A4A75D" w14:textId="685C484B" w:rsidR="00920786" w:rsidRPr="00163523" w:rsidRDefault="003612A4" w:rsidP="003612A4">
      <w:pPr>
        <w:rPr>
          <w:lang w:val="en-GB"/>
        </w:rPr>
      </w:pPr>
      <w:r w:rsidRPr="00163523">
        <w:rPr>
          <w:lang w:val="en-GB"/>
        </w:rPr>
        <w:t>T</w:t>
      </w:r>
      <w:r w:rsidR="003F54CD" w:rsidRPr="00163523">
        <w:rPr>
          <w:lang w:val="en-GB"/>
        </w:rPr>
        <w:t xml:space="preserve">aking into account the </w:t>
      </w:r>
      <w:r w:rsidR="00A23CD2" w:rsidRPr="00163523">
        <w:rPr>
          <w:lang w:val="en-GB"/>
        </w:rPr>
        <w:t xml:space="preserve">potentially </w:t>
      </w:r>
      <w:r w:rsidR="003F54CD" w:rsidRPr="00163523">
        <w:rPr>
          <w:lang w:val="en-GB"/>
        </w:rPr>
        <w:t>high economic consequences of a mat</w:t>
      </w:r>
      <w:r w:rsidR="00A23CD2" w:rsidRPr="00163523">
        <w:rPr>
          <w:lang w:val="en-GB"/>
        </w:rPr>
        <w:t>erialisation of this risk (</w:t>
      </w:r>
      <w:r w:rsidR="008B1E96" w:rsidRPr="00163523">
        <w:rPr>
          <w:lang w:val="en-GB"/>
        </w:rPr>
        <w:t>depending on the</w:t>
      </w:r>
      <w:r w:rsidR="00A23CD2" w:rsidRPr="00163523">
        <w:rPr>
          <w:lang w:val="en-GB"/>
        </w:rPr>
        <w:t xml:space="preserve"> </w:t>
      </w:r>
      <w:r w:rsidR="00032603" w:rsidRPr="00163523">
        <w:rPr>
          <w:lang w:val="en-GB"/>
        </w:rPr>
        <w:t>residual accounting value of the concerned assets)</w:t>
      </w:r>
      <w:r w:rsidR="00A23CD2" w:rsidRPr="00163523">
        <w:rPr>
          <w:lang w:val="en-GB"/>
        </w:rPr>
        <w:t xml:space="preserve">, </w:t>
      </w:r>
      <w:r w:rsidR="00A23CD2" w:rsidRPr="00163523">
        <w:rPr>
          <w:b/>
          <w:lang w:val="en-GB"/>
        </w:rPr>
        <w:t xml:space="preserve">the </w:t>
      </w:r>
      <w:r w:rsidR="008B1E96" w:rsidRPr="00163523">
        <w:rPr>
          <w:b/>
          <w:lang w:val="en-GB"/>
        </w:rPr>
        <w:t xml:space="preserve">severity of this risk is </w:t>
      </w:r>
      <w:r w:rsidRPr="00163523">
        <w:rPr>
          <w:b/>
          <w:lang w:val="en-GB"/>
        </w:rPr>
        <w:t xml:space="preserve">considered </w:t>
      </w:r>
      <w:r w:rsidR="0068466E" w:rsidRPr="00163523">
        <w:rPr>
          <w:b/>
          <w:lang w:val="en-GB"/>
        </w:rPr>
        <w:t>‘</w:t>
      </w:r>
      <w:r w:rsidR="008B1E96" w:rsidRPr="00163523">
        <w:rPr>
          <w:b/>
          <w:lang w:val="en-GB"/>
        </w:rPr>
        <w:t>high</w:t>
      </w:r>
      <w:r w:rsidR="0068466E" w:rsidRPr="00163523">
        <w:rPr>
          <w:b/>
          <w:lang w:val="en-GB"/>
        </w:rPr>
        <w:t>’</w:t>
      </w:r>
      <w:r w:rsidRPr="00163523">
        <w:rPr>
          <w:lang w:val="en-GB"/>
        </w:rPr>
        <w:t xml:space="preserve">. </w:t>
      </w:r>
      <w:r w:rsidR="00920786" w:rsidRPr="00163523">
        <w:rPr>
          <w:lang w:val="en-GB"/>
        </w:rPr>
        <w:t>T</w:t>
      </w:r>
      <w:r w:rsidR="00982EEC" w:rsidRPr="00163523">
        <w:rPr>
          <w:lang w:val="en-GB"/>
        </w:rPr>
        <w:t xml:space="preserve">his risk is expected to mainly occur </w:t>
      </w:r>
      <w:r w:rsidR="009D7345" w:rsidRPr="00163523">
        <w:rPr>
          <w:lang w:val="en-GB"/>
        </w:rPr>
        <w:t xml:space="preserve">from </w:t>
      </w:r>
      <w:r w:rsidR="00982EEC" w:rsidRPr="00163523">
        <w:rPr>
          <w:lang w:val="en-GB"/>
        </w:rPr>
        <w:t>2040</w:t>
      </w:r>
      <w:r w:rsidR="009D7345" w:rsidRPr="00163523">
        <w:rPr>
          <w:lang w:val="en-GB"/>
        </w:rPr>
        <w:t xml:space="preserve"> to 2050</w:t>
      </w:r>
      <w:r w:rsidR="00982EEC" w:rsidRPr="00163523">
        <w:rPr>
          <w:lang w:val="en-GB"/>
        </w:rPr>
        <w:t xml:space="preserve">, when </w:t>
      </w:r>
      <w:r w:rsidR="009D7345" w:rsidRPr="00163523">
        <w:rPr>
          <w:lang w:val="en-GB"/>
        </w:rPr>
        <w:t xml:space="preserve">natural gas </w:t>
      </w:r>
      <w:r w:rsidR="00881EB9" w:rsidRPr="00163523">
        <w:rPr>
          <w:lang w:val="en-GB"/>
        </w:rPr>
        <w:t>w</w:t>
      </w:r>
      <w:r w:rsidR="009D7345" w:rsidRPr="00163523">
        <w:rPr>
          <w:lang w:val="en-GB"/>
        </w:rPr>
        <w:t xml:space="preserve">ould </w:t>
      </w:r>
      <w:r w:rsidR="00DF6048" w:rsidRPr="00163523">
        <w:rPr>
          <w:lang w:val="en-GB"/>
        </w:rPr>
        <w:t xml:space="preserve">in principle </w:t>
      </w:r>
      <w:r w:rsidR="009D7345" w:rsidRPr="00163523">
        <w:rPr>
          <w:lang w:val="en-GB"/>
        </w:rPr>
        <w:t xml:space="preserve">be completely </w:t>
      </w:r>
      <w:r w:rsidR="00DF6048" w:rsidRPr="00163523">
        <w:rPr>
          <w:lang w:val="en-GB"/>
        </w:rPr>
        <w:t>phased out</w:t>
      </w:r>
      <w:r w:rsidR="00DD5D2D" w:rsidRPr="00163523">
        <w:rPr>
          <w:lang w:val="en-GB"/>
        </w:rPr>
        <w:t>.</w:t>
      </w:r>
    </w:p>
    <w:p w14:paraId="12B5633E" w14:textId="4B383425" w:rsidR="00920786" w:rsidRPr="00163523" w:rsidRDefault="002A100C" w:rsidP="003612A4">
      <w:pPr>
        <w:rPr>
          <w:lang w:val="en-GB"/>
        </w:rPr>
      </w:pPr>
      <w:r w:rsidRPr="00163523">
        <w:rPr>
          <w:lang w:val="en-GB"/>
        </w:rPr>
        <w:t xml:space="preserve">An early occurrence </w:t>
      </w:r>
      <w:r w:rsidR="00252F34" w:rsidRPr="00163523">
        <w:rPr>
          <w:lang w:val="en-GB"/>
        </w:rPr>
        <w:t xml:space="preserve">of this risk is not plausible. The recent and ongoing high investment levels in natural gas infrastructure to </w:t>
      </w:r>
      <w:r w:rsidR="00343D29" w:rsidRPr="00163523">
        <w:rPr>
          <w:lang w:val="en-GB"/>
        </w:rPr>
        <w:t xml:space="preserve">replace gas imports from Russia </w:t>
      </w:r>
      <w:r w:rsidR="00052A72" w:rsidRPr="00163523">
        <w:rPr>
          <w:lang w:val="en-GB"/>
        </w:rPr>
        <w:t>increase of course this risk</w:t>
      </w:r>
      <w:r w:rsidR="00E6421E" w:rsidRPr="00163523">
        <w:rPr>
          <w:lang w:val="en-GB"/>
        </w:rPr>
        <w:t>,</w:t>
      </w:r>
      <w:r w:rsidR="00052A72" w:rsidRPr="00163523">
        <w:rPr>
          <w:lang w:val="en-GB"/>
        </w:rPr>
        <w:t xml:space="preserve"> </w:t>
      </w:r>
      <w:r w:rsidR="00921A85" w:rsidRPr="00163523">
        <w:rPr>
          <w:lang w:val="en-GB"/>
        </w:rPr>
        <w:t>which would mainly become visible after 2030</w:t>
      </w:r>
      <w:r w:rsidR="000D1273" w:rsidRPr="00163523">
        <w:rPr>
          <w:lang w:val="en-GB"/>
        </w:rPr>
        <w:t xml:space="preserve">, when the </w:t>
      </w:r>
      <w:r w:rsidR="000A5E30" w:rsidRPr="00163523">
        <w:rPr>
          <w:lang w:val="en-GB"/>
        </w:rPr>
        <w:t>load factor of existing infrastructure will gradually start to decrease</w:t>
      </w:r>
      <w:r w:rsidR="00921A85" w:rsidRPr="00163523">
        <w:rPr>
          <w:lang w:val="en-GB"/>
        </w:rPr>
        <w:t>.</w:t>
      </w:r>
    </w:p>
    <w:p w14:paraId="4C6E5AB6" w14:textId="4517A003" w:rsidR="00164667" w:rsidRPr="00163523" w:rsidRDefault="00164667" w:rsidP="003612A4">
      <w:pPr>
        <w:rPr>
          <w:lang w:val="en-GB"/>
        </w:rPr>
      </w:pPr>
    </w:p>
    <w:p w14:paraId="53AD0DCD" w14:textId="59CA6B2E" w:rsidR="00920786" w:rsidRPr="00163523" w:rsidRDefault="00932027" w:rsidP="00823DEE">
      <w:pPr>
        <w:rPr>
          <w:lang w:val="en-GB"/>
        </w:rPr>
      </w:pPr>
      <w:r w:rsidRPr="00163523">
        <w:rPr>
          <w:lang w:val="en-GB"/>
        </w:rPr>
        <w:lastRenderedPageBreak/>
        <w:t>T</w:t>
      </w:r>
      <w:r w:rsidR="00DB1530" w:rsidRPr="00163523">
        <w:rPr>
          <w:lang w:val="en-GB"/>
        </w:rPr>
        <w:t xml:space="preserve">he </w:t>
      </w:r>
      <w:r w:rsidR="00DB1530" w:rsidRPr="00163523">
        <w:rPr>
          <w:b/>
          <w:lang w:val="en-GB"/>
        </w:rPr>
        <w:t xml:space="preserve">likelihood that this risk materialises </w:t>
      </w:r>
      <w:r w:rsidR="00327F2F" w:rsidRPr="00163523">
        <w:rPr>
          <w:b/>
          <w:lang w:val="en-GB"/>
        </w:rPr>
        <w:t xml:space="preserve">(at least for some assets) </w:t>
      </w:r>
      <w:r w:rsidR="00DB1530" w:rsidRPr="00163523">
        <w:rPr>
          <w:b/>
          <w:lang w:val="en-GB"/>
        </w:rPr>
        <w:t xml:space="preserve">is </w:t>
      </w:r>
      <w:r w:rsidR="00B42E91" w:rsidRPr="00163523">
        <w:rPr>
          <w:b/>
          <w:lang w:val="en-GB"/>
        </w:rPr>
        <w:t xml:space="preserve">considered </w:t>
      </w:r>
      <w:r w:rsidR="0068466E" w:rsidRPr="00163523">
        <w:rPr>
          <w:b/>
          <w:lang w:val="en-GB"/>
        </w:rPr>
        <w:t>‘</w:t>
      </w:r>
      <w:r w:rsidR="00DB1530" w:rsidRPr="00163523">
        <w:rPr>
          <w:b/>
          <w:lang w:val="en-GB"/>
        </w:rPr>
        <w:t>medium</w:t>
      </w:r>
      <w:r w:rsidR="0068466E" w:rsidRPr="00163523">
        <w:rPr>
          <w:b/>
          <w:lang w:val="en-GB"/>
        </w:rPr>
        <w:t>’</w:t>
      </w:r>
      <w:r w:rsidR="00DB1530" w:rsidRPr="00163523">
        <w:rPr>
          <w:lang w:val="en-GB"/>
        </w:rPr>
        <w:t xml:space="preserve">, but </w:t>
      </w:r>
      <w:r w:rsidR="00D73808" w:rsidRPr="00163523">
        <w:rPr>
          <w:lang w:val="en-GB"/>
        </w:rPr>
        <w:t xml:space="preserve">the </w:t>
      </w:r>
      <w:r w:rsidR="00447A7D" w:rsidRPr="00163523">
        <w:rPr>
          <w:lang w:val="en-GB"/>
        </w:rPr>
        <w:t xml:space="preserve">rating can be reduced by ensuring that any new investment </w:t>
      </w:r>
      <w:r w:rsidR="00681F11" w:rsidRPr="00163523">
        <w:rPr>
          <w:lang w:val="en-GB"/>
        </w:rPr>
        <w:t>is future-proof (see mitigation actions).</w:t>
      </w:r>
      <w:r w:rsidR="00327F2F" w:rsidRPr="00163523">
        <w:rPr>
          <w:lang w:val="en-GB"/>
        </w:rPr>
        <w:t xml:space="preserve"> </w:t>
      </w:r>
    </w:p>
    <w:p w14:paraId="198CD3B0" w14:textId="10CA0C1F" w:rsidR="00920786" w:rsidRPr="00163523" w:rsidRDefault="00113B13" w:rsidP="00A37FA8">
      <w:pPr>
        <w:rPr>
          <w:lang w:val="en-GB"/>
        </w:rPr>
      </w:pPr>
      <w:r w:rsidRPr="00163523">
        <w:rPr>
          <w:lang w:val="en-GB"/>
        </w:rPr>
        <w:t>All</w:t>
      </w:r>
      <w:r w:rsidR="0093247F" w:rsidRPr="00163523">
        <w:rPr>
          <w:lang w:val="en-GB"/>
        </w:rPr>
        <w:t xml:space="preserve"> </w:t>
      </w:r>
      <w:r w:rsidR="00790214" w:rsidRPr="00163523">
        <w:rPr>
          <w:lang w:val="en-GB"/>
        </w:rPr>
        <w:t xml:space="preserve">decarbonization </w:t>
      </w:r>
      <w:r w:rsidR="00D97DBC" w:rsidRPr="00163523">
        <w:rPr>
          <w:lang w:val="en-GB"/>
        </w:rPr>
        <w:t xml:space="preserve">scenarios </w:t>
      </w:r>
      <w:r w:rsidRPr="00163523">
        <w:rPr>
          <w:lang w:val="en-GB"/>
        </w:rPr>
        <w:t xml:space="preserve">foresee </w:t>
      </w:r>
      <w:r w:rsidR="00032799" w:rsidRPr="00163523">
        <w:rPr>
          <w:lang w:val="en-GB"/>
        </w:rPr>
        <w:t xml:space="preserve">further investments in LNG terminals </w:t>
      </w:r>
      <w:r w:rsidRPr="00163523">
        <w:rPr>
          <w:lang w:val="en-GB"/>
        </w:rPr>
        <w:t xml:space="preserve">and </w:t>
      </w:r>
      <w:r w:rsidR="00032799" w:rsidRPr="00163523">
        <w:rPr>
          <w:lang w:val="en-GB"/>
        </w:rPr>
        <w:t xml:space="preserve">present </w:t>
      </w:r>
      <w:r w:rsidR="00BA1E8B" w:rsidRPr="00163523">
        <w:rPr>
          <w:lang w:val="en-GB"/>
        </w:rPr>
        <w:t xml:space="preserve">hence such </w:t>
      </w:r>
      <w:r w:rsidR="00032799" w:rsidRPr="00163523">
        <w:rPr>
          <w:lang w:val="en-GB"/>
        </w:rPr>
        <w:t>risks</w:t>
      </w:r>
      <w:r w:rsidR="00BA1E8B" w:rsidRPr="00163523">
        <w:rPr>
          <w:lang w:val="en-GB"/>
        </w:rPr>
        <w:t>; th</w:t>
      </w:r>
      <w:r w:rsidR="00357A7A" w:rsidRPr="00163523">
        <w:rPr>
          <w:lang w:val="en-GB"/>
        </w:rPr>
        <w:t xml:space="preserve">e </w:t>
      </w:r>
      <w:r w:rsidR="000912F1" w:rsidRPr="00163523">
        <w:rPr>
          <w:lang w:val="en-GB"/>
        </w:rPr>
        <w:t>risks are the h</w:t>
      </w:r>
      <w:r w:rsidR="00790214" w:rsidRPr="00163523">
        <w:rPr>
          <w:lang w:val="en-GB"/>
        </w:rPr>
        <w:t xml:space="preserve">ighest in the </w:t>
      </w:r>
      <w:r w:rsidR="00EF4763" w:rsidRPr="00163523">
        <w:rPr>
          <w:lang w:val="en-GB"/>
        </w:rPr>
        <w:t>RE</w:t>
      </w:r>
      <w:r w:rsidR="00894272" w:rsidRPr="00163523">
        <w:rPr>
          <w:lang w:val="en-GB"/>
        </w:rPr>
        <w:t>N</w:t>
      </w:r>
      <w:r w:rsidR="00EF4763" w:rsidRPr="00163523">
        <w:rPr>
          <w:lang w:val="en-GB"/>
        </w:rPr>
        <w:t xml:space="preserve">-Methane </w:t>
      </w:r>
      <w:r w:rsidR="00182813" w:rsidRPr="00163523">
        <w:rPr>
          <w:lang w:val="en-GB"/>
        </w:rPr>
        <w:t xml:space="preserve">and in the REN-Hydrogen </w:t>
      </w:r>
      <w:r w:rsidR="00EF4763" w:rsidRPr="00163523">
        <w:rPr>
          <w:lang w:val="en-GB"/>
        </w:rPr>
        <w:t>scena</w:t>
      </w:r>
      <w:r w:rsidR="006A040C" w:rsidRPr="00163523">
        <w:rPr>
          <w:lang w:val="en-GB"/>
        </w:rPr>
        <w:t>rio</w:t>
      </w:r>
      <w:r w:rsidR="00182813" w:rsidRPr="00163523">
        <w:rPr>
          <w:lang w:val="en-GB"/>
        </w:rPr>
        <w:t>s</w:t>
      </w:r>
      <w:r w:rsidR="006A040C" w:rsidRPr="00163523">
        <w:rPr>
          <w:lang w:val="en-GB"/>
        </w:rPr>
        <w:t xml:space="preserve">, which foresee the highest </w:t>
      </w:r>
      <w:r w:rsidR="00C4052E" w:rsidRPr="00163523">
        <w:rPr>
          <w:lang w:val="en-GB"/>
        </w:rPr>
        <w:t xml:space="preserve">reliance </w:t>
      </w:r>
      <w:r w:rsidR="006A040C" w:rsidRPr="00163523">
        <w:rPr>
          <w:lang w:val="en-GB"/>
        </w:rPr>
        <w:t>on LNG imports.</w:t>
      </w:r>
      <w:r w:rsidR="00080AE5" w:rsidRPr="00163523">
        <w:rPr>
          <w:lang w:val="en-GB"/>
        </w:rPr>
        <w:t xml:space="preserve"> </w:t>
      </w:r>
      <w:r w:rsidR="00E94100" w:rsidRPr="00163523">
        <w:rPr>
          <w:lang w:val="en-GB"/>
        </w:rPr>
        <w:t>I</w:t>
      </w:r>
      <w:r w:rsidR="000543FF" w:rsidRPr="00163523">
        <w:rPr>
          <w:lang w:val="en-GB"/>
        </w:rPr>
        <w:t xml:space="preserve">n principle </w:t>
      </w:r>
      <w:r w:rsidR="00CB1CE2" w:rsidRPr="00163523">
        <w:rPr>
          <w:lang w:val="en-GB"/>
        </w:rPr>
        <w:t xml:space="preserve">the </w:t>
      </w:r>
      <w:r w:rsidR="00C81EA5" w:rsidRPr="00163523">
        <w:rPr>
          <w:lang w:val="en-GB"/>
        </w:rPr>
        <w:t xml:space="preserve">Baltic </w:t>
      </w:r>
      <w:r w:rsidR="000543FF" w:rsidRPr="00163523">
        <w:rPr>
          <w:lang w:val="en-GB"/>
        </w:rPr>
        <w:t xml:space="preserve">countries with LNG terminals </w:t>
      </w:r>
      <w:r w:rsidR="009561B6" w:rsidRPr="00163523">
        <w:rPr>
          <w:lang w:val="en-GB"/>
        </w:rPr>
        <w:t>and a dense natural gas</w:t>
      </w:r>
      <w:r w:rsidR="00C81EA5" w:rsidRPr="00163523">
        <w:rPr>
          <w:lang w:val="en-GB"/>
        </w:rPr>
        <w:t xml:space="preserve"> </w:t>
      </w:r>
      <w:r w:rsidR="009561B6" w:rsidRPr="00163523">
        <w:rPr>
          <w:lang w:val="en-GB"/>
        </w:rPr>
        <w:t xml:space="preserve">network </w:t>
      </w:r>
      <w:r w:rsidR="00F4345C" w:rsidRPr="00163523">
        <w:rPr>
          <w:lang w:val="en-GB"/>
        </w:rPr>
        <w:t xml:space="preserve">on their territory </w:t>
      </w:r>
      <w:r w:rsidR="009561B6" w:rsidRPr="00163523">
        <w:rPr>
          <w:lang w:val="en-GB"/>
        </w:rPr>
        <w:t xml:space="preserve">present the highest risks for </w:t>
      </w:r>
      <w:r w:rsidR="00F4345C" w:rsidRPr="00163523">
        <w:rPr>
          <w:lang w:val="en-GB"/>
        </w:rPr>
        <w:t>natural gas lock-in and asset stranding</w:t>
      </w:r>
      <w:r w:rsidR="00D4662C" w:rsidRPr="00163523">
        <w:rPr>
          <w:lang w:val="en-GB"/>
        </w:rPr>
        <w:t>.</w:t>
      </w:r>
    </w:p>
    <w:p w14:paraId="68C8AACE" w14:textId="77777777" w:rsidR="00920786" w:rsidRPr="00920786" w:rsidRDefault="00920786" w:rsidP="00F63E15">
      <w:pPr>
        <w:rPr>
          <w:lang w:val="en-GB"/>
        </w:rPr>
      </w:pPr>
    </w:p>
    <w:p w14:paraId="46B7C2B1" w14:textId="77777777" w:rsidR="00F63E15" w:rsidRPr="00163523" w:rsidRDefault="00F63E15" w:rsidP="00F63E15">
      <w:pPr>
        <w:rPr>
          <w:lang w:val="en-GB"/>
        </w:rPr>
      </w:pPr>
    </w:p>
    <w:tbl>
      <w:tblPr>
        <w:tblStyle w:val="Table1"/>
        <w:tblW w:w="8449" w:type="dxa"/>
        <w:tblLayout w:type="fixed"/>
        <w:tblLook w:val="04A0" w:firstRow="1" w:lastRow="0" w:firstColumn="1" w:lastColumn="0" w:noHBand="0" w:noVBand="1"/>
      </w:tblPr>
      <w:tblGrid>
        <w:gridCol w:w="2689"/>
        <w:gridCol w:w="864"/>
        <w:gridCol w:w="864"/>
        <w:gridCol w:w="865"/>
        <w:gridCol w:w="1731"/>
        <w:gridCol w:w="1436"/>
      </w:tblGrid>
      <w:tr w:rsidR="006E18C3" w:rsidRPr="00801E6C" w14:paraId="1B109169" w14:textId="77777777" w:rsidTr="0076227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89" w:type="dxa"/>
            <w:vMerge w:val="restart"/>
            <w:noWrap/>
          </w:tcPr>
          <w:p w14:paraId="0A294994" w14:textId="77777777" w:rsidR="006E18C3" w:rsidRPr="00163523" w:rsidRDefault="006E18C3" w:rsidP="0076227C">
            <w:pPr>
              <w:keepNext/>
              <w:spacing w:line="240" w:lineRule="auto"/>
              <w:ind w:left="0"/>
              <w:rPr>
                <w:rFonts w:eastAsia="Times New Roman"/>
                <w:sz w:val="16"/>
                <w:szCs w:val="16"/>
                <w:lang w:val="en-GB" w:eastAsia="en-GB"/>
              </w:rPr>
            </w:pPr>
            <w:r w:rsidRPr="00163523">
              <w:rPr>
                <w:rFonts w:eastAsia="Arial"/>
                <w:sz w:val="16"/>
                <w:szCs w:val="16"/>
                <w:lang w:val="en-GB"/>
              </w:rPr>
              <w:t>Risk</w:t>
            </w:r>
          </w:p>
        </w:tc>
        <w:tc>
          <w:tcPr>
            <w:tcW w:w="2593" w:type="dxa"/>
            <w:gridSpan w:val="3"/>
          </w:tcPr>
          <w:p w14:paraId="6CF85CF3" w14:textId="77777777" w:rsidR="006E18C3" w:rsidRPr="00163523" w:rsidRDefault="006E18C3" w:rsidP="0076227C">
            <w:pPr>
              <w:keepNext/>
              <w:spacing w:line="240" w:lineRule="auto"/>
              <w:ind w:left="0"/>
              <w:cnfStyle w:val="100000000000" w:firstRow="1" w:lastRow="0" w:firstColumn="0" w:lastColumn="0" w:oddVBand="0" w:evenVBand="0" w:oddHBand="0" w:evenHBand="0" w:firstRowFirstColumn="0" w:firstRowLastColumn="0" w:lastRowFirstColumn="0" w:lastRowLastColumn="0"/>
              <w:rPr>
                <w:rFonts w:eastAsia="Arial"/>
                <w:sz w:val="16"/>
                <w:szCs w:val="16"/>
                <w:lang w:val="en-GB"/>
              </w:rPr>
            </w:pPr>
            <w:r w:rsidRPr="00801E6C">
              <w:rPr>
                <w:rFonts w:eastAsia="Arial"/>
                <w:sz w:val="16"/>
                <w:szCs w:val="16"/>
                <w:lang w:val="en-GB"/>
              </w:rPr>
              <w:t>Applicable scenarios</w:t>
            </w:r>
          </w:p>
        </w:tc>
        <w:tc>
          <w:tcPr>
            <w:tcW w:w="1731" w:type="dxa"/>
            <w:vMerge w:val="restart"/>
            <w:noWrap/>
          </w:tcPr>
          <w:p w14:paraId="0F12BA3C" w14:textId="77777777" w:rsidR="006E18C3" w:rsidRPr="00163523" w:rsidRDefault="006E18C3" w:rsidP="0076227C">
            <w:pPr>
              <w:keepNext/>
              <w:spacing w:line="240" w:lineRule="auto"/>
              <w:ind w:left="0"/>
              <w:cnfStyle w:val="100000000000" w:firstRow="1" w:lastRow="0" w:firstColumn="0" w:lastColumn="0" w:oddVBand="0" w:evenVBand="0" w:oddHBand="0" w:evenHBand="0" w:firstRowFirstColumn="0" w:firstRowLastColumn="0" w:lastRowFirstColumn="0" w:lastRowLastColumn="0"/>
              <w:rPr>
                <w:rFonts w:eastAsia="Times New Roman"/>
                <w:i/>
                <w:sz w:val="16"/>
                <w:szCs w:val="16"/>
                <w:lang w:val="en-GB" w:eastAsia="en-GB"/>
              </w:rPr>
            </w:pPr>
            <w:r w:rsidRPr="00163523">
              <w:rPr>
                <w:rFonts w:eastAsia="Arial"/>
                <w:sz w:val="16"/>
                <w:szCs w:val="16"/>
                <w:lang w:val="en-GB"/>
              </w:rPr>
              <w:t>Likelihood</w:t>
            </w:r>
          </w:p>
        </w:tc>
        <w:tc>
          <w:tcPr>
            <w:tcW w:w="1436" w:type="dxa"/>
            <w:vMerge w:val="restart"/>
            <w:noWrap/>
          </w:tcPr>
          <w:p w14:paraId="5C7F4F42" w14:textId="77777777" w:rsidR="006E18C3" w:rsidRPr="00163523" w:rsidRDefault="006E18C3" w:rsidP="0076227C">
            <w:pPr>
              <w:keepNext/>
              <w:spacing w:line="240" w:lineRule="auto"/>
              <w:ind w:left="0"/>
              <w:cnfStyle w:val="100000000000" w:firstRow="1" w:lastRow="0" w:firstColumn="0" w:lastColumn="0" w:oddVBand="0" w:evenVBand="0" w:oddHBand="0" w:evenHBand="0" w:firstRowFirstColumn="0" w:firstRowLastColumn="0" w:lastRowFirstColumn="0" w:lastRowLastColumn="0"/>
              <w:rPr>
                <w:rFonts w:eastAsia="Times New Roman"/>
                <w:i/>
                <w:sz w:val="16"/>
                <w:szCs w:val="16"/>
                <w:lang w:val="en-GB" w:eastAsia="en-GB"/>
              </w:rPr>
            </w:pPr>
            <w:r w:rsidRPr="00163523">
              <w:rPr>
                <w:rFonts w:eastAsia="Arial"/>
                <w:sz w:val="16"/>
                <w:szCs w:val="16"/>
                <w:lang w:val="en-GB"/>
              </w:rPr>
              <w:t>Severity</w:t>
            </w:r>
          </w:p>
        </w:tc>
      </w:tr>
      <w:tr w:rsidR="006E18C3" w:rsidRPr="00801E6C" w14:paraId="401589FF" w14:textId="77777777" w:rsidTr="000C7C92">
        <w:trPr>
          <w:trHeight w:val="20"/>
        </w:trPr>
        <w:tc>
          <w:tcPr>
            <w:cnfStyle w:val="001000000000" w:firstRow="0" w:lastRow="0" w:firstColumn="1" w:lastColumn="0" w:oddVBand="0" w:evenVBand="0" w:oddHBand="0" w:evenHBand="0" w:firstRowFirstColumn="0" w:firstRowLastColumn="0" w:lastRowFirstColumn="0" w:lastRowLastColumn="0"/>
            <w:tcW w:w="2689" w:type="dxa"/>
            <w:vMerge/>
            <w:noWrap/>
          </w:tcPr>
          <w:p w14:paraId="65A73B57" w14:textId="77777777" w:rsidR="006E18C3" w:rsidRPr="00801E6C" w:rsidRDefault="006E18C3" w:rsidP="0076227C">
            <w:pPr>
              <w:spacing w:line="240" w:lineRule="auto"/>
              <w:ind w:left="0"/>
              <w:jc w:val="center"/>
              <w:rPr>
                <w:rFonts w:eastAsia="Arial"/>
                <w:sz w:val="16"/>
                <w:szCs w:val="16"/>
                <w:lang w:val="en-GB"/>
              </w:rPr>
            </w:pPr>
          </w:p>
        </w:tc>
        <w:tc>
          <w:tcPr>
            <w:tcW w:w="864" w:type="dxa"/>
          </w:tcPr>
          <w:p w14:paraId="1891FFE3" w14:textId="77777777" w:rsidR="006E18C3" w:rsidRPr="00163523" w:rsidRDefault="006E18C3" w:rsidP="0076227C">
            <w:pPr>
              <w:spacing w:line="240" w:lineRule="auto"/>
              <w:ind w:left="0"/>
              <w:cnfStyle w:val="000000000000" w:firstRow="0" w:lastRow="0" w:firstColumn="0" w:lastColumn="0" w:oddVBand="0" w:evenVBand="0" w:oddHBand="0" w:evenHBand="0" w:firstRowFirstColumn="0" w:firstRowLastColumn="0" w:lastRowFirstColumn="0" w:lastRowLastColumn="0"/>
              <w:rPr>
                <w:rFonts w:eastAsia="Times New Roman"/>
                <w:b/>
                <w:color w:val="000000"/>
                <w:sz w:val="14"/>
                <w:szCs w:val="14"/>
                <w:lang w:val="en-GB" w:eastAsia="en-GB"/>
              </w:rPr>
            </w:pPr>
            <w:r w:rsidRPr="00163523">
              <w:rPr>
                <w:rFonts w:eastAsia="Arial"/>
                <w:sz w:val="14"/>
                <w:szCs w:val="14"/>
                <w:lang w:val="en-GB"/>
              </w:rPr>
              <w:t>REN-M</w:t>
            </w:r>
          </w:p>
        </w:tc>
        <w:tc>
          <w:tcPr>
            <w:tcW w:w="864" w:type="dxa"/>
          </w:tcPr>
          <w:p w14:paraId="341275D7" w14:textId="77777777" w:rsidR="006E18C3" w:rsidRPr="00163523" w:rsidRDefault="006E18C3" w:rsidP="0076227C">
            <w:pPr>
              <w:spacing w:line="240" w:lineRule="auto"/>
              <w:ind w:left="0"/>
              <w:cnfStyle w:val="000000000000" w:firstRow="0" w:lastRow="0" w:firstColumn="0" w:lastColumn="0" w:oddVBand="0" w:evenVBand="0" w:oddHBand="0" w:evenHBand="0" w:firstRowFirstColumn="0" w:firstRowLastColumn="0" w:lastRowFirstColumn="0" w:lastRowLastColumn="0"/>
              <w:rPr>
                <w:rFonts w:eastAsia="Times New Roman"/>
                <w:b/>
                <w:color w:val="000000"/>
                <w:sz w:val="14"/>
                <w:szCs w:val="14"/>
                <w:lang w:val="en-GB" w:eastAsia="en-GB"/>
              </w:rPr>
            </w:pPr>
            <w:r w:rsidRPr="00163523">
              <w:rPr>
                <w:rFonts w:eastAsia="Arial"/>
                <w:sz w:val="14"/>
                <w:szCs w:val="14"/>
                <w:lang w:val="en-GB"/>
              </w:rPr>
              <w:t>REN-H</w:t>
            </w:r>
          </w:p>
        </w:tc>
        <w:tc>
          <w:tcPr>
            <w:tcW w:w="865" w:type="dxa"/>
          </w:tcPr>
          <w:p w14:paraId="433F92CB" w14:textId="77777777" w:rsidR="006E18C3" w:rsidRPr="00163523" w:rsidRDefault="006E18C3" w:rsidP="0076227C">
            <w:pPr>
              <w:spacing w:line="240" w:lineRule="auto"/>
              <w:ind w:left="0"/>
              <w:cnfStyle w:val="000000000000" w:firstRow="0" w:lastRow="0" w:firstColumn="0" w:lastColumn="0" w:oddVBand="0" w:evenVBand="0" w:oddHBand="0" w:evenHBand="0" w:firstRowFirstColumn="0" w:firstRowLastColumn="0" w:lastRowFirstColumn="0" w:lastRowLastColumn="0"/>
              <w:rPr>
                <w:rFonts w:eastAsia="Times New Roman"/>
                <w:b/>
                <w:color w:val="000000"/>
                <w:sz w:val="14"/>
                <w:szCs w:val="14"/>
                <w:lang w:val="en-GB" w:eastAsia="en-GB"/>
              </w:rPr>
            </w:pPr>
            <w:r w:rsidRPr="00163523">
              <w:rPr>
                <w:rFonts w:eastAsia="Arial"/>
                <w:sz w:val="14"/>
                <w:szCs w:val="14"/>
                <w:lang w:val="en-GB"/>
              </w:rPr>
              <w:t>CM</w:t>
            </w:r>
          </w:p>
        </w:tc>
        <w:tc>
          <w:tcPr>
            <w:tcW w:w="1731" w:type="dxa"/>
            <w:vMerge/>
            <w:shd w:val="clear" w:color="auto" w:fill="F9B7AC" w:themeFill="accent2" w:themeFillTint="66"/>
            <w:noWrap/>
          </w:tcPr>
          <w:p w14:paraId="78EF5FD7" w14:textId="77777777" w:rsidR="006E18C3" w:rsidRPr="00163523" w:rsidRDefault="006E18C3" w:rsidP="0076227C">
            <w:pPr>
              <w:spacing w:line="240" w:lineRule="auto"/>
              <w:ind w:left="0"/>
              <w:cnfStyle w:val="000000000000" w:firstRow="0" w:lastRow="0" w:firstColumn="0" w:lastColumn="0" w:oddVBand="0" w:evenVBand="0" w:oddHBand="0" w:evenHBand="0" w:firstRowFirstColumn="0" w:firstRowLastColumn="0" w:lastRowFirstColumn="0" w:lastRowLastColumn="0"/>
              <w:rPr>
                <w:rFonts w:eastAsia="Times New Roman"/>
                <w:b/>
                <w:color w:val="000000"/>
                <w:sz w:val="16"/>
                <w:szCs w:val="16"/>
                <w:lang w:val="en-GB" w:eastAsia="en-GB"/>
              </w:rPr>
            </w:pPr>
          </w:p>
        </w:tc>
        <w:tc>
          <w:tcPr>
            <w:tcW w:w="1436" w:type="dxa"/>
            <w:vMerge/>
            <w:shd w:val="clear" w:color="auto" w:fill="FFD57B" w:themeFill="accent4" w:themeFillShade="E6"/>
            <w:noWrap/>
          </w:tcPr>
          <w:p w14:paraId="123CC31A" w14:textId="77777777" w:rsidR="006E18C3" w:rsidRPr="00163523" w:rsidRDefault="006E18C3" w:rsidP="0076227C">
            <w:pPr>
              <w:spacing w:line="240" w:lineRule="auto"/>
              <w:ind w:left="0"/>
              <w:cnfStyle w:val="000000000000" w:firstRow="0" w:lastRow="0" w:firstColumn="0" w:lastColumn="0" w:oddVBand="0" w:evenVBand="0" w:oddHBand="0" w:evenHBand="0" w:firstRowFirstColumn="0" w:firstRowLastColumn="0" w:lastRowFirstColumn="0" w:lastRowLastColumn="0"/>
              <w:rPr>
                <w:rFonts w:eastAsia="Arial"/>
                <w:b/>
                <w:sz w:val="16"/>
                <w:szCs w:val="16"/>
                <w:lang w:val="en-GB"/>
              </w:rPr>
            </w:pPr>
          </w:p>
        </w:tc>
      </w:tr>
      <w:tr w:rsidR="006E18C3" w:rsidRPr="00801E6C" w14:paraId="6D49A97D" w14:textId="77777777" w:rsidTr="000C7C92">
        <w:trPr>
          <w:trHeight w:val="20"/>
        </w:trPr>
        <w:tc>
          <w:tcPr>
            <w:cnfStyle w:val="001000000000" w:firstRow="0" w:lastRow="0" w:firstColumn="1" w:lastColumn="0" w:oddVBand="0" w:evenVBand="0" w:oddHBand="0" w:evenHBand="0" w:firstRowFirstColumn="0" w:firstRowLastColumn="0" w:lastRowFirstColumn="0" w:lastRowLastColumn="0"/>
            <w:tcW w:w="2689" w:type="dxa"/>
            <w:noWrap/>
          </w:tcPr>
          <w:p w14:paraId="155BD567" w14:textId="6A918862" w:rsidR="006E18C3" w:rsidRPr="00801E6C" w:rsidRDefault="00DD2713" w:rsidP="0076227C">
            <w:pPr>
              <w:spacing w:line="240" w:lineRule="auto"/>
              <w:ind w:left="0"/>
              <w:jc w:val="center"/>
              <w:rPr>
                <w:rFonts w:eastAsia="Times New Roman"/>
                <w:color w:val="000000"/>
                <w:sz w:val="16"/>
                <w:szCs w:val="16"/>
                <w:lang w:val="en-GB" w:eastAsia="en-GB"/>
              </w:rPr>
            </w:pPr>
            <w:r w:rsidRPr="00163523">
              <w:rPr>
                <w:sz w:val="16"/>
                <w:szCs w:val="16"/>
                <w:lang w:val="en-GB"/>
              </w:rPr>
              <w:t>Lock-in on natural gas or asset stranding</w:t>
            </w:r>
          </w:p>
        </w:tc>
        <w:tc>
          <w:tcPr>
            <w:tcW w:w="864" w:type="dxa"/>
          </w:tcPr>
          <w:p w14:paraId="2149D1C6" w14:textId="3096727E" w:rsidR="006E18C3" w:rsidRPr="00163523" w:rsidRDefault="006E18C3" w:rsidP="0076227C">
            <w:pPr>
              <w:spacing w:line="240" w:lineRule="auto"/>
              <w:ind w:left="0"/>
              <w:cnfStyle w:val="000000000000" w:firstRow="0" w:lastRow="0" w:firstColumn="0" w:lastColumn="0" w:oddVBand="0" w:evenVBand="0" w:oddHBand="0" w:evenHBand="0" w:firstRowFirstColumn="0" w:firstRowLastColumn="0" w:lastRowFirstColumn="0" w:lastRowLastColumn="0"/>
              <w:rPr>
                <w:rFonts w:eastAsia="Times New Roman"/>
                <w:b/>
                <w:color w:val="000000"/>
                <w:sz w:val="16"/>
                <w:szCs w:val="16"/>
                <w:lang w:val="en-GB" w:eastAsia="en-GB"/>
              </w:rPr>
            </w:pPr>
            <w:r w:rsidRPr="00163523">
              <w:rPr>
                <w:rFonts w:ascii="Wingdings" w:eastAsia="Wingdings" w:hAnsi="Wingdings" w:cs="Wingdings"/>
                <w:b/>
                <w:color w:val="000000"/>
                <w:sz w:val="16"/>
                <w:szCs w:val="16"/>
                <w:lang w:val="en-GB" w:eastAsia="en-GB"/>
              </w:rPr>
              <w:sym w:font="Wingdings" w:char="F0FC"/>
            </w:r>
            <w:r w:rsidR="00656241" w:rsidRPr="00163523">
              <w:rPr>
                <w:rFonts w:ascii="Wingdings" w:eastAsia="Wingdings" w:hAnsi="Wingdings" w:cs="Wingdings"/>
                <w:b/>
                <w:color w:val="000000"/>
                <w:sz w:val="16"/>
                <w:szCs w:val="16"/>
                <w:lang w:val="en-GB" w:eastAsia="en-GB"/>
              </w:rPr>
              <w:sym w:font="Wingdings" w:char="F0FC"/>
            </w:r>
          </w:p>
        </w:tc>
        <w:tc>
          <w:tcPr>
            <w:tcW w:w="864" w:type="dxa"/>
          </w:tcPr>
          <w:p w14:paraId="280166C8" w14:textId="46B20BAD" w:rsidR="006E18C3" w:rsidRPr="00163523" w:rsidRDefault="006E18C3" w:rsidP="0076227C">
            <w:pPr>
              <w:spacing w:line="240" w:lineRule="auto"/>
              <w:ind w:left="0"/>
              <w:cnfStyle w:val="000000000000" w:firstRow="0" w:lastRow="0" w:firstColumn="0" w:lastColumn="0" w:oddVBand="0" w:evenVBand="0" w:oddHBand="0" w:evenHBand="0" w:firstRowFirstColumn="0" w:firstRowLastColumn="0" w:lastRowFirstColumn="0" w:lastRowLastColumn="0"/>
              <w:rPr>
                <w:rFonts w:eastAsia="Times New Roman"/>
                <w:b/>
                <w:color w:val="000000"/>
                <w:sz w:val="16"/>
                <w:szCs w:val="16"/>
                <w:lang w:val="en-GB" w:eastAsia="en-GB"/>
              </w:rPr>
            </w:pPr>
            <w:r w:rsidRPr="00163523">
              <w:rPr>
                <w:rFonts w:ascii="Wingdings" w:eastAsia="Wingdings" w:hAnsi="Wingdings" w:cs="Wingdings"/>
                <w:b/>
                <w:color w:val="000000"/>
                <w:sz w:val="16"/>
                <w:szCs w:val="16"/>
                <w:lang w:val="en-GB" w:eastAsia="en-GB"/>
              </w:rPr>
              <w:sym w:font="Wingdings" w:char="F0FC"/>
            </w:r>
            <w:r w:rsidR="00182813" w:rsidRPr="00163523">
              <w:rPr>
                <w:rFonts w:ascii="Wingdings" w:eastAsia="Wingdings" w:hAnsi="Wingdings" w:cs="Wingdings"/>
                <w:b/>
                <w:color w:val="000000"/>
                <w:sz w:val="16"/>
                <w:szCs w:val="16"/>
                <w:lang w:val="en-GB" w:eastAsia="en-GB"/>
              </w:rPr>
              <w:sym w:font="Wingdings" w:char="F0FC"/>
            </w:r>
          </w:p>
        </w:tc>
        <w:tc>
          <w:tcPr>
            <w:tcW w:w="865" w:type="dxa"/>
          </w:tcPr>
          <w:p w14:paraId="58D0D5EE" w14:textId="71DE5B48" w:rsidR="006E18C3" w:rsidRPr="00163523" w:rsidRDefault="00656241" w:rsidP="00656241">
            <w:pPr>
              <w:spacing w:line="240" w:lineRule="auto"/>
              <w:ind w:left="0"/>
              <w:cnfStyle w:val="000000000000" w:firstRow="0" w:lastRow="0" w:firstColumn="0" w:lastColumn="0" w:oddVBand="0" w:evenVBand="0" w:oddHBand="0" w:evenHBand="0" w:firstRowFirstColumn="0" w:firstRowLastColumn="0" w:lastRowFirstColumn="0" w:lastRowLastColumn="0"/>
              <w:rPr>
                <w:rFonts w:eastAsia="Times New Roman"/>
                <w:b/>
                <w:color w:val="000000"/>
                <w:sz w:val="16"/>
                <w:szCs w:val="16"/>
                <w:lang w:val="en-GB" w:eastAsia="en-GB"/>
              </w:rPr>
            </w:pPr>
            <w:r w:rsidRPr="00163523">
              <w:rPr>
                <w:rFonts w:ascii="Wingdings" w:eastAsia="Wingdings" w:hAnsi="Wingdings" w:cs="Wingdings"/>
                <w:b/>
                <w:color w:val="000000"/>
                <w:sz w:val="16"/>
                <w:szCs w:val="16"/>
                <w:lang w:val="en-GB" w:eastAsia="en-GB"/>
              </w:rPr>
              <w:sym w:font="Wingdings" w:char="F0FC"/>
            </w:r>
          </w:p>
        </w:tc>
        <w:tc>
          <w:tcPr>
            <w:tcW w:w="1731" w:type="dxa"/>
            <w:shd w:val="clear" w:color="auto" w:fill="FFD57B" w:themeFill="accent4" w:themeFillShade="E6"/>
            <w:noWrap/>
          </w:tcPr>
          <w:p w14:paraId="5EABEC0B" w14:textId="69F7E351" w:rsidR="006E18C3" w:rsidRPr="00163523" w:rsidRDefault="00DD2713" w:rsidP="0076227C">
            <w:pPr>
              <w:spacing w:line="240" w:lineRule="auto"/>
              <w:ind w:left="0"/>
              <w:cnfStyle w:val="000000000000" w:firstRow="0" w:lastRow="0" w:firstColumn="0" w:lastColumn="0" w:oddVBand="0" w:evenVBand="0" w:oddHBand="0" w:evenHBand="0" w:firstRowFirstColumn="0" w:firstRowLastColumn="0" w:lastRowFirstColumn="0" w:lastRowLastColumn="0"/>
              <w:rPr>
                <w:rFonts w:eastAsia="Times New Roman"/>
                <w:b/>
                <w:color w:val="000000"/>
                <w:sz w:val="16"/>
                <w:szCs w:val="16"/>
                <w:lang w:val="en-GB" w:eastAsia="en-GB"/>
              </w:rPr>
            </w:pPr>
            <w:r w:rsidRPr="00163523">
              <w:rPr>
                <w:rFonts w:eastAsia="Times New Roman"/>
                <w:b/>
                <w:color w:val="000000"/>
                <w:sz w:val="16"/>
                <w:szCs w:val="16"/>
                <w:lang w:val="en-GB" w:eastAsia="en-GB"/>
              </w:rPr>
              <w:t>Medium</w:t>
            </w:r>
          </w:p>
        </w:tc>
        <w:tc>
          <w:tcPr>
            <w:tcW w:w="1436" w:type="dxa"/>
            <w:shd w:val="clear" w:color="auto" w:fill="F9B7AC" w:themeFill="accent2" w:themeFillTint="66"/>
            <w:noWrap/>
          </w:tcPr>
          <w:p w14:paraId="048B4102" w14:textId="742F70BA" w:rsidR="006E18C3" w:rsidRPr="00163523" w:rsidRDefault="00656241" w:rsidP="0076227C">
            <w:pPr>
              <w:spacing w:line="240" w:lineRule="auto"/>
              <w:ind w:left="0"/>
              <w:cnfStyle w:val="000000000000" w:firstRow="0" w:lastRow="0" w:firstColumn="0" w:lastColumn="0" w:oddVBand="0" w:evenVBand="0" w:oddHBand="0" w:evenHBand="0" w:firstRowFirstColumn="0" w:firstRowLastColumn="0" w:lastRowFirstColumn="0" w:lastRowLastColumn="0"/>
              <w:rPr>
                <w:rFonts w:eastAsia="Times New Roman"/>
                <w:b/>
                <w:i/>
                <w:color w:val="000000"/>
                <w:sz w:val="16"/>
                <w:szCs w:val="16"/>
                <w:lang w:val="en-GB" w:eastAsia="en-GB"/>
              </w:rPr>
            </w:pPr>
            <w:r w:rsidRPr="00163523">
              <w:rPr>
                <w:rFonts w:eastAsia="Arial"/>
                <w:b/>
                <w:sz w:val="16"/>
                <w:szCs w:val="16"/>
                <w:lang w:val="en-GB"/>
              </w:rPr>
              <w:t>High</w:t>
            </w:r>
          </w:p>
        </w:tc>
      </w:tr>
    </w:tbl>
    <w:p w14:paraId="7B731CEA" w14:textId="77777777" w:rsidR="006E18C3" w:rsidRPr="00163523" w:rsidRDefault="006E18C3" w:rsidP="00F63E15">
      <w:pPr>
        <w:rPr>
          <w:lang w:val="en-GB"/>
        </w:rPr>
      </w:pPr>
    </w:p>
    <w:p w14:paraId="12B4E7C8" w14:textId="77777777" w:rsidR="00F63E15" w:rsidRPr="000C7C92" w:rsidRDefault="00F63E15" w:rsidP="00F63E15">
      <w:pPr>
        <w:pStyle w:val="Kop4"/>
        <w:rPr>
          <w:lang w:val="en-GB"/>
        </w:rPr>
      </w:pPr>
      <w:r>
        <w:rPr>
          <w:lang w:val="en-GB"/>
        </w:rPr>
        <w:t xml:space="preserve">Potential </w:t>
      </w:r>
      <w:r w:rsidRPr="000C7C92">
        <w:rPr>
          <w:lang w:val="en-GB"/>
        </w:rPr>
        <w:t>mitigation measures</w:t>
      </w:r>
    </w:p>
    <w:p w14:paraId="5C568F2B" w14:textId="4AEE781C" w:rsidR="00637045" w:rsidRPr="00163523" w:rsidRDefault="00637045" w:rsidP="005A1BEF">
      <w:pPr>
        <w:rPr>
          <w:lang w:val="en-GB"/>
        </w:rPr>
      </w:pPr>
      <w:r w:rsidRPr="00163523">
        <w:rPr>
          <w:lang w:val="en-GB"/>
        </w:rPr>
        <w:t>The following measures can be considered</w:t>
      </w:r>
      <w:r w:rsidR="00B16F9C" w:rsidRPr="00163523">
        <w:rPr>
          <w:lang w:val="en-GB"/>
        </w:rPr>
        <w:t xml:space="preserve"> to </w:t>
      </w:r>
      <w:r w:rsidR="00975062" w:rsidRPr="00163523">
        <w:rPr>
          <w:lang w:val="en-GB"/>
        </w:rPr>
        <w:t>reduce the like</w:t>
      </w:r>
      <w:r w:rsidR="008E75C7" w:rsidRPr="00163523">
        <w:rPr>
          <w:lang w:val="en-GB"/>
        </w:rPr>
        <w:t>lihood and/or severity of this risk</w:t>
      </w:r>
      <w:r w:rsidRPr="00163523">
        <w:rPr>
          <w:lang w:val="en-GB"/>
        </w:rPr>
        <w:t>:</w:t>
      </w:r>
    </w:p>
    <w:p w14:paraId="3AFD0F53" w14:textId="7DFEAA4E" w:rsidR="00FA14D7" w:rsidRPr="00163523" w:rsidRDefault="005A1BEF" w:rsidP="00740F33">
      <w:pPr>
        <w:pStyle w:val="ChecklistBulletpoint"/>
        <w:numPr>
          <w:ilvl w:val="0"/>
          <w:numId w:val="44"/>
        </w:numPr>
        <w:rPr>
          <w:lang w:val="en-GB"/>
        </w:rPr>
      </w:pPr>
      <w:r w:rsidRPr="00163523">
        <w:rPr>
          <w:lang w:val="en-GB"/>
        </w:rPr>
        <w:t xml:space="preserve">Reduce investments in </w:t>
      </w:r>
      <w:r w:rsidR="00166C1E" w:rsidRPr="00163523">
        <w:rPr>
          <w:lang w:val="en-GB"/>
        </w:rPr>
        <w:t xml:space="preserve">new </w:t>
      </w:r>
      <w:r w:rsidRPr="00163523">
        <w:rPr>
          <w:lang w:val="en-GB"/>
        </w:rPr>
        <w:t xml:space="preserve">natural gas </w:t>
      </w:r>
      <w:r w:rsidR="00166C1E" w:rsidRPr="00163523">
        <w:rPr>
          <w:lang w:val="en-GB"/>
        </w:rPr>
        <w:t xml:space="preserve">network infrastructure </w:t>
      </w:r>
      <w:r w:rsidR="00AC5939" w:rsidRPr="00163523">
        <w:rPr>
          <w:lang w:val="en-GB"/>
        </w:rPr>
        <w:t xml:space="preserve">(new pipelines and fixed LNG </w:t>
      </w:r>
      <w:r w:rsidR="009F4D1A" w:rsidRPr="00163523">
        <w:rPr>
          <w:lang w:val="en-GB"/>
        </w:rPr>
        <w:t xml:space="preserve">terminals, extension of existing transport and distribution </w:t>
      </w:r>
      <w:r w:rsidR="00EC0938" w:rsidRPr="00163523">
        <w:rPr>
          <w:lang w:val="en-GB"/>
        </w:rPr>
        <w:t>networks)</w:t>
      </w:r>
      <w:r w:rsidR="009F4D1A" w:rsidRPr="00163523">
        <w:rPr>
          <w:lang w:val="en-GB"/>
        </w:rPr>
        <w:t xml:space="preserve"> </w:t>
      </w:r>
      <w:r w:rsidR="00166C1E" w:rsidRPr="00163523">
        <w:rPr>
          <w:lang w:val="en-GB"/>
        </w:rPr>
        <w:t>to the strict minimum</w:t>
      </w:r>
      <w:r w:rsidR="00740F33" w:rsidRPr="00163523">
        <w:rPr>
          <w:lang w:val="en-GB"/>
        </w:rPr>
        <w:t xml:space="preserve"> (i.e., to ensure security of supply)</w:t>
      </w:r>
      <w:r w:rsidR="00166C1E" w:rsidRPr="00163523">
        <w:rPr>
          <w:lang w:val="en-GB"/>
        </w:rPr>
        <w:t xml:space="preserve">, and </w:t>
      </w:r>
      <w:r w:rsidR="004B3F60" w:rsidRPr="00163523">
        <w:rPr>
          <w:lang w:val="en-GB"/>
        </w:rPr>
        <w:t xml:space="preserve">ensure that any new </w:t>
      </w:r>
      <w:r w:rsidR="00FA14D7" w:rsidRPr="00163523">
        <w:rPr>
          <w:lang w:val="en-GB"/>
        </w:rPr>
        <w:t>asset</w:t>
      </w:r>
      <w:r w:rsidR="004B3F60" w:rsidRPr="00163523">
        <w:rPr>
          <w:lang w:val="en-GB"/>
        </w:rPr>
        <w:t xml:space="preserve"> is </w:t>
      </w:r>
      <w:r w:rsidR="00C0656B" w:rsidRPr="00163523">
        <w:rPr>
          <w:lang w:val="en-GB"/>
        </w:rPr>
        <w:t xml:space="preserve">future-proof, i.e. can </w:t>
      </w:r>
      <w:r w:rsidR="003E2F8D" w:rsidRPr="00163523">
        <w:rPr>
          <w:lang w:val="en-GB"/>
        </w:rPr>
        <w:t xml:space="preserve">technically </w:t>
      </w:r>
      <w:r w:rsidR="00C0656B" w:rsidRPr="00163523">
        <w:rPr>
          <w:lang w:val="en-GB"/>
        </w:rPr>
        <w:t xml:space="preserve">be repurposed for </w:t>
      </w:r>
      <w:r w:rsidR="00FA14D7" w:rsidRPr="00163523">
        <w:rPr>
          <w:lang w:val="en-GB"/>
        </w:rPr>
        <w:t>biomethane or hydrogen</w:t>
      </w:r>
      <w:r w:rsidR="003E2F8D" w:rsidRPr="00163523">
        <w:rPr>
          <w:lang w:val="en-GB"/>
        </w:rPr>
        <w:t xml:space="preserve"> at “reasonable” costs</w:t>
      </w:r>
      <w:r w:rsidR="009D3986" w:rsidRPr="00163523">
        <w:rPr>
          <w:lang w:val="en-GB"/>
        </w:rPr>
        <w:t>;</w:t>
      </w:r>
    </w:p>
    <w:p w14:paraId="1E56D770" w14:textId="0EBA8BE8" w:rsidR="00647012" w:rsidRPr="00163523" w:rsidRDefault="009179E5" w:rsidP="00740F33">
      <w:pPr>
        <w:pStyle w:val="ChecklistBulletpoint"/>
        <w:numPr>
          <w:ilvl w:val="0"/>
          <w:numId w:val="44"/>
        </w:numPr>
        <w:rPr>
          <w:lang w:val="en-GB"/>
        </w:rPr>
      </w:pPr>
      <w:r w:rsidRPr="00163523">
        <w:rPr>
          <w:lang w:val="en-GB"/>
        </w:rPr>
        <w:t>I</w:t>
      </w:r>
      <w:r w:rsidR="00E72792" w:rsidRPr="00163523">
        <w:rPr>
          <w:lang w:val="en-GB"/>
        </w:rPr>
        <w:t>ntroduc</w:t>
      </w:r>
      <w:r w:rsidRPr="00163523">
        <w:rPr>
          <w:lang w:val="en-GB"/>
        </w:rPr>
        <w:t>e</w:t>
      </w:r>
      <w:r w:rsidR="00E72792" w:rsidRPr="00163523">
        <w:rPr>
          <w:lang w:val="en-GB"/>
        </w:rPr>
        <w:t xml:space="preserve"> </w:t>
      </w:r>
      <w:r w:rsidR="00647012" w:rsidRPr="00163523">
        <w:rPr>
          <w:lang w:val="en-GB"/>
        </w:rPr>
        <w:t xml:space="preserve">a </w:t>
      </w:r>
      <w:r w:rsidR="008F1922" w:rsidRPr="00163523">
        <w:rPr>
          <w:lang w:val="en-GB"/>
        </w:rPr>
        <w:t xml:space="preserve">legal </w:t>
      </w:r>
      <w:r w:rsidR="00E72792" w:rsidRPr="00163523">
        <w:rPr>
          <w:lang w:val="en-GB"/>
        </w:rPr>
        <w:t xml:space="preserve">ban on connecting new </w:t>
      </w:r>
      <w:r w:rsidR="00BD2A51" w:rsidRPr="00163523">
        <w:rPr>
          <w:lang w:val="en-GB"/>
        </w:rPr>
        <w:t xml:space="preserve">residential and tertiary </w:t>
      </w:r>
      <w:r w:rsidR="00647012" w:rsidRPr="00163523">
        <w:rPr>
          <w:lang w:val="en-GB"/>
        </w:rPr>
        <w:t>buildings to the natural gas grid</w:t>
      </w:r>
      <w:r w:rsidR="00EC7238" w:rsidRPr="00163523">
        <w:rPr>
          <w:lang w:val="en-GB"/>
        </w:rPr>
        <w:t xml:space="preserve">, </w:t>
      </w:r>
      <w:r w:rsidR="009D4649" w:rsidRPr="00163523">
        <w:rPr>
          <w:lang w:val="en-GB"/>
        </w:rPr>
        <w:t xml:space="preserve">potentially </w:t>
      </w:r>
      <w:r w:rsidR="00BA2751" w:rsidRPr="00163523">
        <w:rPr>
          <w:lang w:val="en-GB"/>
        </w:rPr>
        <w:t>unless they commit to mainly u</w:t>
      </w:r>
      <w:r w:rsidR="00182895" w:rsidRPr="00163523">
        <w:rPr>
          <w:lang w:val="en-GB"/>
        </w:rPr>
        <w:t>se renewable gases</w:t>
      </w:r>
      <w:r w:rsidR="00647012" w:rsidRPr="00163523">
        <w:rPr>
          <w:lang w:val="en-GB"/>
        </w:rPr>
        <w:t>; such a legal ban has already been implemented in other EU Member States</w:t>
      </w:r>
      <w:r w:rsidR="00AA4FDC" w:rsidRPr="00163523">
        <w:rPr>
          <w:lang w:val="en-GB"/>
        </w:rPr>
        <w:t xml:space="preserve"> to </w:t>
      </w:r>
      <w:r w:rsidR="00DC453A" w:rsidRPr="00163523">
        <w:rPr>
          <w:lang w:val="en-GB"/>
        </w:rPr>
        <w:t>stimulate</w:t>
      </w:r>
      <w:r w:rsidR="00AA4FDC" w:rsidRPr="00163523">
        <w:rPr>
          <w:lang w:val="en-GB"/>
        </w:rPr>
        <w:t xml:space="preserve"> </w:t>
      </w:r>
      <w:r w:rsidR="001015B1" w:rsidRPr="00163523">
        <w:rPr>
          <w:lang w:val="en-GB"/>
        </w:rPr>
        <w:t xml:space="preserve">renewable or low-carbon </w:t>
      </w:r>
      <w:r w:rsidR="009B41B3" w:rsidRPr="00163523">
        <w:rPr>
          <w:lang w:val="en-GB"/>
        </w:rPr>
        <w:t xml:space="preserve">energy based </w:t>
      </w:r>
      <w:r w:rsidR="00AA4FDC" w:rsidRPr="00163523">
        <w:rPr>
          <w:lang w:val="en-GB"/>
        </w:rPr>
        <w:t>alternatives such as heat pumps and district heating</w:t>
      </w:r>
      <w:r w:rsidR="009D3986" w:rsidRPr="00163523">
        <w:rPr>
          <w:lang w:val="en-GB"/>
        </w:rPr>
        <w:t>;</w:t>
      </w:r>
    </w:p>
    <w:p w14:paraId="16839C05" w14:textId="5B137542" w:rsidR="005A1BEF" w:rsidRPr="00163523" w:rsidRDefault="00A0178D" w:rsidP="00740F33">
      <w:pPr>
        <w:pStyle w:val="ChecklistBulletpoint"/>
        <w:numPr>
          <w:ilvl w:val="0"/>
          <w:numId w:val="44"/>
        </w:numPr>
        <w:rPr>
          <w:lang w:val="en-GB"/>
        </w:rPr>
      </w:pPr>
      <w:r w:rsidRPr="00163523">
        <w:rPr>
          <w:lang w:val="en-GB"/>
        </w:rPr>
        <w:t xml:space="preserve">Assess </w:t>
      </w:r>
      <w:r w:rsidR="00C95FB2" w:rsidRPr="00163523">
        <w:rPr>
          <w:lang w:val="en-GB"/>
        </w:rPr>
        <w:t>whether and how</w:t>
      </w:r>
      <w:r w:rsidRPr="00163523">
        <w:rPr>
          <w:lang w:val="en-GB"/>
        </w:rPr>
        <w:t xml:space="preserve"> the natural gas network </w:t>
      </w:r>
      <w:r w:rsidR="00973167" w:rsidRPr="00163523">
        <w:rPr>
          <w:lang w:val="en-GB"/>
        </w:rPr>
        <w:t>tariffs</w:t>
      </w:r>
      <w:r w:rsidRPr="00163523">
        <w:rPr>
          <w:lang w:val="en-GB"/>
        </w:rPr>
        <w:t xml:space="preserve"> </w:t>
      </w:r>
      <w:r w:rsidR="00561E7B" w:rsidRPr="00163523">
        <w:rPr>
          <w:lang w:val="en-GB"/>
        </w:rPr>
        <w:t xml:space="preserve">can be reviewed to anticipate the consequences of reduced natural gas </w:t>
      </w:r>
      <w:r w:rsidR="00614F98" w:rsidRPr="00163523">
        <w:rPr>
          <w:lang w:val="en-GB"/>
        </w:rPr>
        <w:t>use and stranded assets</w:t>
      </w:r>
      <w:r w:rsidR="00C0382F" w:rsidRPr="00163523">
        <w:rPr>
          <w:lang w:val="en-GB"/>
        </w:rPr>
        <w:t>.</w:t>
      </w:r>
      <w:r w:rsidR="005A1BEF" w:rsidRPr="00163523">
        <w:rPr>
          <w:lang w:val="en-GB"/>
        </w:rPr>
        <w:t xml:space="preserve">  </w:t>
      </w:r>
    </w:p>
    <w:bookmarkEnd w:id="66"/>
    <w:p w14:paraId="61E640F0" w14:textId="77777777" w:rsidR="00F63E15" w:rsidRDefault="00F63E15" w:rsidP="000C0A9C">
      <w:pPr>
        <w:rPr>
          <w:lang w:val="en-GB"/>
        </w:rPr>
      </w:pPr>
    </w:p>
    <w:p w14:paraId="4E65B46B" w14:textId="72FD56BE" w:rsidR="00F63E15" w:rsidRDefault="00F63E15" w:rsidP="00F63E15">
      <w:pPr>
        <w:pStyle w:val="Kop2"/>
      </w:pPr>
      <w:bookmarkStart w:id="68" w:name="_Ref137116851"/>
      <w:bookmarkStart w:id="69" w:name="_Toc138492610"/>
      <w:bookmarkStart w:id="70" w:name="_Toc144803017"/>
      <w:r>
        <w:t xml:space="preserve">Risk </w:t>
      </w:r>
      <w:r w:rsidR="00370E70">
        <w:t xml:space="preserve">11: </w:t>
      </w:r>
      <w:r w:rsidR="005C2A06">
        <w:t>Policies and regulations</w:t>
      </w:r>
      <w:r w:rsidR="00370E70" w:rsidRPr="00A91236">
        <w:t xml:space="preserve"> can present barriers to implementation of </w:t>
      </w:r>
      <w:r w:rsidR="00370E70">
        <w:t xml:space="preserve">gas </w:t>
      </w:r>
      <w:r w:rsidR="00370E70" w:rsidRPr="00A91236">
        <w:t>decarbonization actions</w:t>
      </w:r>
      <w:bookmarkEnd w:id="68"/>
      <w:bookmarkEnd w:id="69"/>
      <w:bookmarkEnd w:id="70"/>
    </w:p>
    <w:p w14:paraId="304F0A81" w14:textId="7F1061D1" w:rsidR="00F63E15" w:rsidRPr="00163523" w:rsidRDefault="00F63E15" w:rsidP="00F63E15">
      <w:pPr>
        <w:pStyle w:val="Kop4"/>
        <w:rPr>
          <w:lang w:val="en-GB"/>
        </w:rPr>
      </w:pPr>
      <w:r>
        <w:rPr>
          <w:lang w:val="en-GB"/>
        </w:rPr>
        <w:t>D</w:t>
      </w:r>
      <w:r w:rsidRPr="00163523">
        <w:rPr>
          <w:lang w:val="en-GB"/>
        </w:rPr>
        <w:t xml:space="preserve">escription of the risk, </w:t>
      </w:r>
      <w:r w:rsidR="00803ADE" w:rsidRPr="00163523">
        <w:rPr>
          <w:lang w:val="en-GB"/>
        </w:rPr>
        <w:t>covering the Baltic Regional Gas Market</w:t>
      </w:r>
    </w:p>
    <w:p w14:paraId="28044A34" w14:textId="4F327443" w:rsidR="006C45EF" w:rsidRDefault="006C45EF" w:rsidP="009C37DB">
      <w:pPr>
        <w:rPr>
          <w:lang w:val="en-GB"/>
        </w:rPr>
      </w:pPr>
      <w:r w:rsidRPr="00E97A95">
        <w:rPr>
          <w:lang w:val="en-GB"/>
        </w:rPr>
        <w:t xml:space="preserve">The other sections in this chapter address the role of policies and regulations in mitigating the identified risks. </w:t>
      </w:r>
      <w:r w:rsidRPr="009C37DB">
        <w:rPr>
          <w:lang w:val="en-GB"/>
        </w:rPr>
        <w:t>The present risk focuses on the potentially negative impacts that policies and regulations</w:t>
      </w:r>
      <w:r w:rsidR="00980081" w:rsidRPr="009C37DB">
        <w:rPr>
          <w:lang w:val="en-GB"/>
        </w:rPr>
        <w:t xml:space="preserve"> themselves</w:t>
      </w:r>
      <w:r w:rsidRPr="009C37DB">
        <w:rPr>
          <w:lang w:val="en-GB"/>
        </w:rPr>
        <w:t xml:space="preserve"> can have on the decarbonisation of the gas system</w:t>
      </w:r>
      <w:r w:rsidR="009C37DB" w:rsidRPr="009C37DB">
        <w:rPr>
          <w:lang w:val="en-GB"/>
        </w:rPr>
        <w:t>.</w:t>
      </w:r>
    </w:p>
    <w:p w14:paraId="54CBF2D6" w14:textId="77777777" w:rsidR="009C37DB" w:rsidRPr="009C37DB" w:rsidRDefault="009C37DB" w:rsidP="009C37DB">
      <w:pPr>
        <w:rPr>
          <w:lang w:val="en-GB"/>
        </w:rPr>
      </w:pPr>
    </w:p>
    <w:p w14:paraId="06CD98E2" w14:textId="77777777" w:rsidR="00562694" w:rsidRPr="00E97A95" w:rsidRDefault="00114116" w:rsidP="009C37DB">
      <w:pPr>
        <w:rPr>
          <w:lang w:val="en-GB"/>
        </w:rPr>
      </w:pPr>
      <w:r w:rsidRPr="009C37DB">
        <w:rPr>
          <w:lang w:val="en-GB"/>
        </w:rPr>
        <w:t xml:space="preserve">Uncertainty </w:t>
      </w:r>
      <w:r w:rsidR="006C45EF" w:rsidRPr="009C37DB">
        <w:rPr>
          <w:lang w:val="en-GB"/>
        </w:rPr>
        <w:t>regarding</w:t>
      </w:r>
      <w:r w:rsidRPr="009C37DB">
        <w:rPr>
          <w:lang w:val="en-GB"/>
        </w:rPr>
        <w:t xml:space="preserve"> policies and regulations targeting or affecting the gas sector can </w:t>
      </w:r>
      <w:r w:rsidR="00EB79C1" w:rsidRPr="009C37DB">
        <w:rPr>
          <w:lang w:val="en-GB"/>
        </w:rPr>
        <w:t>defer investment decisions</w:t>
      </w:r>
      <w:r w:rsidR="00980081" w:rsidRPr="009C37DB">
        <w:rPr>
          <w:lang w:val="en-GB"/>
        </w:rPr>
        <w:t xml:space="preserve">. </w:t>
      </w:r>
      <w:r w:rsidR="00562694" w:rsidRPr="00E97A95">
        <w:rPr>
          <w:lang w:val="en-GB"/>
        </w:rPr>
        <w:t>A number of recent examples exist which illustrate the issue:</w:t>
      </w:r>
    </w:p>
    <w:p w14:paraId="38587968" w14:textId="735B8AF0" w:rsidR="00967570" w:rsidRDefault="00562694" w:rsidP="009C37DB">
      <w:pPr>
        <w:pStyle w:val="Lijstalinea"/>
        <w:keepNext/>
        <w:numPr>
          <w:ilvl w:val="0"/>
          <w:numId w:val="14"/>
        </w:numPr>
      </w:pPr>
      <w:r>
        <w:t xml:space="preserve">Given the </w:t>
      </w:r>
      <w:r w:rsidR="00A94D9A">
        <w:t>need for a regulatory framework for</w:t>
      </w:r>
      <w:r w:rsidR="00492854">
        <w:t xml:space="preserve"> the hydrogen sector, the EU as well as a number of national governments have adopted or are in the process of adopti</w:t>
      </w:r>
      <w:r w:rsidR="002F62D4">
        <w:t xml:space="preserve">ng </w:t>
      </w:r>
      <w:r w:rsidR="00A94D9A">
        <w:t>such a framework</w:t>
      </w:r>
      <w:r w:rsidR="002F62D4">
        <w:t xml:space="preserve">, addressing specific issues such as unbundling between competitive and regulated activities, </w:t>
      </w:r>
      <w:r w:rsidR="007911C7">
        <w:t xml:space="preserve">imposing </w:t>
      </w:r>
      <w:r w:rsidR="00A315E5">
        <w:t xml:space="preserve">regulated </w:t>
      </w:r>
      <w:r w:rsidR="009B7981">
        <w:t>third-party access to hydrogen infrastructure and other aspects. The European Commission has proposed the Hydrogen and Decarbonised Gas Market Package</w:t>
      </w:r>
      <w:r w:rsidR="00305A18">
        <w:t xml:space="preserve"> in December 2021</w:t>
      </w:r>
      <w:r w:rsidR="00FD2F10">
        <w:t xml:space="preserve">, and the Council and Parliament </w:t>
      </w:r>
      <w:r w:rsidR="00581426">
        <w:t>ha</w:t>
      </w:r>
      <w:r w:rsidR="00FF2AC8">
        <w:t>ve in</w:t>
      </w:r>
      <w:r w:rsidR="00581426">
        <w:t xml:space="preserve"> May 2023 adopted</w:t>
      </w:r>
      <w:r w:rsidR="00FD2F10">
        <w:t xml:space="preserve"> their positions</w:t>
      </w:r>
      <w:r w:rsidR="00581426">
        <w:t>.</w:t>
      </w:r>
      <w:r w:rsidR="00581426">
        <w:rPr>
          <w:rStyle w:val="Voetnootmarkering"/>
        </w:rPr>
        <w:footnoteReference w:id="54"/>
      </w:r>
      <w:r w:rsidR="00581426">
        <w:t xml:space="preserve"> </w:t>
      </w:r>
      <w:r w:rsidR="00433636">
        <w:t xml:space="preserve">A </w:t>
      </w:r>
      <w:r w:rsidR="00433636">
        <w:lastRenderedPageBreak/>
        <w:t>number of other related legislati</w:t>
      </w:r>
      <w:r w:rsidR="002045A6">
        <w:t>on</w:t>
      </w:r>
      <w:r w:rsidR="00433636">
        <w:t xml:space="preserve"> proposed </w:t>
      </w:r>
      <w:r w:rsidR="00C45392">
        <w:t>under</w:t>
      </w:r>
      <w:r w:rsidR="00433636">
        <w:t xml:space="preserve"> the Fit for 55 package </w:t>
      </w:r>
      <w:r w:rsidR="00C45392">
        <w:t xml:space="preserve">or subsequently </w:t>
      </w:r>
      <w:r w:rsidR="00433636">
        <w:t xml:space="preserve">is also </w:t>
      </w:r>
      <w:r w:rsidR="008624B7">
        <w:t>subject to</w:t>
      </w:r>
      <w:r w:rsidR="00433636">
        <w:t xml:space="preserve"> trilateral negotiations.</w:t>
      </w:r>
      <w:r w:rsidR="00433636">
        <w:rPr>
          <w:rStyle w:val="Voetnootmarkering"/>
        </w:rPr>
        <w:footnoteReference w:id="55"/>
      </w:r>
    </w:p>
    <w:p w14:paraId="3C9A9665" w14:textId="4496641B" w:rsidR="00967570" w:rsidRDefault="00E97A95" w:rsidP="009C37DB">
      <w:pPr>
        <w:pStyle w:val="Lijstalinea"/>
        <w:keepNext/>
        <w:numPr>
          <w:ilvl w:val="0"/>
          <w:numId w:val="14"/>
        </w:numPr>
      </w:pPr>
      <w:r>
        <w:t>A</w:t>
      </w:r>
      <w:r w:rsidR="00581426">
        <w:t xml:space="preserve"> number of Member States such as Belgium</w:t>
      </w:r>
      <w:r w:rsidR="001C2351">
        <w:rPr>
          <w:rStyle w:val="Voetnootmarkering"/>
        </w:rPr>
        <w:footnoteReference w:id="56"/>
      </w:r>
      <w:r w:rsidR="00581426">
        <w:t xml:space="preserve"> and Germany</w:t>
      </w:r>
      <w:r w:rsidR="00904550">
        <w:rPr>
          <w:rStyle w:val="Voetnootmarkering"/>
        </w:rPr>
        <w:footnoteReference w:id="57"/>
      </w:r>
      <w:r w:rsidR="00581426">
        <w:t xml:space="preserve"> have </w:t>
      </w:r>
      <w:r w:rsidR="00CB5CE9">
        <w:t xml:space="preserve">proposed </w:t>
      </w:r>
      <w:r w:rsidR="00581426">
        <w:t>regulatory framework</w:t>
      </w:r>
      <w:r w:rsidR="00CB5CE9">
        <w:t>s</w:t>
      </w:r>
      <w:r w:rsidR="00581426">
        <w:t xml:space="preserve"> for hydrogen, anticipating </w:t>
      </w:r>
      <w:r w:rsidR="001C2351">
        <w:t>the revision of the regulatory framework at EU level</w:t>
      </w:r>
      <w:r w:rsidR="00A94D9A">
        <w:t xml:space="preserve"> for gas and hydrogen</w:t>
      </w:r>
      <w:r w:rsidR="00967570">
        <w:t xml:space="preserve">. However, various other Member States are awaiting  </w:t>
      </w:r>
      <w:r w:rsidR="005A0DA7">
        <w:t xml:space="preserve">an agreement on the revision of the EU gas regulatory framework, and it is possible that </w:t>
      </w:r>
      <w:r w:rsidR="00752433">
        <w:t xml:space="preserve">Member States that </w:t>
      </w:r>
      <w:r w:rsidR="00BB70B3">
        <w:t xml:space="preserve">proactively </w:t>
      </w:r>
      <w:r w:rsidR="00752433">
        <w:t xml:space="preserve">adopt national frameworks will need to adapt at least part of it to comply with the </w:t>
      </w:r>
      <w:r w:rsidR="00BB70B3">
        <w:t xml:space="preserve">final </w:t>
      </w:r>
      <w:r w:rsidR="00752433">
        <w:t>EU-level rules</w:t>
      </w:r>
      <w:r w:rsidR="00063797">
        <w:t>.</w:t>
      </w:r>
    </w:p>
    <w:p w14:paraId="6BA99B73" w14:textId="145BA2F4" w:rsidR="00A94D9A" w:rsidRDefault="002C056D" w:rsidP="009C37DB">
      <w:pPr>
        <w:pStyle w:val="Lijstalinea"/>
        <w:keepNext/>
        <w:numPr>
          <w:ilvl w:val="0"/>
          <w:numId w:val="14"/>
        </w:numPr>
      </w:pPr>
      <w:r>
        <w:t>Market a</w:t>
      </w:r>
      <w:r w:rsidR="00240F60">
        <w:t xml:space="preserve">ctors require a clear definition of the rules for renewable hydrogen and other RFNBO, as well as in the future </w:t>
      </w:r>
      <w:r w:rsidR="002461B4">
        <w:t xml:space="preserve">also </w:t>
      </w:r>
      <w:r w:rsidR="00240F60">
        <w:t xml:space="preserve">low-carbon hydrogen </w:t>
      </w:r>
      <w:r w:rsidR="0012340D">
        <w:t>and recycled carbon fuels</w:t>
      </w:r>
      <w:r w:rsidR="004C6353">
        <w:t>, to understand w</w:t>
      </w:r>
      <w:r w:rsidR="00167127">
        <w:t>hich fuels will be able to obtain certificate</w:t>
      </w:r>
      <w:r w:rsidR="002461B4">
        <w:t>s</w:t>
      </w:r>
      <w:r w:rsidR="00167127">
        <w:t xml:space="preserve"> of origin. </w:t>
      </w:r>
      <w:r w:rsidR="00AA4F13">
        <w:t>To t</w:t>
      </w:r>
      <w:r w:rsidR="00167127">
        <w:t xml:space="preserve">his </w:t>
      </w:r>
      <w:r w:rsidR="00AA4F13">
        <w:t>end</w:t>
      </w:r>
      <w:r w:rsidR="00167127">
        <w:t>, the European Commission ha</w:t>
      </w:r>
      <w:r w:rsidR="008D591F">
        <w:t>s</w:t>
      </w:r>
      <w:r w:rsidR="00167127">
        <w:t xml:space="preserve"> adopted delegated act</w:t>
      </w:r>
      <w:r w:rsidR="002E12D7">
        <w:t>s on additionality and GHG emission savings from RFNBOs</w:t>
      </w:r>
      <w:r w:rsidR="00AA4F13">
        <w:t>.</w:t>
      </w:r>
    </w:p>
    <w:p w14:paraId="473D600F" w14:textId="77777777" w:rsidR="009C37DB" w:rsidRPr="00E97A95" w:rsidRDefault="009C37DB" w:rsidP="009C37DB">
      <w:pPr>
        <w:rPr>
          <w:lang w:val="en-GB"/>
        </w:rPr>
      </w:pPr>
    </w:p>
    <w:p w14:paraId="1B00738B" w14:textId="07618A34" w:rsidR="005C7F4A" w:rsidRPr="009C37DB" w:rsidRDefault="00DB5DCE" w:rsidP="009C37DB">
      <w:pPr>
        <w:rPr>
          <w:lang w:val="en-GB"/>
        </w:rPr>
      </w:pPr>
      <w:r>
        <w:rPr>
          <w:lang w:val="en-GB"/>
        </w:rPr>
        <w:t xml:space="preserve">Regulatory reforms at </w:t>
      </w:r>
      <w:r w:rsidR="00BC2052" w:rsidRPr="009C37DB">
        <w:rPr>
          <w:lang w:val="en-GB"/>
        </w:rPr>
        <w:t xml:space="preserve">EU, national or sub-national </w:t>
      </w:r>
      <w:r>
        <w:rPr>
          <w:lang w:val="en-GB"/>
        </w:rPr>
        <w:t xml:space="preserve">level </w:t>
      </w:r>
      <w:r w:rsidR="00BC2052" w:rsidRPr="009C37DB">
        <w:rPr>
          <w:lang w:val="en-GB"/>
        </w:rPr>
        <w:t xml:space="preserve">in other areas such as permitting for renewable energy and infrastructure </w:t>
      </w:r>
      <w:r w:rsidR="001C1BD8" w:rsidRPr="009C37DB">
        <w:rPr>
          <w:lang w:val="en-GB"/>
        </w:rPr>
        <w:t>projects</w:t>
      </w:r>
      <w:r w:rsidR="00BC2052" w:rsidRPr="009C37DB">
        <w:rPr>
          <w:lang w:val="en-GB"/>
        </w:rPr>
        <w:t xml:space="preserve"> can likewise </w:t>
      </w:r>
      <w:r w:rsidR="001C1BD8" w:rsidRPr="009C37DB">
        <w:rPr>
          <w:lang w:val="en-GB"/>
        </w:rPr>
        <w:t>negatively impact the development of projects if they increase uncertainty</w:t>
      </w:r>
      <w:r w:rsidR="00487AF2" w:rsidRPr="009C37DB">
        <w:rPr>
          <w:lang w:val="en-GB"/>
        </w:rPr>
        <w:t>, as investors will typically delay decisions until</w:t>
      </w:r>
      <w:r w:rsidR="00FD711A" w:rsidRPr="009C37DB">
        <w:rPr>
          <w:lang w:val="en-GB"/>
        </w:rPr>
        <w:t xml:space="preserve"> there is clarity on the framework</w:t>
      </w:r>
      <w:r w:rsidR="009C37DB">
        <w:rPr>
          <w:lang w:val="en-GB"/>
        </w:rPr>
        <w:t xml:space="preserve">. </w:t>
      </w:r>
      <w:r w:rsidR="00693FB2" w:rsidRPr="009C37DB">
        <w:rPr>
          <w:lang w:val="en-GB"/>
        </w:rPr>
        <w:t xml:space="preserve">Integrated </w:t>
      </w:r>
      <w:r w:rsidR="00287D9F">
        <w:rPr>
          <w:lang w:val="en-GB"/>
        </w:rPr>
        <w:t>infrastructure p</w:t>
      </w:r>
      <w:r w:rsidR="00693FB2" w:rsidRPr="009C37DB">
        <w:rPr>
          <w:lang w:val="en-GB"/>
        </w:rPr>
        <w:t xml:space="preserve">lanning is </w:t>
      </w:r>
      <w:r w:rsidR="008F10A9" w:rsidRPr="009C37DB">
        <w:rPr>
          <w:lang w:val="en-GB"/>
        </w:rPr>
        <w:t xml:space="preserve">also </w:t>
      </w:r>
      <w:r w:rsidR="00693FB2" w:rsidRPr="009C37DB">
        <w:rPr>
          <w:lang w:val="en-GB"/>
        </w:rPr>
        <w:t xml:space="preserve">necessary to ensure the </w:t>
      </w:r>
      <w:r w:rsidR="005F5BBA">
        <w:rPr>
          <w:lang w:val="en-GB"/>
        </w:rPr>
        <w:t xml:space="preserve">appropriate </w:t>
      </w:r>
      <w:r w:rsidR="00693FB2" w:rsidRPr="009C37DB">
        <w:rPr>
          <w:lang w:val="en-GB"/>
        </w:rPr>
        <w:t xml:space="preserve">investments in energy infrastructure while avoiding lock-in into unsustainable pathways or asset stranding, as discussed in </w:t>
      </w:r>
      <w:r w:rsidR="0052237A">
        <w:rPr>
          <w:lang w:val="en-GB"/>
        </w:rPr>
        <w:t xml:space="preserve">the sections related to </w:t>
      </w:r>
      <w:r w:rsidR="00693FB2" w:rsidRPr="009C37DB">
        <w:rPr>
          <w:lang w:val="en-GB"/>
        </w:rPr>
        <w:t>risks 5 and 6</w:t>
      </w:r>
      <w:r w:rsidR="009C37DB">
        <w:rPr>
          <w:lang w:val="en-GB"/>
        </w:rPr>
        <w:t xml:space="preserve">. </w:t>
      </w:r>
      <w:r w:rsidR="008F1019" w:rsidRPr="009C37DB">
        <w:rPr>
          <w:lang w:val="en-GB"/>
        </w:rPr>
        <w:t>More broadly, c</w:t>
      </w:r>
      <w:r w:rsidR="005C7F4A" w:rsidRPr="009C37DB">
        <w:rPr>
          <w:lang w:val="en-GB"/>
        </w:rPr>
        <w:t xml:space="preserve">oordination </w:t>
      </w:r>
      <w:r w:rsidR="00031598" w:rsidRPr="009C37DB">
        <w:rPr>
          <w:lang w:val="en-GB"/>
        </w:rPr>
        <w:t xml:space="preserve">is necessary between a wide range of policies from governance of the energy transition, infrastructure planning, </w:t>
      </w:r>
      <w:r w:rsidR="00CB395F" w:rsidRPr="009C37DB">
        <w:rPr>
          <w:lang w:val="en-GB"/>
        </w:rPr>
        <w:t>market design, energy taxation, carbon pricing, and other</w:t>
      </w:r>
      <w:r w:rsidR="008F1019" w:rsidRPr="009C37DB">
        <w:rPr>
          <w:lang w:val="en-GB"/>
        </w:rPr>
        <w:t>s</w:t>
      </w:r>
      <w:r w:rsidR="009C37DB">
        <w:rPr>
          <w:lang w:val="en-GB"/>
        </w:rPr>
        <w:t>.</w:t>
      </w:r>
    </w:p>
    <w:p w14:paraId="6352B6B3" w14:textId="77777777" w:rsidR="00F63E15" w:rsidRPr="00163523" w:rsidRDefault="00F63E15" w:rsidP="00F63E15">
      <w:pPr>
        <w:rPr>
          <w:lang w:val="en-GB"/>
        </w:rPr>
      </w:pPr>
    </w:p>
    <w:p w14:paraId="7737E7EF" w14:textId="04171F28" w:rsidR="00F63E15" w:rsidRPr="00163523" w:rsidRDefault="00AB17A7" w:rsidP="00F63E15">
      <w:pPr>
        <w:pStyle w:val="Kop4"/>
        <w:rPr>
          <w:lang w:val="en-GB"/>
        </w:rPr>
      </w:pPr>
      <w:r w:rsidRPr="00163523">
        <w:rPr>
          <w:lang w:val="en-GB"/>
        </w:rPr>
        <w:t>Rating</w:t>
      </w:r>
      <w:r w:rsidR="00F63E15" w:rsidRPr="00163523">
        <w:rPr>
          <w:lang w:val="en-GB"/>
        </w:rPr>
        <w:t xml:space="preserve"> of the </w:t>
      </w:r>
      <w:r w:rsidRPr="00163523">
        <w:rPr>
          <w:lang w:val="en-GB"/>
        </w:rPr>
        <w:t xml:space="preserve">risk </w:t>
      </w:r>
      <w:r w:rsidR="00F63E15" w:rsidRPr="00163523">
        <w:rPr>
          <w:lang w:val="en-GB"/>
        </w:rPr>
        <w:t>based on likelihood and severity</w:t>
      </w:r>
    </w:p>
    <w:p w14:paraId="6C7F7021" w14:textId="75C948BC" w:rsidR="008F10A9" w:rsidRDefault="008F10A9" w:rsidP="008F10A9">
      <w:pPr>
        <w:rPr>
          <w:lang w:val="en-GB"/>
        </w:rPr>
      </w:pPr>
      <w:r w:rsidRPr="00BC6954">
        <w:rPr>
          <w:lang w:val="en-GB"/>
        </w:rPr>
        <w:t xml:space="preserve">Based on the arguments above, we assess the </w:t>
      </w:r>
      <w:r w:rsidRPr="00BC6954">
        <w:rPr>
          <w:b/>
          <w:bCs/>
          <w:lang w:val="en-GB"/>
        </w:rPr>
        <w:t>severity of th</w:t>
      </w:r>
      <w:r w:rsidR="0078080C">
        <w:rPr>
          <w:b/>
          <w:bCs/>
          <w:lang w:val="en-GB"/>
        </w:rPr>
        <w:t>is</w:t>
      </w:r>
      <w:r w:rsidRPr="00BC6954">
        <w:rPr>
          <w:b/>
          <w:bCs/>
          <w:lang w:val="en-GB"/>
        </w:rPr>
        <w:t xml:space="preserve"> risk as </w:t>
      </w:r>
      <w:r w:rsidR="0092146D">
        <w:rPr>
          <w:b/>
          <w:bCs/>
          <w:lang w:val="en-GB"/>
        </w:rPr>
        <w:t>‘</w:t>
      </w:r>
      <w:r w:rsidR="00B951EA">
        <w:rPr>
          <w:b/>
          <w:bCs/>
          <w:lang w:val="en-GB"/>
        </w:rPr>
        <w:t>high</w:t>
      </w:r>
      <w:r w:rsidR="0092146D">
        <w:rPr>
          <w:b/>
          <w:bCs/>
          <w:lang w:val="en-GB"/>
        </w:rPr>
        <w:t>’</w:t>
      </w:r>
      <w:r w:rsidR="00CF7AA0">
        <w:rPr>
          <w:b/>
          <w:bCs/>
          <w:lang w:val="en-GB"/>
        </w:rPr>
        <w:t xml:space="preserve">. </w:t>
      </w:r>
      <w:r w:rsidR="00CF7AA0" w:rsidRPr="004728F0">
        <w:rPr>
          <w:lang w:val="en-GB"/>
        </w:rPr>
        <w:t xml:space="preserve">The </w:t>
      </w:r>
      <w:r w:rsidR="004728F0" w:rsidRPr="004728F0">
        <w:rPr>
          <w:lang w:val="en-GB"/>
        </w:rPr>
        <w:t>materialisation</w:t>
      </w:r>
      <w:r w:rsidR="00CF7AA0" w:rsidRPr="004728F0">
        <w:rPr>
          <w:lang w:val="en-GB"/>
        </w:rPr>
        <w:t xml:space="preserve"> of th</w:t>
      </w:r>
      <w:r w:rsidR="004728F0" w:rsidRPr="004728F0">
        <w:rPr>
          <w:lang w:val="en-GB"/>
        </w:rPr>
        <w:t xml:space="preserve">is risk would result in </w:t>
      </w:r>
      <w:r w:rsidR="0030250E" w:rsidRPr="004728F0">
        <w:rPr>
          <w:lang w:val="en-GB"/>
        </w:rPr>
        <w:t xml:space="preserve">delays in investment decisions due to </w:t>
      </w:r>
      <w:r w:rsidR="00D0408A" w:rsidRPr="004728F0">
        <w:rPr>
          <w:lang w:val="en-GB"/>
        </w:rPr>
        <w:t>the</w:t>
      </w:r>
      <w:r w:rsidR="004E101C">
        <w:rPr>
          <w:lang w:val="en-GB"/>
        </w:rPr>
        <w:t xml:space="preserve"> long </w:t>
      </w:r>
      <w:r w:rsidR="00D0408A">
        <w:rPr>
          <w:lang w:val="en-GB"/>
        </w:rPr>
        <w:t>duration of the legislative processes for adopting a regulatory framework for hydrogen at the EU and national levels</w:t>
      </w:r>
      <w:r w:rsidR="0030250E">
        <w:rPr>
          <w:lang w:val="en-GB"/>
        </w:rPr>
        <w:t>, as well as the possible need to adjust national frameworks to the EU-</w:t>
      </w:r>
      <w:r w:rsidR="007B2E82">
        <w:rPr>
          <w:lang w:val="en-GB"/>
        </w:rPr>
        <w:t>ru</w:t>
      </w:r>
      <w:r w:rsidR="005603B3">
        <w:rPr>
          <w:lang w:val="en-GB"/>
        </w:rPr>
        <w:t>les</w:t>
      </w:r>
      <w:r w:rsidR="0030250E">
        <w:rPr>
          <w:lang w:val="en-GB"/>
        </w:rPr>
        <w:t xml:space="preserve"> once adopted. Given the </w:t>
      </w:r>
      <w:r w:rsidR="00D853C8">
        <w:rPr>
          <w:lang w:val="en-GB"/>
        </w:rPr>
        <w:t xml:space="preserve">long </w:t>
      </w:r>
      <w:r w:rsidR="0030250E">
        <w:rPr>
          <w:lang w:val="en-GB"/>
        </w:rPr>
        <w:t xml:space="preserve">lead times for development of hydrogen projects and associated supply chain, </w:t>
      </w:r>
      <w:r w:rsidR="000517B6">
        <w:rPr>
          <w:lang w:val="en-GB"/>
        </w:rPr>
        <w:t>any projects to be commissioned by 2030 need a final investment decision in the short-term</w:t>
      </w:r>
      <w:r w:rsidR="00CE1AF1">
        <w:rPr>
          <w:lang w:val="en-GB"/>
        </w:rPr>
        <w:t>, which will only be possible with regulatory clarity</w:t>
      </w:r>
      <w:r w:rsidR="000517B6">
        <w:rPr>
          <w:lang w:val="en-GB"/>
        </w:rPr>
        <w:t>.</w:t>
      </w:r>
      <w:r>
        <w:rPr>
          <w:lang w:val="en-GB"/>
        </w:rPr>
        <w:t xml:space="preserve"> T</w:t>
      </w:r>
      <w:r w:rsidRPr="00BC6954">
        <w:rPr>
          <w:lang w:val="en-GB"/>
        </w:rPr>
        <w:t xml:space="preserve">he </w:t>
      </w:r>
      <w:r w:rsidR="00A975F1" w:rsidRPr="005068CA">
        <w:rPr>
          <w:b/>
          <w:bCs/>
          <w:lang w:val="en-GB"/>
        </w:rPr>
        <w:t xml:space="preserve">likelihood </w:t>
      </w:r>
      <w:r w:rsidRPr="00BC6954">
        <w:rPr>
          <w:b/>
          <w:bCs/>
          <w:lang w:val="en-GB"/>
        </w:rPr>
        <w:t xml:space="preserve">of the risk is assessed as </w:t>
      </w:r>
      <w:r w:rsidR="006B4631">
        <w:rPr>
          <w:b/>
          <w:bCs/>
          <w:lang w:val="en-GB"/>
        </w:rPr>
        <w:t>‘</w:t>
      </w:r>
      <w:r w:rsidR="000517B6">
        <w:rPr>
          <w:b/>
          <w:bCs/>
          <w:lang w:val="en-GB"/>
        </w:rPr>
        <w:t>low</w:t>
      </w:r>
      <w:r w:rsidR="006B4631">
        <w:rPr>
          <w:b/>
          <w:bCs/>
          <w:lang w:val="en-GB"/>
        </w:rPr>
        <w:t>’</w:t>
      </w:r>
      <w:r w:rsidRPr="00BC6954">
        <w:rPr>
          <w:b/>
          <w:bCs/>
          <w:lang w:val="en-GB"/>
        </w:rPr>
        <w:t xml:space="preserve"> </w:t>
      </w:r>
      <w:r w:rsidR="00C515CA" w:rsidRPr="00C515CA">
        <w:rPr>
          <w:lang w:val="en-GB"/>
        </w:rPr>
        <w:t>as</w:t>
      </w:r>
      <w:r w:rsidR="000517B6">
        <w:rPr>
          <w:lang w:val="en-GB"/>
        </w:rPr>
        <w:t xml:space="preserve"> the main legislative pieces at EU level have already been proposed or even adopted, and </w:t>
      </w:r>
      <w:r w:rsidR="0047602A">
        <w:rPr>
          <w:lang w:val="en-GB"/>
        </w:rPr>
        <w:t xml:space="preserve">once </w:t>
      </w:r>
      <w:r w:rsidR="00333E00">
        <w:rPr>
          <w:lang w:val="en-GB"/>
        </w:rPr>
        <w:t>the</w:t>
      </w:r>
      <w:r w:rsidR="0047602A">
        <w:rPr>
          <w:lang w:val="en-GB"/>
        </w:rPr>
        <w:t xml:space="preserve"> EU-level framework is in place this will provide guidance to the national ones, thus reducing the chance of </w:t>
      </w:r>
      <w:r w:rsidR="00333E00">
        <w:rPr>
          <w:lang w:val="en-GB"/>
        </w:rPr>
        <w:t xml:space="preserve">national </w:t>
      </w:r>
      <w:r w:rsidR="0077425D">
        <w:rPr>
          <w:lang w:val="en-GB"/>
        </w:rPr>
        <w:t>policy process</w:t>
      </w:r>
      <w:r w:rsidR="00333E00">
        <w:rPr>
          <w:lang w:val="en-GB"/>
        </w:rPr>
        <w:t xml:space="preserve">es </w:t>
      </w:r>
      <w:r w:rsidR="0077425D">
        <w:rPr>
          <w:lang w:val="en-GB"/>
        </w:rPr>
        <w:t>delaying projects</w:t>
      </w:r>
      <w:r w:rsidR="0047602A">
        <w:rPr>
          <w:lang w:val="en-GB"/>
        </w:rPr>
        <w:t>.</w:t>
      </w:r>
    </w:p>
    <w:p w14:paraId="6FFDA64F" w14:textId="77777777" w:rsidR="008F10A9" w:rsidRPr="00BC6954" w:rsidRDefault="008F10A9" w:rsidP="008F10A9">
      <w:pPr>
        <w:rPr>
          <w:b/>
          <w:bCs/>
          <w:lang w:val="en-GB"/>
        </w:rPr>
      </w:pPr>
    </w:p>
    <w:p w14:paraId="36C9C625" w14:textId="45F84956" w:rsidR="00F63E15" w:rsidRPr="008F10A9" w:rsidRDefault="008F10A9" w:rsidP="00F63E15">
      <w:pPr>
        <w:rPr>
          <w:lang w:val="en-GB"/>
        </w:rPr>
      </w:pPr>
      <w:r w:rsidRPr="00BC6954">
        <w:rPr>
          <w:lang w:val="en-GB"/>
        </w:rPr>
        <w:t xml:space="preserve">The present risk </w:t>
      </w:r>
      <w:r w:rsidR="004A5E1C">
        <w:rPr>
          <w:lang w:val="en-GB"/>
        </w:rPr>
        <w:t>mainly</w:t>
      </w:r>
      <w:r w:rsidR="00E11142">
        <w:rPr>
          <w:lang w:val="en-GB"/>
        </w:rPr>
        <w:t xml:space="preserve"> </w:t>
      </w:r>
      <w:r>
        <w:rPr>
          <w:lang w:val="en-GB"/>
        </w:rPr>
        <w:t xml:space="preserve">affects </w:t>
      </w:r>
      <w:r w:rsidR="00CE1AF1">
        <w:rPr>
          <w:lang w:val="en-GB"/>
        </w:rPr>
        <w:t xml:space="preserve">scenarios </w:t>
      </w:r>
      <w:r w:rsidR="00E11142">
        <w:rPr>
          <w:lang w:val="en-GB"/>
        </w:rPr>
        <w:t>that are</w:t>
      </w:r>
      <w:r w:rsidR="00CE1AF1">
        <w:rPr>
          <w:lang w:val="en-GB"/>
        </w:rPr>
        <w:t xml:space="preserve"> highly reliant on hydrogen, and thus</w:t>
      </w:r>
      <w:r w:rsidR="00A72D5F">
        <w:rPr>
          <w:lang w:val="en-GB"/>
        </w:rPr>
        <w:t xml:space="preserve"> particularly</w:t>
      </w:r>
      <w:r w:rsidR="00CE1AF1">
        <w:rPr>
          <w:lang w:val="en-GB"/>
        </w:rPr>
        <w:t xml:space="preserve"> the REN-Hydrogen scenario</w:t>
      </w:r>
      <w:r w:rsidR="00A72D5F">
        <w:rPr>
          <w:lang w:val="en-GB"/>
        </w:rPr>
        <w:t>. The CM and REN-Methane scenarios could also be affected by this risk</w:t>
      </w:r>
      <w:r w:rsidR="00E20D1C">
        <w:rPr>
          <w:lang w:val="en-GB"/>
        </w:rPr>
        <w:t xml:space="preserve"> (</w:t>
      </w:r>
      <w:r w:rsidR="008F124B">
        <w:rPr>
          <w:lang w:val="en-GB"/>
        </w:rPr>
        <w:t>as</w:t>
      </w:r>
      <w:r w:rsidR="00E20D1C">
        <w:rPr>
          <w:lang w:val="en-GB"/>
        </w:rPr>
        <w:t xml:space="preserve"> the whole EU legislation on renewable gases is currently under development)</w:t>
      </w:r>
      <w:r w:rsidR="00A72D5F">
        <w:rPr>
          <w:lang w:val="en-GB"/>
        </w:rPr>
        <w:t xml:space="preserve">, but </w:t>
      </w:r>
      <w:r w:rsidR="00504749">
        <w:rPr>
          <w:lang w:val="en-GB"/>
        </w:rPr>
        <w:t>to a lower extent as</w:t>
      </w:r>
      <w:r w:rsidR="00A72D5F">
        <w:rPr>
          <w:lang w:val="en-GB"/>
        </w:rPr>
        <w:t xml:space="preserve"> the development of a dedicated hydrogen backbone is not foreseen in these scenarios.</w:t>
      </w:r>
      <w:r w:rsidR="009C37DB">
        <w:rPr>
          <w:lang w:val="en-GB"/>
        </w:rPr>
        <w:t xml:space="preserve"> </w:t>
      </w:r>
      <w:r>
        <w:rPr>
          <w:lang w:val="en-GB"/>
        </w:rPr>
        <w:t xml:space="preserve">All four countries in the Baltic Regional Gas Market are subject to a similar level of risk. </w:t>
      </w:r>
    </w:p>
    <w:p w14:paraId="4E31EDDF" w14:textId="77777777" w:rsidR="008F10A9" w:rsidRPr="00163523" w:rsidRDefault="008F10A9" w:rsidP="00F63E15">
      <w:pPr>
        <w:rPr>
          <w:lang w:val="en-GB"/>
        </w:rPr>
      </w:pPr>
    </w:p>
    <w:tbl>
      <w:tblPr>
        <w:tblStyle w:val="Table1"/>
        <w:tblW w:w="8449" w:type="dxa"/>
        <w:tblLayout w:type="fixed"/>
        <w:tblLook w:val="04A0" w:firstRow="1" w:lastRow="0" w:firstColumn="1" w:lastColumn="0" w:noHBand="0" w:noVBand="1"/>
      </w:tblPr>
      <w:tblGrid>
        <w:gridCol w:w="2689"/>
        <w:gridCol w:w="864"/>
        <w:gridCol w:w="864"/>
        <w:gridCol w:w="865"/>
        <w:gridCol w:w="1731"/>
        <w:gridCol w:w="1436"/>
      </w:tblGrid>
      <w:tr w:rsidR="006E18C3" w:rsidRPr="00801E6C" w14:paraId="23ED0C48" w14:textId="77777777" w:rsidTr="0076227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89" w:type="dxa"/>
            <w:vMerge w:val="restart"/>
            <w:noWrap/>
          </w:tcPr>
          <w:p w14:paraId="1A330E9D" w14:textId="77777777" w:rsidR="006E18C3" w:rsidRPr="00163523" w:rsidRDefault="006E18C3" w:rsidP="0076227C">
            <w:pPr>
              <w:keepNext/>
              <w:spacing w:line="240" w:lineRule="auto"/>
              <w:ind w:left="0"/>
              <w:rPr>
                <w:rFonts w:eastAsia="Times New Roman"/>
                <w:sz w:val="16"/>
                <w:szCs w:val="16"/>
                <w:lang w:val="en-GB" w:eastAsia="en-GB"/>
              </w:rPr>
            </w:pPr>
            <w:r w:rsidRPr="00163523">
              <w:rPr>
                <w:rFonts w:eastAsia="Arial"/>
                <w:sz w:val="16"/>
                <w:szCs w:val="16"/>
                <w:lang w:val="en-GB"/>
              </w:rPr>
              <w:lastRenderedPageBreak/>
              <w:t>Risk</w:t>
            </w:r>
          </w:p>
        </w:tc>
        <w:tc>
          <w:tcPr>
            <w:tcW w:w="2593" w:type="dxa"/>
            <w:gridSpan w:val="3"/>
          </w:tcPr>
          <w:p w14:paraId="33C45E99" w14:textId="77777777" w:rsidR="006E18C3" w:rsidRPr="00163523" w:rsidRDefault="006E18C3" w:rsidP="0076227C">
            <w:pPr>
              <w:keepNext/>
              <w:spacing w:line="240" w:lineRule="auto"/>
              <w:ind w:left="0"/>
              <w:cnfStyle w:val="100000000000" w:firstRow="1" w:lastRow="0" w:firstColumn="0" w:lastColumn="0" w:oddVBand="0" w:evenVBand="0" w:oddHBand="0" w:evenHBand="0" w:firstRowFirstColumn="0" w:firstRowLastColumn="0" w:lastRowFirstColumn="0" w:lastRowLastColumn="0"/>
              <w:rPr>
                <w:rFonts w:eastAsia="Arial"/>
                <w:sz w:val="16"/>
                <w:szCs w:val="16"/>
                <w:lang w:val="en-GB"/>
              </w:rPr>
            </w:pPr>
            <w:r w:rsidRPr="00801E6C">
              <w:rPr>
                <w:rFonts w:eastAsia="Arial"/>
                <w:sz w:val="16"/>
                <w:szCs w:val="16"/>
                <w:lang w:val="en-GB"/>
              </w:rPr>
              <w:t>Applicable scenarios</w:t>
            </w:r>
          </w:p>
        </w:tc>
        <w:tc>
          <w:tcPr>
            <w:tcW w:w="1731" w:type="dxa"/>
            <w:vMerge w:val="restart"/>
            <w:noWrap/>
          </w:tcPr>
          <w:p w14:paraId="0F6DEAF4" w14:textId="77777777" w:rsidR="006E18C3" w:rsidRPr="00163523" w:rsidRDefault="006E18C3" w:rsidP="0076227C">
            <w:pPr>
              <w:keepNext/>
              <w:spacing w:line="240" w:lineRule="auto"/>
              <w:ind w:left="0"/>
              <w:cnfStyle w:val="100000000000" w:firstRow="1" w:lastRow="0" w:firstColumn="0" w:lastColumn="0" w:oddVBand="0" w:evenVBand="0" w:oddHBand="0" w:evenHBand="0" w:firstRowFirstColumn="0" w:firstRowLastColumn="0" w:lastRowFirstColumn="0" w:lastRowLastColumn="0"/>
              <w:rPr>
                <w:rFonts w:eastAsia="Times New Roman"/>
                <w:i/>
                <w:sz w:val="16"/>
                <w:szCs w:val="16"/>
                <w:lang w:val="en-GB" w:eastAsia="en-GB"/>
              </w:rPr>
            </w:pPr>
            <w:r w:rsidRPr="00163523">
              <w:rPr>
                <w:rFonts w:eastAsia="Arial"/>
                <w:sz w:val="16"/>
                <w:szCs w:val="16"/>
                <w:lang w:val="en-GB"/>
              </w:rPr>
              <w:t>Likelihood</w:t>
            </w:r>
          </w:p>
        </w:tc>
        <w:tc>
          <w:tcPr>
            <w:tcW w:w="1436" w:type="dxa"/>
            <w:vMerge w:val="restart"/>
            <w:noWrap/>
          </w:tcPr>
          <w:p w14:paraId="06DB3E2E" w14:textId="77777777" w:rsidR="006E18C3" w:rsidRPr="00163523" w:rsidRDefault="006E18C3" w:rsidP="0076227C">
            <w:pPr>
              <w:keepNext/>
              <w:spacing w:line="240" w:lineRule="auto"/>
              <w:ind w:left="0"/>
              <w:cnfStyle w:val="100000000000" w:firstRow="1" w:lastRow="0" w:firstColumn="0" w:lastColumn="0" w:oddVBand="0" w:evenVBand="0" w:oddHBand="0" w:evenHBand="0" w:firstRowFirstColumn="0" w:firstRowLastColumn="0" w:lastRowFirstColumn="0" w:lastRowLastColumn="0"/>
              <w:rPr>
                <w:rFonts w:eastAsia="Times New Roman"/>
                <w:i/>
                <w:sz w:val="16"/>
                <w:szCs w:val="16"/>
                <w:lang w:val="en-GB" w:eastAsia="en-GB"/>
              </w:rPr>
            </w:pPr>
            <w:r w:rsidRPr="00163523">
              <w:rPr>
                <w:rFonts w:eastAsia="Arial"/>
                <w:sz w:val="16"/>
                <w:szCs w:val="16"/>
                <w:lang w:val="en-GB"/>
              </w:rPr>
              <w:t>Severity</w:t>
            </w:r>
          </w:p>
        </w:tc>
      </w:tr>
      <w:tr w:rsidR="006E18C3" w:rsidRPr="00801E6C" w14:paraId="2798B6EF" w14:textId="77777777" w:rsidTr="000C7C92">
        <w:trPr>
          <w:trHeight w:val="20"/>
        </w:trPr>
        <w:tc>
          <w:tcPr>
            <w:cnfStyle w:val="001000000000" w:firstRow="0" w:lastRow="0" w:firstColumn="1" w:lastColumn="0" w:oddVBand="0" w:evenVBand="0" w:oddHBand="0" w:evenHBand="0" w:firstRowFirstColumn="0" w:firstRowLastColumn="0" w:lastRowFirstColumn="0" w:lastRowLastColumn="0"/>
            <w:tcW w:w="2689" w:type="dxa"/>
            <w:vMerge/>
            <w:noWrap/>
          </w:tcPr>
          <w:p w14:paraId="57FCE804" w14:textId="77777777" w:rsidR="006E18C3" w:rsidRPr="00801E6C" w:rsidRDefault="006E18C3" w:rsidP="000C7C92">
            <w:pPr>
              <w:keepNext/>
              <w:spacing w:line="240" w:lineRule="auto"/>
              <w:ind w:left="0"/>
              <w:jc w:val="center"/>
              <w:rPr>
                <w:rFonts w:eastAsia="Arial"/>
                <w:sz w:val="16"/>
                <w:szCs w:val="16"/>
                <w:lang w:val="en-GB"/>
              </w:rPr>
            </w:pPr>
          </w:p>
        </w:tc>
        <w:tc>
          <w:tcPr>
            <w:tcW w:w="864" w:type="dxa"/>
          </w:tcPr>
          <w:p w14:paraId="56B57213" w14:textId="77777777" w:rsidR="006E18C3" w:rsidRPr="00163523" w:rsidRDefault="006E18C3" w:rsidP="000C7C92">
            <w:pPr>
              <w:keepNext/>
              <w:spacing w:line="240" w:lineRule="auto"/>
              <w:ind w:left="0"/>
              <w:cnfStyle w:val="000000000000" w:firstRow="0" w:lastRow="0" w:firstColumn="0" w:lastColumn="0" w:oddVBand="0" w:evenVBand="0" w:oddHBand="0" w:evenHBand="0" w:firstRowFirstColumn="0" w:firstRowLastColumn="0" w:lastRowFirstColumn="0" w:lastRowLastColumn="0"/>
              <w:rPr>
                <w:rFonts w:eastAsia="Times New Roman"/>
                <w:b/>
                <w:color w:val="000000"/>
                <w:sz w:val="14"/>
                <w:szCs w:val="14"/>
                <w:lang w:val="en-GB" w:eastAsia="en-GB"/>
              </w:rPr>
            </w:pPr>
            <w:r w:rsidRPr="00163523">
              <w:rPr>
                <w:rFonts w:eastAsia="Arial"/>
                <w:sz w:val="14"/>
                <w:szCs w:val="14"/>
                <w:lang w:val="en-GB"/>
              </w:rPr>
              <w:t>REN-M</w:t>
            </w:r>
          </w:p>
        </w:tc>
        <w:tc>
          <w:tcPr>
            <w:tcW w:w="864" w:type="dxa"/>
          </w:tcPr>
          <w:p w14:paraId="09E632B3" w14:textId="77777777" w:rsidR="006E18C3" w:rsidRPr="00163523" w:rsidRDefault="006E18C3" w:rsidP="000C7C92">
            <w:pPr>
              <w:keepNext/>
              <w:spacing w:line="240" w:lineRule="auto"/>
              <w:ind w:left="0"/>
              <w:cnfStyle w:val="000000000000" w:firstRow="0" w:lastRow="0" w:firstColumn="0" w:lastColumn="0" w:oddVBand="0" w:evenVBand="0" w:oddHBand="0" w:evenHBand="0" w:firstRowFirstColumn="0" w:firstRowLastColumn="0" w:lastRowFirstColumn="0" w:lastRowLastColumn="0"/>
              <w:rPr>
                <w:rFonts w:eastAsia="Times New Roman"/>
                <w:b/>
                <w:color w:val="000000"/>
                <w:sz w:val="14"/>
                <w:szCs w:val="14"/>
                <w:lang w:val="en-GB" w:eastAsia="en-GB"/>
              </w:rPr>
            </w:pPr>
            <w:r w:rsidRPr="00163523">
              <w:rPr>
                <w:rFonts w:eastAsia="Arial"/>
                <w:sz w:val="14"/>
                <w:szCs w:val="14"/>
                <w:lang w:val="en-GB"/>
              </w:rPr>
              <w:t>REN-H</w:t>
            </w:r>
          </w:p>
        </w:tc>
        <w:tc>
          <w:tcPr>
            <w:tcW w:w="865" w:type="dxa"/>
          </w:tcPr>
          <w:p w14:paraId="5F33B0CD" w14:textId="77777777" w:rsidR="006E18C3" w:rsidRPr="00163523" w:rsidRDefault="006E18C3" w:rsidP="000C7C92">
            <w:pPr>
              <w:keepNext/>
              <w:spacing w:line="240" w:lineRule="auto"/>
              <w:ind w:left="0"/>
              <w:cnfStyle w:val="000000000000" w:firstRow="0" w:lastRow="0" w:firstColumn="0" w:lastColumn="0" w:oddVBand="0" w:evenVBand="0" w:oddHBand="0" w:evenHBand="0" w:firstRowFirstColumn="0" w:firstRowLastColumn="0" w:lastRowFirstColumn="0" w:lastRowLastColumn="0"/>
              <w:rPr>
                <w:rFonts w:eastAsia="Times New Roman"/>
                <w:b/>
                <w:color w:val="000000"/>
                <w:sz w:val="14"/>
                <w:szCs w:val="14"/>
                <w:lang w:val="en-GB" w:eastAsia="en-GB"/>
              </w:rPr>
            </w:pPr>
            <w:r w:rsidRPr="00163523">
              <w:rPr>
                <w:rFonts w:eastAsia="Arial"/>
                <w:sz w:val="14"/>
                <w:szCs w:val="14"/>
                <w:lang w:val="en-GB"/>
              </w:rPr>
              <w:t>CM</w:t>
            </w:r>
          </w:p>
        </w:tc>
        <w:tc>
          <w:tcPr>
            <w:tcW w:w="1731" w:type="dxa"/>
            <w:vMerge/>
            <w:shd w:val="clear" w:color="auto" w:fill="F9B7AC" w:themeFill="accent2" w:themeFillTint="66"/>
            <w:noWrap/>
          </w:tcPr>
          <w:p w14:paraId="5D129604" w14:textId="77777777" w:rsidR="006E18C3" w:rsidRPr="00163523" w:rsidRDefault="006E18C3" w:rsidP="000C7C92">
            <w:pPr>
              <w:keepNext/>
              <w:spacing w:line="240" w:lineRule="auto"/>
              <w:ind w:left="0"/>
              <w:cnfStyle w:val="000000000000" w:firstRow="0" w:lastRow="0" w:firstColumn="0" w:lastColumn="0" w:oddVBand="0" w:evenVBand="0" w:oddHBand="0" w:evenHBand="0" w:firstRowFirstColumn="0" w:firstRowLastColumn="0" w:lastRowFirstColumn="0" w:lastRowLastColumn="0"/>
              <w:rPr>
                <w:rFonts w:eastAsia="Times New Roman"/>
                <w:b/>
                <w:color w:val="000000"/>
                <w:sz w:val="16"/>
                <w:szCs w:val="16"/>
                <w:lang w:val="en-GB" w:eastAsia="en-GB"/>
              </w:rPr>
            </w:pPr>
          </w:p>
        </w:tc>
        <w:tc>
          <w:tcPr>
            <w:tcW w:w="1436" w:type="dxa"/>
            <w:vMerge/>
            <w:shd w:val="clear" w:color="auto" w:fill="FFD57B" w:themeFill="accent4" w:themeFillShade="E6"/>
            <w:noWrap/>
          </w:tcPr>
          <w:p w14:paraId="2D1206B9" w14:textId="77777777" w:rsidR="006E18C3" w:rsidRPr="00163523" w:rsidRDefault="006E18C3" w:rsidP="000C7C92">
            <w:pPr>
              <w:keepNext/>
              <w:spacing w:line="240" w:lineRule="auto"/>
              <w:ind w:left="0"/>
              <w:cnfStyle w:val="000000000000" w:firstRow="0" w:lastRow="0" w:firstColumn="0" w:lastColumn="0" w:oddVBand="0" w:evenVBand="0" w:oddHBand="0" w:evenHBand="0" w:firstRowFirstColumn="0" w:firstRowLastColumn="0" w:lastRowFirstColumn="0" w:lastRowLastColumn="0"/>
              <w:rPr>
                <w:rFonts w:eastAsia="Arial"/>
                <w:b/>
                <w:sz w:val="16"/>
                <w:szCs w:val="16"/>
                <w:lang w:val="en-GB"/>
              </w:rPr>
            </w:pPr>
          </w:p>
        </w:tc>
      </w:tr>
      <w:tr w:rsidR="006E18C3" w:rsidRPr="00801E6C" w14:paraId="702D1E43" w14:textId="77777777" w:rsidTr="000C7C92">
        <w:trPr>
          <w:trHeight w:val="423"/>
        </w:trPr>
        <w:tc>
          <w:tcPr>
            <w:cnfStyle w:val="001000000000" w:firstRow="0" w:lastRow="0" w:firstColumn="1" w:lastColumn="0" w:oddVBand="0" w:evenVBand="0" w:oddHBand="0" w:evenHBand="0" w:firstRowFirstColumn="0" w:firstRowLastColumn="0" w:lastRowFirstColumn="0" w:lastRowLastColumn="0"/>
            <w:tcW w:w="2689" w:type="dxa"/>
            <w:noWrap/>
          </w:tcPr>
          <w:p w14:paraId="28AEAC7E" w14:textId="0F32D69E" w:rsidR="006E18C3" w:rsidRPr="00801E6C" w:rsidRDefault="009C37DB" w:rsidP="000C7C92">
            <w:pPr>
              <w:keepNext/>
              <w:spacing w:line="240" w:lineRule="auto"/>
              <w:ind w:left="0"/>
              <w:jc w:val="center"/>
              <w:rPr>
                <w:rFonts w:eastAsia="Times New Roman"/>
                <w:color w:val="000000"/>
                <w:sz w:val="16"/>
                <w:szCs w:val="16"/>
                <w:lang w:val="en-GB" w:eastAsia="en-GB"/>
              </w:rPr>
            </w:pPr>
            <w:r w:rsidRPr="00801E6C">
              <w:rPr>
                <w:rFonts w:eastAsia="Times New Roman"/>
                <w:color w:val="000000"/>
                <w:sz w:val="16"/>
                <w:szCs w:val="16"/>
                <w:lang w:val="en-GB" w:eastAsia="en-GB"/>
              </w:rPr>
              <w:t>Policies and regulations can present barriers to implementation of gas decarbonization actions</w:t>
            </w:r>
          </w:p>
        </w:tc>
        <w:tc>
          <w:tcPr>
            <w:tcW w:w="864" w:type="dxa"/>
          </w:tcPr>
          <w:p w14:paraId="62A01576" w14:textId="77777777" w:rsidR="006E18C3" w:rsidRPr="00163523" w:rsidRDefault="006E18C3" w:rsidP="000C7C92">
            <w:pPr>
              <w:keepNext/>
              <w:spacing w:line="240" w:lineRule="auto"/>
              <w:ind w:left="0"/>
              <w:cnfStyle w:val="000000000000" w:firstRow="0" w:lastRow="0" w:firstColumn="0" w:lastColumn="0" w:oddVBand="0" w:evenVBand="0" w:oddHBand="0" w:evenHBand="0" w:firstRowFirstColumn="0" w:firstRowLastColumn="0" w:lastRowFirstColumn="0" w:lastRowLastColumn="0"/>
              <w:rPr>
                <w:rFonts w:eastAsia="Times New Roman"/>
                <w:b/>
                <w:color w:val="000000"/>
                <w:sz w:val="16"/>
                <w:szCs w:val="16"/>
                <w:lang w:val="en-GB" w:eastAsia="en-GB"/>
              </w:rPr>
            </w:pPr>
            <w:r w:rsidRPr="00163523">
              <w:rPr>
                <w:rFonts w:ascii="Wingdings" w:eastAsia="Wingdings" w:hAnsi="Wingdings" w:cs="Wingdings"/>
                <w:b/>
                <w:color w:val="000000"/>
                <w:sz w:val="16"/>
                <w:szCs w:val="16"/>
                <w:lang w:val="en-GB" w:eastAsia="en-GB"/>
              </w:rPr>
              <w:sym w:font="Wingdings" w:char="F0FC"/>
            </w:r>
          </w:p>
        </w:tc>
        <w:tc>
          <w:tcPr>
            <w:tcW w:w="864" w:type="dxa"/>
          </w:tcPr>
          <w:p w14:paraId="32642AAE" w14:textId="77777777" w:rsidR="006E18C3" w:rsidRPr="00163523" w:rsidRDefault="006E18C3" w:rsidP="000C7C92">
            <w:pPr>
              <w:keepNext/>
              <w:spacing w:line="240" w:lineRule="auto"/>
              <w:ind w:left="0"/>
              <w:cnfStyle w:val="000000000000" w:firstRow="0" w:lastRow="0" w:firstColumn="0" w:lastColumn="0" w:oddVBand="0" w:evenVBand="0" w:oddHBand="0" w:evenHBand="0" w:firstRowFirstColumn="0" w:firstRowLastColumn="0" w:lastRowFirstColumn="0" w:lastRowLastColumn="0"/>
              <w:rPr>
                <w:rFonts w:eastAsia="Times New Roman"/>
                <w:b/>
                <w:color w:val="000000"/>
                <w:sz w:val="16"/>
                <w:szCs w:val="16"/>
                <w:lang w:val="en-GB" w:eastAsia="en-GB"/>
              </w:rPr>
            </w:pPr>
            <w:r w:rsidRPr="00163523">
              <w:rPr>
                <w:rFonts w:ascii="Wingdings" w:eastAsia="Wingdings" w:hAnsi="Wingdings" w:cs="Wingdings"/>
                <w:b/>
                <w:color w:val="000000"/>
                <w:sz w:val="16"/>
                <w:szCs w:val="16"/>
                <w:lang w:val="en-GB" w:eastAsia="en-GB"/>
              </w:rPr>
              <w:sym w:font="Wingdings" w:char="F0FC"/>
            </w:r>
            <w:r w:rsidRPr="00163523">
              <w:rPr>
                <w:rFonts w:ascii="Wingdings" w:eastAsia="Wingdings" w:hAnsi="Wingdings" w:cs="Wingdings"/>
                <w:b/>
                <w:color w:val="000000"/>
                <w:sz w:val="16"/>
                <w:szCs w:val="16"/>
                <w:lang w:val="en-GB" w:eastAsia="en-GB"/>
              </w:rPr>
              <w:sym w:font="Wingdings" w:char="F0FC"/>
            </w:r>
          </w:p>
        </w:tc>
        <w:tc>
          <w:tcPr>
            <w:tcW w:w="865" w:type="dxa"/>
          </w:tcPr>
          <w:p w14:paraId="47C634BF" w14:textId="77777777" w:rsidR="006E18C3" w:rsidRPr="00163523" w:rsidRDefault="006E18C3" w:rsidP="000C7C92">
            <w:pPr>
              <w:keepNext/>
              <w:spacing w:line="240" w:lineRule="auto"/>
              <w:ind w:left="0"/>
              <w:cnfStyle w:val="000000000000" w:firstRow="0" w:lastRow="0" w:firstColumn="0" w:lastColumn="0" w:oddVBand="0" w:evenVBand="0" w:oddHBand="0" w:evenHBand="0" w:firstRowFirstColumn="0" w:firstRowLastColumn="0" w:lastRowFirstColumn="0" w:lastRowLastColumn="0"/>
              <w:rPr>
                <w:rFonts w:eastAsia="Times New Roman"/>
                <w:b/>
                <w:color w:val="000000"/>
                <w:sz w:val="16"/>
                <w:szCs w:val="16"/>
                <w:lang w:val="en-GB" w:eastAsia="en-GB"/>
              </w:rPr>
            </w:pPr>
            <w:r w:rsidRPr="00163523">
              <w:rPr>
                <w:rFonts w:ascii="Wingdings" w:eastAsia="Wingdings" w:hAnsi="Wingdings" w:cs="Wingdings"/>
                <w:b/>
                <w:color w:val="000000"/>
                <w:sz w:val="16"/>
                <w:szCs w:val="16"/>
                <w:lang w:val="en-GB" w:eastAsia="en-GB"/>
              </w:rPr>
              <w:sym w:font="Wingdings" w:char="F0FC"/>
            </w:r>
          </w:p>
        </w:tc>
        <w:tc>
          <w:tcPr>
            <w:tcW w:w="1731" w:type="dxa"/>
            <w:shd w:val="clear" w:color="auto" w:fill="E0EBEB" w:themeFill="accent3" w:themeFillTint="66"/>
            <w:noWrap/>
          </w:tcPr>
          <w:p w14:paraId="19E24D92" w14:textId="5BCA9D4F" w:rsidR="006E18C3" w:rsidRPr="00163523" w:rsidRDefault="00B10C0E" w:rsidP="000C7C92">
            <w:pPr>
              <w:keepNext/>
              <w:spacing w:line="240" w:lineRule="auto"/>
              <w:ind w:left="0"/>
              <w:cnfStyle w:val="000000000000" w:firstRow="0" w:lastRow="0" w:firstColumn="0" w:lastColumn="0" w:oddVBand="0" w:evenVBand="0" w:oddHBand="0" w:evenHBand="0" w:firstRowFirstColumn="0" w:firstRowLastColumn="0" w:lastRowFirstColumn="0" w:lastRowLastColumn="0"/>
              <w:rPr>
                <w:rFonts w:eastAsia="Times New Roman"/>
                <w:b/>
                <w:color w:val="000000"/>
                <w:sz w:val="16"/>
                <w:szCs w:val="16"/>
                <w:lang w:val="en-GB" w:eastAsia="en-GB"/>
              </w:rPr>
            </w:pPr>
            <w:r w:rsidRPr="00163523">
              <w:rPr>
                <w:rFonts w:eastAsia="Times New Roman"/>
                <w:b/>
                <w:color w:val="000000"/>
                <w:sz w:val="16"/>
                <w:szCs w:val="16"/>
                <w:lang w:val="en-GB" w:eastAsia="en-GB"/>
              </w:rPr>
              <w:t>Low</w:t>
            </w:r>
            <w:r w:rsidR="009C6C6B" w:rsidRPr="00163523">
              <w:rPr>
                <w:rStyle w:val="Voetnootmarkering"/>
                <w:rFonts w:eastAsia="Times New Roman"/>
                <w:b/>
                <w:color w:val="000000"/>
                <w:sz w:val="16"/>
                <w:szCs w:val="16"/>
                <w:lang w:val="en-GB" w:eastAsia="en-GB"/>
              </w:rPr>
              <w:footnoteReference w:id="58"/>
            </w:r>
          </w:p>
        </w:tc>
        <w:tc>
          <w:tcPr>
            <w:tcW w:w="1436" w:type="dxa"/>
            <w:shd w:val="clear" w:color="auto" w:fill="F9B7AC" w:themeFill="accent2" w:themeFillTint="66"/>
            <w:noWrap/>
          </w:tcPr>
          <w:p w14:paraId="19C686C6" w14:textId="61223797" w:rsidR="006E18C3" w:rsidRPr="00163523" w:rsidRDefault="00B10C0E" w:rsidP="000C7C92">
            <w:pPr>
              <w:keepNext/>
              <w:spacing w:line="240" w:lineRule="auto"/>
              <w:ind w:left="0"/>
              <w:cnfStyle w:val="000000000000" w:firstRow="0" w:lastRow="0" w:firstColumn="0" w:lastColumn="0" w:oddVBand="0" w:evenVBand="0" w:oddHBand="0" w:evenHBand="0" w:firstRowFirstColumn="0" w:firstRowLastColumn="0" w:lastRowFirstColumn="0" w:lastRowLastColumn="0"/>
              <w:rPr>
                <w:rFonts w:eastAsia="Times New Roman"/>
                <w:b/>
                <w:i/>
                <w:color w:val="000000"/>
                <w:sz w:val="16"/>
                <w:szCs w:val="16"/>
                <w:lang w:val="en-GB" w:eastAsia="en-GB"/>
              </w:rPr>
            </w:pPr>
            <w:r w:rsidRPr="00163523">
              <w:rPr>
                <w:rFonts w:eastAsia="Times New Roman"/>
                <w:b/>
                <w:color w:val="000000"/>
                <w:sz w:val="16"/>
                <w:szCs w:val="16"/>
                <w:lang w:val="en-GB" w:eastAsia="en-GB"/>
              </w:rPr>
              <w:t>High</w:t>
            </w:r>
          </w:p>
        </w:tc>
      </w:tr>
    </w:tbl>
    <w:p w14:paraId="709834EB" w14:textId="77777777" w:rsidR="006E18C3" w:rsidRPr="00163523" w:rsidRDefault="006E18C3" w:rsidP="00F63E15">
      <w:pPr>
        <w:rPr>
          <w:lang w:val="en-GB"/>
        </w:rPr>
      </w:pPr>
    </w:p>
    <w:p w14:paraId="7DCF7E07" w14:textId="7B92324B" w:rsidR="00F63E15" w:rsidRPr="004B05B3" w:rsidRDefault="00F63E15" w:rsidP="00F63E15">
      <w:pPr>
        <w:pStyle w:val="Kop4"/>
        <w:rPr>
          <w:lang w:val="en-GB"/>
        </w:rPr>
      </w:pPr>
      <w:r>
        <w:rPr>
          <w:lang w:val="en-GB"/>
        </w:rPr>
        <w:t xml:space="preserve">Potential </w:t>
      </w:r>
      <w:r w:rsidRPr="004B05B3">
        <w:rPr>
          <w:lang w:val="en-GB"/>
        </w:rPr>
        <w:t>mitigation measures</w:t>
      </w:r>
    </w:p>
    <w:p w14:paraId="1F362F9E" w14:textId="42B8C6E0" w:rsidR="001E389F" w:rsidRPr="00163523" w:rsidRDefault="003F2AD8" w:rsidP="00F63E15">
      <w:pPr>
        <w:rPr>
          <w:lang w:val="en-GB"/>
        </w:rPr>
      </w:pPr>
      <w:r w:rsidRPr="00050B28">
        <w:rPr>
          <w:lang w:val="en-GB"/>
        </w:rPr>
        <w:t xml:space="preserve">As this risk is </w:t>
      </w:r>
      <w:r w:rsidR="00050B28" w:rsidRPr="00050B28">
        <w:rPr>
          <w:lang w:val="en-GB"/>
        </w:rPr>
        <w:t>re</w:t>
      </w:r>
      <w:r w:rsidR="00050B28">
        <w:rPr>
          <w:lang w:val="en-GB"/>
        </w:rPr>
        <w:t xml:space="preserve">lated to uncertainties regarding the policy cycle and the consequences for timely </w:t>
      </w:r>
      <w:r w:rsidR="003B7512">
        <w:rPr>
          <w:lang w:val="en-GB"/>
        </w:rPr>
        <w:t xml:space="preserve">investment decisions by market </w:t>
      </w:r>
      <w:r w:rsidR="00081780">
        <w:rPr>
          <w:lang w:val="en-GB"/>
        </w:rPr>
        <w:t xml:space="preserve">parties, the main </w:t>
      </w:r>
      <w:r w:rsidR="00D26F4D">
        <w:rPr>
          <w:lang w:val="en-GB"/>
        </w:rPr>
        <w:t xml:space="preserve">proposed </w:t>
      </w:r>
      <w:r w:rsidR="00081780">
        <w:rPr>
          <w:lang w:val="en-GB"/>
        </w:rPr>
        <w:t xml:space="preserve">mitigation measure </w:t>
      </w:r>
      <w:r w:rsidR="00D26F4D">
        <w:rPr>
          <w:lang w:val="en-GB"/>
        </w:rPr>
        <w:t xml:space="preserve">is </w:t>
      </w:r>
      <w:r w:rsidR="00081780">
        <w:rPr>
          <w:lang w:val="en-GB"/>
        </w:rPr>
        <w:t xml:space="preserve">the development of a coordinated strategy for the gas and hydrogen sectors in the BRGM region as well </w:t>
      </w:r>
      <w:r w:rsidR="00DC2B10">
        <w:rPr>
          <w:lang w:val="en-GB"/>
        </w:rPr>
        <w:t>in</w:t>
      </w:r>
      <w:r w:rsidR="00081780">
        <w:rPr>
          <w:lang w:val="en-GB"/>
        </w:rPr>
        <w:t xml:space="preserve"> the individual </w:t>
      </w:r>
      <w:r w:rsidR="00414DC0">
        <w:rPr>
          <w:lang w:val="en-GB"/>
        </w:rPr>
        <w:t xml:space="preserve">concerned </w:t>
      </w:r>
      <w:r w:rsidR="004B05B3">
        <w:rPr>
          <w:lang w:val="en-GB"/>
        </w:rPr>
        <w:t>M</w:t>
      </w:r>
      <w:r w:rsidR="00081780">
        <w:rPr>
          <w:lang w:val="en-GB"/>
        </w:rPr>
        <w:t>ember States. The</w:t>
      </w:r>
      <w:r w:rsidR="004A310D">
        <w:rPr>
          <w:lang w:val="en-GB"/>
        </w:rPr>
        <w:t xml:space="preserve"> </w:t>
      </w:r>
      <w:r w:rsidR="000F2CA4">
        <w:rPr>
          <w:lang w:val="en-GB"/>
        </w:rPr>
        <w:t>new National E</w:t>
      </w:r>
      <w:r w:rsidR="00081780">
        <w:rPr>
          <w:lang w:val="en-GB"/>
        </w:rPr>
        <w:t xml:space="preserve">nergy and </w:t>
      </w:r>
      <w:r w:rsidR="000F2CA4">
        <w:rPr>
          <w:lang w:val="en-GB"/>
        </w:rPr>
        <w:t>C</w:t>
      </w:r>
      <w:r w:rsidR="00081780">
        <w:rPr>
          <w:lang w:val="en-GB"/>
        </w:rPr>
        <w:t xml:space="preserve">limate </w:t>
      </w:r>
      <w:r w:rsidR="000F2CA4">
        <w:rPr>
          <w:lang w:val="en-GB"/>
        </w:rPr>
        <w:t>P</w:t>
      </w:r>
      <w:r w:rsidR="00081780">
        <w:rPr>
          <w:lang w:val="en-GB"/>
        </w:rPr>
        <w:t xml:space="preserve">lans </w:t>
      </w:r>
      <w:r w:rsidR="000F2CA4">
        <w:rPr>
          <w:lang w:val="en-GB"/>
        </w:rPr>
        <w:t>(</w:t>
      </w:r>
      <w:r w:rsidR="00740F33">
        <w:rPr>
          <w:lang w:val="en-GB"/>
        </w:rPr>
        <w:t xml:space="preserve">for which the draft updated plan had </w:t>
      </w:r>
      <w:r w:rsidR="000F2CA4">
        <w:rPr>
          <w:lang w:val="en-GB"/>
        </w:rPr>
        <w:t xml:space="preserve">to be </w:t>
      </w:r>
      <w:r w:rsidR="00740F33">
        <w:rPr>
          <w:lang w:val="en-GB"/>
        </w:rPr>
        <w:t xml:space="preserve">submitted </w:t>
      </w:r>
      <w:r w:rsidR="000F2CA4">
        <w:rPr>
          <w:lang w:val="en-GB"/>
        </w:rPr>
        <w:t xml:space="preserve">by 30 June 2023) </w:t>
      </w:r>
      <w:r w:rsidR="0082152E">
        <w:rPr>
          <w:lang w:val="en-GB"/>
        </w:rPr>
        <w:t xml:space="preserve">could form a basis for identifying the necessary policy actions at the national level, but they would not cover them with the </w:t>
      </w:r>
      <w:r w:rsidR="007E538B">
        <w:rPr>
          <w:lang w:val="en-GB"/>
        </w:rPr>
        <w:t xml:space="preserve">required level of detail. Hence, a </w:t>
      </w:r>
      <w:r w:rsidR="00B97E24">
        <w:rPr>
          <w:lang w:val="en-GB"/>
        </w:rPr>
        <w:t xml:space="preserve">dedicated </w:t>
      </w:r>
      <w:r w:rsidR="00D8103B">
        <w:rPr>
          <w:lang w:val="en-GB"/>
        </w:rPr>
        <w:t xml:space="preserve">gas </w:t>
      </w:r>
      <w:r w:rsidR="007E538B">
        <w:rPr>
          <w:lang w:val="en-GB"/>
        </w:rPr>
        <w:t xml:space="preserve">strategy or roadmap at the regional level defining the necessary actions and potentially supported by a memorandum of understanding between the BRGM countries would </w:t>
      </w:r>
      <w:r w:rsidR="006046CA">
        <w:rPr>
          <w:lang w:val="en-GB"/>
        </w:rPr>
        <w:t>provide further clarity to market parties on the planned measures and facilitate the necessary investment decisions.</w:t>
      </w:r>
      <w:r w:rsidR="001E389F">
        <w:rPr>
          <w:lang w:val="en-GB"/>
        </w:rPr>
        <w:t xml:space="preserve"> In addition, we would recommend </w:t>
      </w:r>
      <w:r w:rsidR="00A91328" w:rsidRPr="00163523">
        <w:rPr>
          <w:lang w:val="en-GB"/>
        </w:rPr>
        <w:t>developing</w:t>
      </w:r>
      <w:r w:rsidR="001E389F" w:rsidRPr="001E389F">
        <w:rPr>
          <w:lang w:val="en-GB"/>
        </w:rPr>
        <w:t xml:space="preserve"> clear and supportive legal frameworks and regulations for renewable energy and low-carbon gas production</w:t>
      </w:r>
      <w:r w:rsidR="00792AB7">
        <w:rPr>
          <w:lang w:val="en-GB"/>
        </w:rPr>
        <w:t xml:space="preserve"> by s</w:t>
      </w:r>
      <w:r w:rsidR="001E389F" w:rsidRPr="001E389F">
        <w:rPr>
          <w:lang w:val="en-GB"/>
        </w:rPr>
        <w:t>treamlin</w:t>
      </w:r>
      <w:r w:rsidR="00792AB7">
        <w:rPr>
          <w:lang w:val="en-GB"/>
        </w:rPr>
        <w:t>ing</w:t>
      </w:r>
      <w:r w:rsidR="001E389F" w:rsidRPr="001E389F">
        <w:rPr>
          <w:lang w:val="en-GB"/>
        </w:rPr>
        <w:t xml:space="preserve"> permitting processes, provid</w:t>
      </w:r>
      <w:r w:rsidR="00792AB7">
        <w:rPr>
          <w:lang w:val="en-GB"/>
        </w:rPr>
        <w:t>ing</w:t>
      </w:r>
      <w:r w:rsidR="001E389F" w:rsidRPr="001E389F">
        <w:rPr>
          <w:lang w:val="en-GB"/>
        </w:rPr>
        <w:t xml:space="preserve"> incentives for project development, and ensur</w:t>
      </w:r>
      <w:r w:rsidR="00792AB7">
        <w:rPr>
          <w:lang w:val="en-GB"/>
        </w:rPr>
        <w:t>ing</w:t>
      </w:r>
      <w:r w:rsidR="001E389F" w:rsidRPr="001E389F">
        <w:rPr>
          <w:lang w:val="en-GB"/>
        </w:rPr>
        <w:t xml:space="preserve"> compliance with environmental standards to </w:t>
      </w:r>
      <w:r w:rsidR="00A97CAA">
        <w:rPr>
          <w:lang w:val="en-GB"/>
        </w:rPr>
        <w:t xml:space="preserve">accelerate </w:t>
      </w:r>
      <w:r w:rsidR="001E389F" w:rsidRPr="001E389F">
        <w:rPr>
          <w:lang w:val="en-GB"/>
        </w:rPr>
        <w:t>the deployment of hydrogen and biomethane projects</w:t>
      </w:r>
      <w:r w:rsidR="00A97CAA">
        <w:rPr>
          <w:lang w:val="en-GB"/>
        </w:rPr>
        <w:t xml:space="preserve">. Finally </w:t>
      </w:r>
      <w:r w:rsidR="00353E5F">
        <w:rPr>
          <w:lang w:val="en-GB"/>
        </w:rPr>
        <w:t xml:space="preserve">we recommend </w:t>
      </w:r>
      <w:r w:rsidR="00A91328" w:rsidRPr="00163523">
        <w:rPr>
          <w:lang w:val="en-GB"/>
        </w:rPr>
        <w:t>evaluating</w:t>
      </w:r>
      <w:r w:rsidR="007F10B6">
        <w:rPr>
          <w:lang w:val="en-GB"/>
        </w:rPr>
        <w:t xml:space="preserve"> </w:t>
      </w:r>
      <w:r w:rsidR="00203A79">
        <w:rPr>
          <w:lang w:val="en-GB"/>
        </w:rPr>
        <w:t>(</w:t>
      </w:r>
      <w:r w:rsidR="007F10B6">
        <w:rPr>
          <w:lang w:val="en-GB"/>
        </w:rPr>
        <w:t>new</w:t>
      </w:r>
      <w:r w:rsidR="00203A79">
        <w:rPr>
          <w:lang w:val="en-GB"/>
        </w:rPr>
        <w:t>)</w:t>
      </w:r>
      <w:r w:rsidR="007F10B6">
        <w:rPr>
          <w:lang w:val="en-GB"/>
        </w:rPr>
        <w:t xml:space="preserve"> </w:t>
      </w:r>
      <w:r w:rsidR="00353E5F" w:rsidRPr="009E69A2">
        <w:rPr>
          <w:lang w:val="en-GB"/>
        </w:rPr>
        <w:t>polic</w:t>
      </w:r>
      <w:r w:rsidR="00203A79" w:rsidRPr="009E69A2">
        <w:rPr>
          <w:lang w:val="en-GB"/>
        </w:rPr>
        <w:t>ies</w:t>
      </w:r>
      <w:r w:rsidR="00353E5F" w:rsidRPr="009E69A2">
        <w:rPr>
          <w:lang w:val="en-GB"/>
        </w:rPr>
        <w:t xml:space="preserve"> and planning </w:t>
      </w:r>
      <w:r w:rsidR="00A75285" w:rsidRPr="009E69A2">
        <w:rPr>
          <w:lang w:val="en-GB"/>
        </w:rPr>
        <w:t xml:space="preserve">by using </w:t>
      </w:r>
      <w:r w:rsidR="00353E5F" w:rsidRPr="009E69A2">
        <w:rPr>
          <w:lang w:val="en-GB"/>
        </w:rPr>
        <w:t>standard processes</w:t>
      </w:r>
      <w:r w:rsidR="00A75285" w:rsidRPr="00163523">
        <w:rPr>
          <w:lang w:val="en-GB"/>
        </w:rPr>
        <w:t xml:space="preserve"> </w:t>
      </w:r>
      <w:r w:rsidR="009D4649" w:rsidRPr="00163523">
        <w:rPr>
          <w:lang w:val="en-GB"/>
        </w:rPr>
        <w:t>with appropriate impact assessments</w:t>
      </w:r>
      <w:r w:rsidR="00A75285" w:rsidRPr="009E69A2">
        <w:rPr>
          <w:lang w:val="en-GB"/>
        </w:rPr>
        <w:t xml:space="preserve"> </w:t>
      </w:r>
      <w:r w:rsidR="00353E5F" w:rsidRPr="009E69A2">
        <w:rPr>
          <w:lang w:val="en-GB"/>
        </w:rPr>
        <w:t>t</w:t>
      </w:r>
      <w:r w:rsidR="00A75285" w:rsidRPr="009E69A2">
        <w:rPr>
          <w:lang w:val="en-GB"/>
        </w:rPr>
        <w:t xml:space="preserve">o </w:t>
      </w:r>
      <w:r w:rsidR="00353E5F" w:rsidRPr="009E69A2">
        <w:rPr>
          <w:lang w:val="en-GB"/>
        </w:rPr>
        <w:t xml:space="preserve">eliminate or reduce </w:t>
      </w:r>
      <w:r w:rsidR="0063745C" w:rsidRPr="009E69A2">
        <w:rPr>
          <w:lang w:val="en-GB"/>
        </w:rPr>
        <w:t>t</w:t>
      </w:r>
      <w:r w:rsidR="00662B97" w:rsidRPr="009E69A2">
        <w:rPr>
          <w:lang w:val="en-GB"/>
        </w:rPr>
        <w:t xml:space="preserve">he </w:t>
      </w:r>
      <w:r w:rsidR="00353E5F" w:rsidRPr="009E69A2">
        <w:rPr>
          <w:lang w:val="en-GB"/>
        </w:rPr>
        <w:t xml:space="preserve">possibility of ad hoc decisions about policies that produce adverse consequences for </w:t>
      </w:r>
      <w:r w:rsidR="00A076F8" w:rsidRPr="009E69A2">
        <w:rPr>
          <w:lang w:val="en-GB"/>
        </w:rPr>
        <w:t xml:space="preserve">the </w:t>
      </w:r>
      <w:r w:rsidR="00353E5F" w:rsidRPr="009E69A2">
        <w:rPr>
          <w:lang w:val="en-GB"/>
        </w:rPr>
        <w:t>decarbonisation effort</w:t>
      </w:r>
      <w:r w:rsidR="00A076F8" w:rsidRPr="009E69A2">
        <w:rPr>
          <w:lang w:val="en-GB"/>
        </w:rPr>
        <w:t>s.</w:t>
      </w:r>
    </w:p>
    <w:p w14:paraId="000D7DBF" w14:textId="77777777" w:rsidR="00081780" w:rsidRDefault="00081780" w:rsidP="00F63E15">
      <w:pPr>
        <w:rPr>
          <w:lang w:val="en-GB"/>
        </w:rPr>
      </w:pPr>
    </w:p>
    <w:p w14:paraId="20F905C8" w14:textId="655E9D6E" w:rsidR="00F63E15" w:rsidRPr="005303B6" w:rsidRDefault="00F63E15">
      <w:pPr>
        <w:pStyle w:val="Kop2"/>
      </w:pPr>
      <w:bookmarkStart w:id="71" w:name="_Ref137116855"/>
      <w:bookmarkStart w:id="72" w:name="_Toc138492611"/>
      <w:bookmarkStart w:id="73" w:name="_Toc144803018"/>
      <w:r>
        <w:t xml:space="preserve">Risk </w:t>
      </w:r>
      <w:r w:rsidR="005303B6">
        <w:t>1</w:t>
      </w:r>
      <w:r w:rsidR="00E00BD4">
        <w:t>2</w:t>
      </w:r>
      <w:r>
        <w:t xml:space="preserve">: </w:t>
      </w:r>
      <w:r w:rsidR="005303B6" w:rsidRPr="005303B6">
        <w:t>Some specific gas decarbonisation actions can result in adverse environmental</w:t>
      </w:r>
      <w:r w:rsidR="00E2573A">
        <w:t xml:space="preserve"> and climate</w:t>
      </w:r>
      <w:r w:rsidR="005303B6" w:rsidRPr="005303B6">
        <w:t xml:space="preserve"> impacts</w:t>
      </w:r>
      <w:bookmarkEnd w:id="71"/>
      <w:bookmarkEnd w:id="72"/>
      <w:bookmarkEnd w:id="73"/>
    </w:p>
    <w:p w14:paraId="0C5FA034" w14:textId="2BB58D26" w:rsidR="00F63E15" w:rsidRPr="00163523" w:rsidRDefault="00F63E15" w:rsidP="00F63E15">
      <w:pPr>
        <w:pStyle w:val="Kop4"/>
        <w:rPr>
          <w:lang w:val="en-GB"/>
        </w:rPr>
      </w:pPr>
      <w:r>
        <w:rPr>
          <w:lang w:val="en-GB"/>
        </w:rPr>
        <w:t>D</w:t>
      </w:r>
      <w:r w:rsidRPr="00163523">
        <w:rPr>
          <w:lang w:val="en-GB"/>
        </w:rPr>
        <w:t xml:space="preserve">escription of the risk, </w:t>
      </w:r>
      <w:r w:rsidR="00803ADE" w:rsidRPr="00163523">
        <w:rPr>
          <w:lang w:val="en-GB"/>
        </w:rPr>
        <w:t>covering the Baltic Regional Gas Market</w:t>
      </w:r>
    </w:p>
    <w:p w14:paraId="12090BF8" w14:textId="6FAF8A2E" w:rsidR="00672272" w:rsidRPr="00163523" w:rsidRDefault="00672272" w:rsidP="00F35299">
      <w:pPr>
        <w:rPr>
          <w:lang w:val="en-GB"/>
        </w:rPr>
      </w:pPr>
      <w:r w:rsidRPr="00163523">
        <w:rPr>
          <w:lang w:val="en-GB"/>
        </w:rPr>
        <w:t xml:space="preserve">The use of biomass feedstocks for the production of renewable gases </w:t>
      </w:r>
      <w:r w:rsidR="00D1344F" w:rsidRPr="00163523">
        <w:rPr>
          <w:lang w:val="en-GB"/>
        </w:rPr>
        <w:t>w</w:t>
      </w:r>
      <w:r w:rsidRPr="00163523">
        <w:rPr>
          <w:lang w:val="en-GB"/>
        </w:rPr>
        <w:t>ould increase demand for those feedstocks and potentially lead to negative environmental impacts due to the utilisation of pesticides,</w:t>
      </w:r>
      <w:r w:rsidR="001C0C47" w:rsidRPr="00163523">
        <w:rPr>
          <w:lang w:val="en-GB"/>
        </w:rPr>
        <w:t xml:space="preserve"> </w:t>
      </w:r>
      <w:r w:rsidR="003335E8" w:rsidRPr="00163523">
        <w:rPr>
          <w:lang w:val="en-GB"/>
        </w:rPr>
        <w:t>nitrogen</w:t>
      </w:r>
      <w:r w:rsidRPr="00163523">
        <w:rPr>
          <w:lang w:val="en-GB"/>
        </w:rPr>
        <w:t xml:space="preserve"> emissions </w:t>
      </w:r>
      <w:r w:rsidR="003335E8" w:rsidRPr="00163523">
        <w:rPr>
          <w:lang w:val="en-GB"/>
        </w:rPr>
        <w:t xml:space="preserve">to air and water </w:t>
      </w:r>
      <w:r w:rsidRPr="00163523">
        <w:rPr>
          <w:lang w:val="en-GB"/>
        </w:rPr>
        <w:t>from livestock and use of fertilisers</w:t>
      </w:r>
      <w:r w:rsidR="003335E8" w:rsidRPr="00163523">
        <w:rPr>
          <w:lang w:val="en-GB"/>
        </w:rPr>
        <w:t>,</w:t>
      </w:r>
      <w:r w:rsidRPr="00163523">
        <w:rPr>
          <w:lang w:val="en-GB"/>
        </w:rPr>
        <w:t xml:space="preserve"> </w:t>
      </w:r>
      <w:r w:rsidR="003210EC" w:rsidRPr="00163523">
        <w:rPr>
          <w:lang w:val="en-GB"/>
        </w:rPr>
        <w:t xml:space="preserve">particulate matter emissions, </w:t>
      </w:r>
      <w:r w:rsidRPr="00163523">
        <w:rPr>
          <w:lang w:val="en-GB"/>
        </w:rPr>
        <w:t>and loss of biodiversity</w:t>
      </w:r>
      <w:r w:rsidR="00645C6D" w:rsidRPr="00163523">
        <w:rPr>
          <w:lang w:val="en-GB"/>
        </w:rPr>
        <w:t>.</w:t>
      </w:r>
      <w:r w:rsidR="003210EC" w:rsidRPr="00163523">
        <w:rPr>
          <w:rStyle w:val="Voetnootmarkering"/>
          <w:lang w:val="en-GB"/>
        </w:rPr>
        <w:footnoteReference w:id="59"/>
      </w:r>
      <w:r w:rsidR="00645C6D" w:rsidRPr="00163523">
        <w:rPr>
          <w:lang w:val="en-GB"/>
        </w:rPr>
        <w:t xml:space="preserve"> It must be noted that biogas and biomethane production can also </w:t>
      </w:r>
      <w:r w:rsidR="002365BB" w:rsidRPr="00163523">
        <w:rPr>
          <w:lang w:val="en-GB"/>
        </w:rPr>
        <w:t>provide environmental benefits, besides the climate benefits of reduced GHG emissions compared to natural gas and other fossil-based alternatives</w:t>
      </w:r>
      <w:r w:rsidR="009528A7" w:rsidRPr="00163523">
        <w:rPr>
          <w:lang w:val="en-GB"/>
        </w:rPr>
        <w:t>.</w:t>
      </w:r>
      <w:r w:rsidR="00E13F36" w:rsidRPr="00163523">
        <w:rPr>
          <w:rStyle w:val="Voetnootmarkering"/>
          <w:lang w:val="en-GB"/>
        </w:rPr>
        <w:footnoteReference w:id="60"/>
      </w:r>
      <w:r w:rsidR="009528A7" w:rsidRPr="00163523">
        <w:rPr>
          <w:lang w:val="en-GB"/>
        </w:rPr>
        <w:t xml:space="preserve"> The production, transportation, storage and end-use of methane-based renewable and low-carbon gases will also have associated levels of methane emissions, a potent greenhouse gas. </w:t>
      </w:r>
    </w:p>
    <w:p w14:paraId="414C92B1" w14:textId="77777777" w:rsidR="00F35299" w:rsidRPr="00163523" w:rsidRDefault="00F35299" w:rsidP="00F35299">
      <w:pPr>
        <w:rPr>
          <w:lang w:val="en-GB"/>
        </w:rPr>
      </w:pPr>
    </w:p>
    <w:p w14:paraId="350082B4" w14:textId="7A548042" w:rsidR="00072298" w:rsidRDefault="006059C0" w:rsidP="00F35299">
      <w:pPr>
        <w:rPr>
          <w:lang w:val="en-GB"/>
        </w:rPr>
      </w:pPr>
      <w:r w:rsidRPr="00163523">
        <w:rPr>
          <w:lang w:val="en-GB"/>
        </w:rPr>
        <w:t>According to the analysis conducted in DLV3</w:t>
      </w:r>
      <w:r w:rsidR="007A1EAF" w:rsidRPr="00163523">
        <w:rPr>
          <w:rStyle w:val="Voetnootmarkering"/>
          <w:lang w:val="en-GB"/>
        </w:rPr>
        <w:footnoteReference w:id="61"/>
      </w:r>
      <w:r w:rsidRPr="00163523">
        <w:rPr>
          <w:lang w:val="en-GB"/>
        </w:rPr>
        <w:t xml:space="preserve">, </w:t>
      </w:r>
      <w:r w:rsidR="00A63379" w:rsidRPr="00163523">
        <w:rPr>
          <w:lang w:val="en-GB"/>
        </w:rPr>
        <w:t xml:space="preserve">the additional biogas/biomethane production in the Baltic Regional Gas Market countries will be derived from </w:t>
      </w:r>
      <w:r w:rsidR="00F73B9B" w:rsidRPr="00163523">
        <w:rPr>
          <w:lang w:val="en-GB"/>
        </w:rPr>
        <w:t xml:space="preserve">agricultural residues and/or </w:t>
      </w:r>
      <w:r w:rsidR="00315213" w:rsidRPr="00163523">
        <w:rPr>
          <w:lang w:val="en-GB"/>
        </w:rPr>
        <w:t>waste-derived biomass (biowaste)</w:t>
      </w:r>
      <w:r w:rsidR="00131E47" w:rsidRPr="00163523">
        <w:rPr>
          <w:lang w:val="en-GB"/>
        </w:rPr>
        <w:t xml:space="preserve">. </w:t>
      </w:r>
      <w:r w:rsidR="00131E47" w:rsidRPr="00F35299">
        <w:rPr>
          <w:lang w:val="en-GB"/>
        </w:rPr>
        <w:t xml:space="preserve">Latvia </w:t>
      </w:r>
      <w:r w:rsidR="00B26923">
        <w:rPr>
          <w:lang w:val="en-GB"/>
        </w:rPr>
        <w:t>w</w:t>
      </w:r>
      <w:r w:rsidR="00131E47" w:rsidRPr="00F35299">
        <w:rPr>
          <w:lang w:val="en-GB"/>
        </w:rPr>
        <w:t xml:space="preserve">ould rely particularly on biowaste, while the remaining three Member States </w:t>
      </w:r>
      <w:r w:rsidR="00B26923">
        <w:rPr>
          <w:lang w:val="en-GB"/>
        </w:rPr>
        <w:t>w</w:t>
      </w:r>
      <w:r w:rsidR="00131E47" w:rsidRPr="00F35299">
        <w:rPr>
          <w:lang w:val="en-GB"/>
        </w:rPr>
        <w:t>ould employ both feedstock types</w:t>
      </w:r>
      <w:r w:rsidR="0043456F" w:rsidRPr="00F35299">
        <w:rPr>
          <w:lang w:val="en-GB"/>
        </w:rPr>
        <w:t xml:space="preserve"> (with municipal wastewater </w:t>
      </w:r>
      <w:r w:rsidR="007A1EAF" w:rsidRPr="00F35299">
        <w:rPr>
          <w:lang w:val="en-GB"/>
        </w:rPr>
        <w:t>making a small contribution to biomass inputs for biogas/biomethane production)</w:t>
      </w:r>
      <w:r w:rsidR="00F35299" w:rsidRPr="00F35299">
        <w:rPr>
          <w:lang w:val="en-GB"/>
        </w:rPr>
        <w:t>.</w:t>
      </w:r>
    </w:p>
    <w:p w14:paraId="5CD8BD83" w14:textId="77777777" w:rsidR="00F35299" w:rsidRPr="00F35299" w:rsidRDefault="00F35299" w:rsidP="00F35299">
      <w:pPr>
        <w:rPr>
          <w:lang w:val="en-GB"/>
        </w:rPr>
      </w:pPr>
    </w:p>
    <w:p w14:paraId="66455465" w14:textId="6B47AF3C" w:rsidR="009630BD" w:rsidRPr="00163523" w:rsidRDefault="00E13F36" w:rsidP="00F35299">
      <w:pPr>
        <w:rPr>
          <w:lang w:val="en-GB"/>
        </w:rPr>
      </w:pPr>
      <w:r w:rsidRPr="00163523">
        <w:rPr>
          <w:lang w:val="en-GB"/>
        </w:rPr>
        <w:t xml:space="preserve">The main impacts from biogas and biomethane production relate to </w:t>
      </w:r>
      <w:r w:rsidR="005172A6" w:rsidRPr="00163523">
        <w:rPr>
          <w:lang w:val="en-GB"/>
        </w:rPr>
        <w:t xml:space="preserve">the biomass storage and digestate management steps, as well as </w:t>
      </w:r>
      <w:r w:rsidR="00173044" w:rsidRPr="00163523">
        <w:rPr>
          <w:lang w:val="en-GB"/>
        </w:rPr>
        <w:t xml:space="preserve">to </w:t>
      </w:r>
      <w:r w:rsidR="00EB3EA0" w:rsidRPr="00163523">
        <w:rPr>
          <w:lang w:val="en-GB"/>
        </w:rPr>
        <w:t xml:space="preserve">methane leakage associated with biogas upgrading. However, </w:t>
      </w:r>
      <w:r w:rsidR="009528A7" w:rsidRPr="00163523">
        <w:rPr>
          <w:lang w:val="en-GB"/>
        </w:rPr>
        <w:t>best practices exist to address those potential negative impacts</w:t>
      </w:r>
      <w:r w:rsidR="00844F1B" w:rsidRPr="00163523">
        <w:rPr>
          <w:lang w:val="en-GB"/>
        </w:rPr>
        <w:t>.</w:t>
      </w:r>
      <w:r w:rsidR="00EB3EA0" w:rsidRPr="00163523">
        <w:rPr>
          <w:rStyle w:val="Voetnootmarkering"/>
          <w:lang w:val="en-GB"/>
        </w:rPr>
        <w:footnoteReference w:id="62"/>
      </w:r>
      <w:r w:rsidR="00844F1B" w:rsidRPr="00163523">
        <w:rPr>
          <w:lang w:val="en-GB"/>
        </w:rPr>
        <w:t xml:space="preserve"> The production of biogas/biomethane from biowaste could </w:t>
      </w:r>
      <w:r w:rsidR="008B5204" w:rsidRPr="00163523">
        <w:rPr>
          <w:lang w:val="en-GB"/>
        </w:rPr>
        <w:t>present environmental benefits compared to the alternative of landfilling the biowaste.</w:t>
      </w:r>
      <w:r w:rsidR="008B5204" w:rsidRPr="00163523">
        <w:rPr>
          <w:rStyle w:val="Voetnootmarkering"/>
          <w:lang w:val="en-GB"/>
        </w:rPr>
        <w:footnoteReference w:id="63"/>
      </w:r>
    </w:p>
    <w:p w14:paraId="6FAAA8E1" w14:textId="7B872A69" w:rsidR="00EC28F4" w:rsidRPr="00163523" w:rsidRDefault="00EC28F4" w:rsidP="00EC28F4">
      <w:pPr>
        <w:ind w:left="0"/>
        <w:rPr>
          <w:lang w:val="en-GB"/>
        </w:rPr>
      </w:pPr>
    </w:p>
    <w:p w14:paraId="6A18118B" w14:textId="6362FA42" w:rsidR="00AA4215" w:rsidRPr="00C02576" w:rsidRDefault="00A82793" w:rsidP="00F35299">
      <w:pPr>
        <w:rPr>
          <w:lang w:val="en-GB"/>
        </w:rPr>
      </w:pPr>
      <w:r w:rsidRPr="00F35299">
        <w:rPr>
          <w:lang w:val="en-GB"/>
        </w:rPr>
        <w:t>The</w:t>
      </w:r>
      <w:r w:rsidR="006C2DD8" w:rsidRPr="00F35299">
        <w:rPr>
          <w:lang w:val="en-GB"/>
        </w:rPr>
        <w:t xml:space="preserve"> renewable</w:t>
      </w:r>
      <w:r w:rsidRPr="00F35299">
        <w:rPr>
          <w:lang w:val="en-GB"/>
        </w:rPr>
        <w:t xml:space="preserve"> hydrogen value chain may also lead to </w:t>
      </w:r>
      <w:r w:rsidR="00B87C48" w:rsidRPr="00F35299">
        <w:rPr>
          <w:lang w:val="en-GB"/>
        </w:rPr>
        <w:t>global warming, as hydrogen is an indirect greenhouse gas</w:t>
      </w:r>
      <w:r w:rsidR="00166A3F" w:rsidRPr="00F35299">
        <w:rPr>
          <w:lang w:val="en-GB"/>
        </w:rPr>
        <w:t xml:space="preserve"> capable of depleting atmospheric ozone</w:t>
      </w:r>
      <w:r w:rsidR="007B5A53" w:rsidRPr="00F35299">
        <w:rPr>
          <w:lang w:val="en-GB"/>
        </w:rPr>
        <w:t>.</w:t>
      </w:r>
      <w:r w:rsidR="00F35299">
        <w:rPr>
          <w:lang w:val="en-GB"/>
        </w:rPr>
        <w:t xml:space="preserve"> However, while </w:t>
      </w:r>
      <w:r w:rsidR="00AA4215">
        <w:rPr>
          <w:lang w:val="en-GB"/>
        </w:rPr>
        <w:t xml:space="preserve">leakage rates </w:t>
      </w:r>
      <w:r w:rsidR="00787C40">
        <w:rPr>
          <w:lang w:val="en-GB"/>
        </w:rPr>
        <w:t>in</w:t>
      </w:r>
      <w:r w:rsidR="00AA4215">
        <w:rPr>
          <w:lang w:val="en-GB"/>
        </w:rPr>
        <w:t xml:space="preserve"> the hydrogen </w:t>
      </w:r>
      <w:r w:rsidR="00787C40">
        <w:rPr>
          <w:lang w:val="en-GB"/>
        </w:rPr>
        <w:t xml:space="preserve">supply </w:t>
      </w:r>
      <w:r w:rsidR="00AA4215">
        <w:rPr>
          <w:lang w:val="en-GB"/>
        </w:rPr>
        <w:t>chain can be similar to th</w:t>
      </w:r>
      <w:r w:rsidR="00787C40">
        <w:rPr>
          <w:lang w:val="en-GB"/>
        </w:rPr>
        <w:t xml:space="preserve">ose </w:t>
      </w:r>
      <w:r w:rsidR="00AA4215">
        <w:rPr>
          <w:lang w:val="en-GB"/>
        </w:rPr>
        <w:t>of natural gas</w:t>
      </w:r>
      <w:r w:rsidR="009B2280">
        <w:rPr>
          <w:lang w:val="en-GB"/>
        </w:rPr>
        <w:t xml:space="preserve"> on a MWh basis, the </w:t>
      </w:r>
      <w:r w:rsidR="00C02576">
        <w:rPr>
          <w:lang w:val="en-GB"/>
        </w:rPr>
        <w:t>global warming potential (GWP) of hydrogen is significantly lower t</w:t>
      </w:r>
      <w:r w:rsidR="004E2602">
        <w:rPr>
          <w:lang w:val="en-GB"/>
        </w:rPr>
        <w:t xml:space="preserve">han of </w:t>
      </w:r>
      <w:r w:rsidR="00C02576">
        <w:rPr>
          <w:lang w:val="en-GB"/>
        </w:rPr>
        <w:t>methane.</w:t>
      </w:r>
      <w:r w:rsidR="00C02576" w:rsidRPr="00163523">
        <w:rPr>
          <w:rStyle w:val="Voetnootmarkering"/>
          <w:lang w:val="en-GB"/>
        </w:rPr>
        <w:footnoteReference w:id="64"/>
      </w:r>
    </w:p>
    <w:p w14:paraId="394E24E0" w14:textId="77777777" w:rsidR="00AA4215" w:rsidRDefault="00AA4215" w:rsidP="00F35299">
      <w:pPr>
        <w:rPr>
          <w:lang w:val="en-GB"/>
        </w:rPr>
      </w:pPr>
    </w:p>
    <w:p w14:paraId="4B919680" w14:textId="14512FC0" w:rsidR="00F63E15" w:rsidRPr="00163523" w:rsidRDefault="007B5A53" w:rsidP="00F35299">
      <w:pPr>
        <w:rPr>
          <w:lang w:val="en-GB"/>
        </w:rPr>
      </w:pPr>
      <w:r w:rsidRPr="00F35299">
        <w:rPr>
          <w:lang w:val="en-GB"/>
        </w:rPr>
        <w:t xml:space="preserve">Natural gas-based low-carbon hydrogen (from e.g. SMR, ATR or partial oxidation </w:t>
      </w:r>
      <w:r w:rsidR="00015D18" w:rsidRPr="00F35299">
        <w:rPr>
          <w:lang w:val="en-GB"/>
        </w:rPr>
        <w:t>processes</w:t>
      </w:r>
      <w:r w:rsidRPr="00F35299">
        <w:rPr>
          <w:lang w:val="en-GB"/>
        </w:rPr>
        <w:t xml:space="preserve"> combined with carbon capture and/or storage)</w:t>
      </w:r>
      <w:r w:rsidR="00AB5100" w:rsidRPr="00F35299">
        <w:rPr>
          <w:lang w:val="en-GB"/>
        </w:rPr>
        <w:t xml:space="preserve"> as well as biomass-based hydrogen</w:t>
      </w:r>
      <w:r w:rsidRPr="00F35299">
        <w:rPr>
          <w:lang w:val="en-GB"/>
        </w:rPr>
        <w:t xml:space="preserve"> would have </w:t>
      </w:r>
      <w:r w:rsidR="00773B8B">
        <w:rPr>
          <w:lang w:val="en-GB"/>
        </w:rPr>
        <w:t xml:space="preserve">their </w:t>
      </w:r>
      <w:r w:rsidRPr="00F35299">
        <w:rPr>
          <w:lang w:val="en-GB"/>
        </w:rPr>
        <w:t xml:space="preserve">own associated radiative forcing effect due to upstream methane leakage as well as downstream hydrogen leakage. </w:t>
      </w:r>
      <w:r w:rsidRPr="00163523">
        <w:rPr>
          <w:lang w:val="en-GB"/>
        </w:rPr>
        <w:t xml:space="preserve">However, </w:t>
      </w:r>
      <w:r w:rsidR="00015D18" w:rsidRPr="00163523">
        <w:rPr>
          <w:lang w:val="en-GB"/>
        </w:rPr>
        <w:t xml:space="preserve">the scenarios developed in this study focus on renewable </w:t>
      </w:r>
      <w:r w:rsidR="00CE230D" w:rsidRPr="00163523">
        <w:rPr>
          <w:lang w:val="en-GB"/>
        </w:rPr>
        <w:t xml:space="preserve">electrolytic </w:t>
      </w:r>
      <w:r w:rsidR="00015D18" w:rsidRPr="00163523">
        <w:rPr>
          <w:lang w:val="en-GB"/>
        </w:rPr>
        <w:t>hydrogen</w:t>
      </w:r>
      <w:r w:rsidR="000E05BC" w:rsidRPr="00163523">
        <w:rPr>
          <w:lang w:val="en-GB"/>
        </w:rPr>
        <w:t>.</w:t>
      </w:r>
    </w:p>
    <w:p w14:paraId="5BF0F32C" w14:textId="77777777" w:rsidR="00B554F9" w:rsidRPr="00163523" w:rsidRDefault="00B554F9" w:rsidP="00B554F9">
      <w:pPr>
        <w:rPr>
          <w:lang w:val="en-GB"/>
        </w:rPr>
      </w:pPr>
    </w:p>
    <w:p w14:paraId="2B477B67" w14:textId="228FE568" w:rsidR="00F63E15" w:rsidRPr="00163523" w:rsidRDefault="00AB17A7" w:rsidP="00F63E15">
      <w:pPr>
        <w:pStyle w:val="Kop4"/>
        <w:rPr>
          <w:lang w:val="en-GB"/>
        </w:rPr>
      </w:pPr>
      <w:r w:rsidRPr="00163523">
        <w:rPr>
          <w:lang w:val="en-GB"/>
        </w:rPr>
        <w:t>Rating</w:t>
      </w:r>
      <w:r w:rsidR="00F63E15" w:rsidRPr="00163523">
        <w:rPr>
          <w:lang w:val="en-GB"/>
        </w:rPr>
        <w:t xml:space="preserve"> of the </w:t>
      </w:r>
      <w:r w:rsidRPr="00163523">
        <w:rPr>
          <w:lang w:val="en-GB"/>
        </w:rPr>
        <w:t xml:space="preserve">risk </w:t>
      </w:r>
      <w:r w:rsidR="00F63E15" w:rsidRPr="00163523">
        <w:rPr>
          <w:lang w:val="en-GB"/>
        </w:rPr>
        <w:t>based on likelihood and severity</w:t>
      </w:r>
    </w:p>
    <w:p w14:paraId="1139B3D5" w14:textId="5AC8643A" w:rsidR="00EC28F4" w:rsidRDefault="00EC28F4" w:rsidP="00BC6954">
      <w:pPr>
        <w:rPr>
          <w:lang w:val="en-GB"/>
        </w:rPr>
      </w:pPr>
      <w:r w:rsidRPr="00BC6954">
        <w:rPr>
          <w:lang w:val="en-GB"/>
        </w:rPr>
        <w:t xml:space="preserve">Based on the </w:t>
      </w:r>
      <w:r w:rsidR="00A350A6" w:rsidRPr="00BC6954">
        <w:rPr>
          <w:lang w:val="en-GB"/>
        </w:rPr>
        <w:t xml:space="preserve">arguments above, we assess the </w:t>
      </w:r>
      <w:r w:rsidR="00A350A6" w:rsidRPr="00BC6954">
        <w:rPr>
          <w:b/>
          <w:bCs/>
          <w:lang w:val="en-GB"/>
        </w:rPr>
        <w:t xml:space="preserve">severity of the risk as </w:t>
      </w:r>
      <w:r w:rsidR="002A7720">
        <w:rPr>
          <w:b/>
          <w:bCs/>
          <w:lang w:val="en-GB"/>
        </w:rPr>
        <w:t>‘</w:t>
      </w:r>
      <w:r w:rsidR="005F0994" w:rsidRPr="00BC6954">
        <w:rPr>
          <w:b/>
          <w:bCs/>
          <w:lang w:val="en-GB"/>
        </w:rPr>
        <w:t>medium</w:t>
      </w:r>
      <w:r w:rsidR="002A7720">
        <w:rPr>
          <w:b/>
          <w:bCs/>
          <w:lang w:val="en-GB"/>
        </w:rPr>
        <w:t>’</w:t>
      </w:r>
      <w:r w:rsidR="00794B43" w:rsidRPr="00BC6954">
        <w:rPr>
          <w:b/>
          <w:bCs/>
          <w:lang w:val="en-GB"/>
        </w:rPr>
        <w:t xml:space="preserve"> </w:t>
      </w:r>
      <w:r w:rsidR="00794B43" w:rsidRPr="00BC6954">
        <w:rPr>
          <w:lang w:val="en-GB"/>
        </w:rPr>
        <w:t xml:space="preserve">due to the potential negative environmental and climate impacts associated with the </w:t>
      </w:r>
      <w:r w:rsidR="00CE4DC0">
        <w:rPr>
          <w:lang w:val="en-GB"/>
        </w:rPr>
        <w:t xml:space="preserve">supply </w:t>
      </w:r>
      <w:r w:rsidR="00E262AE" w:rsidRPr="00BC6954">
        <w:rPr>
          <w:lang w:val="en-GB"/>
        </w:rPr>
        <w:t xml:space="preserve">chain of biogas and biomethane, while the hydrogen </w:t>
      </w:r>
      <w:r w:rsidR="0012259E">
        <w:rPr>
          <w:lang w:val="en-GB"/>
        </w:rPr>
        <w:t>supply</w:t>
      </w:r>
      <w:r w:rsidR="00E262AE" w:rsidRPr="00BC6954">
        <w:rPr>
          <w:lang w:val="en-GB"/>
        </w:rPr>
        <w:t xml:space="preserve"> chain exhibits lower risks.</w:t>
      </w:r>
      <w:r w:rsidR="002F1BD3" w:rsidRPr="00BC6954">
        <w:rPr>
          <w:lang w:val="en-GB"/>
        </w:rPr>
        <w:t xml:space="preserve"> The risks are identified especially in the production stage of the value chain </w:t>
      </w:r>
      <w:r w:rsidR="00165227" w:rsidRPr="00BC6954">
        <w:rPr>
          <w:lang w:val="en-GB"/>
        </w:rPr>
        <w:t>(including biomass storage) as well as the use of digestates resulting from the anaerobic digestion of biomass feedstocks.</w:t>
      </w:r>
      <w:r w:rsidR="00BC6954" w:rsidRPr="00BC6954">
        <w:rPr>
          <w:lang w:val="en-GB"/>
        </w:rPr>
        <w:t xml:space="preserve"> </w:t>
      </w:r>
      <w:r w:rsidR="00E262AE" w:rsidRPr="00BC6954">
        <w:rPr>
          <w:lang w:val="en-GB"/>
        </w:rPr>
        <w:t xml:space="preserve">However, the </w:t>
      </w:r>
      <w:r w:rsidR="00A52B25" w:rsidRPr="00BC6954">
        <w:rPr>
          <w:b/>
          <w:bCs/>
          <w:lang w:val="en-GB"/>
        </w:rPr>
        <w:t xml:space="preserve">probability of the risk is assessed as </w:t>
      </w:r>
      <w:r w:rsidR="00C2462D">
        <w:rPr>
          <w:b/>
          <w:bCs/>
          <w:lang w:val="en-GB"/>
        </w:rPr>
        <w:t>‘</w:t>
      </w:r>
      <w:r w:rsidR="00A52B25" w:rsidRPr="00BC6954">
        <w:rPr>
          <w:b/>
          <w:bCs/>
          <w:lang w:val="en-GB"/>
        </w:rPr>
        <w:t>low</w:t>
      </w:r>
      <w:r w:rsidR="00C2462D">
        <w:rPr>
          <w:b/>
          <w:bCs/>
          <w:lang w:val="en-GB"/>
        </w:rPr>
        <w:t>’</w:t>
      </w:r>
      <w:r w:rsidR="00A52B25" w:rsidRPr="00BC6954">
        <w:rPr>
          <w:b/>
          <w:bCs/>
          <w:lang w:val="en-GB"/>
        </w:rPr>
        <w:t xml:space="preserve"> </w:t>
      </w:r>
      <w:r w:rsidR="00A52B25" w:rsidRPr="00BC6954">
        <w:rPr>
          <w:lang w:val="en-GB"/>
        </w:rPr>
        <w:t xml:space="preserve">given the existence of </w:t>
      </w:r>
      <w:r w:rsidR="00BC6954" w:rsidRPr="00BC6954">
        <w:rPr>
          <w:lang w:val="en-GB"/>
        </w:rPr>
        <w:t xml:space="preserve">mature </w:t>
      </w:r>
      <w:r w:rsidR="00A52B25" w:rsidRPr="00BC6954">
        <w:rPr>
          <w:lang w:val="en-GB"/>
        </w:rPr>
        <w:t xml:space="preserve">technical best practices for the mitigation of </w:t>
      </w:r>
      <w:r w:rsidR="00BC6954" w:rsidRPr="00BC6954">
        <w:rPr>
          <w:lang w:val="en-GB"/>
        </w:rPr>
        <w:t>potential emission</w:t>
      </w:r>
      <w:r w:rsidR="00C2462D">
        <w:rPr>
          <w:lang w:val="en-GB"/>
        </w:rPr>
        <w:t>s</w:t>
      </w:r>
      <w:r w:rsidR="00BC6954" w:rsidRPr="00BC6954">
        <w:rPr>
          <w:lang w:val="en-GB"/>
        </w:rPr>
        <w:t xml:space="preserve"> of methane and other pollutants.</w:t>
      </w:r>
    </w:p>
    <w:p w14:paraId="3C8D93B6" w14:textId="77777777" w:rsidR="00BC6954" w:rsidRPr="00BC6954" w:rsidRDefault="00BC6954" w:rsidP="00BC6954">
      <w:pPr>
        <w:rPr>
          <w:b/>
          <w:bCs/>
          <w:lang w:val="en-GB"/>
        </w:rPr>
      </w:pPr>
    </w:p>
    <w:p w14:paraId="20785DE4" w14:textId="2FFE492C" w:rsidR="00920786" w:rsidRPr="00BC6954" w:rsidRDefault="00BC6954" w:rsidP="00BC6954">
      <w:pPr>
        <w:rPr>
          <w:lang w:val="en-GB"/>
        </w:rPr>
      </w:pPr>
      <w:r w:rsidRPr="00BC6954">
        <w:rPr>
          <w:lang w:val="en-GB"/>
        </w:rPr>
        <w:t>The present risk is c</w:t>
      </w:r>
      <w:r>
        <w:rPr>
          <w:lang w:val="en-GB"/>
        </w:rPr>
        <w:t xml:space="preserve">learly </w:t>
      </w:r>
      <w:r w:rsidR="00DA1534">
        <w:rPr>
          <w:lang w:val="en-GB"/>
        </w:rPr>
        <w:t xml:space="preserve">mainly </w:t>
      </w:r>
      <w:r>
        <w:rPr>
          <w:lang w:val="en-GB"/>
        </w:rPr>
        <w:t xml:space="preserve">associated with </w:t>
      </w:r>
      <w:r w:rsidR="001B76FE">
        <w:rPr>
          <w:lang w:val="en-GB"/>
        </w:rPr>
        <w:t xml:space="preserve">the REN-Biomethane and Cost Minimal decarbonisation scenarios, where biogas and biomethane </w:t>
      </w:r>
      <w:r w:rsidR="00DC5243">
        <w:rPr>
          <w:lang w:val="en-GB"/>
        </w:rPr>
        <w:t>are the main carriers to decarbonise the region’s gas system.</w:t>
      </w:r>
      <w:r w:rsidR="001B76FE">
        <w:rPr>
          <w:lang w:val="en-GB"/>
        </w:rPr>
        <w:t xml:space="preserve"> </w:t>
      </w:r>
      <w:r w:rsidR="00772A80">
        <w:rPr>
          <w:lang w:val="en-GB"/>
        </w:rPr>
        <w:t xml:space="preserve">All four countries in the Baltic Regional Gas Market are subject to a similar level of risk, given their </w:t>
      </w:r>
      <w:r w:rsidR="00CF61F4">
        <w:rPr>
          <w:lang w:val="en-GB"/>
        </w:rPr>
        <w:t xml:space="preserve">similar </w:t>
      </w:r>
      <w:r w:rsidR="00772A80">
        <w:rPr>
          <w:lang w:val="en-GB"/>
        </w:rPr>
        <w:t xml:space="preserve">reliance on </w:t>
      </w:r>
      <w:r w:rsidR="00CF61F4">
        <w:rPr>
          <w:lang w:val="en-GB"/>
        </w:rPr>
        <w:t>agricultural residues and biowaste as feedstocks for biogas and biomethane production under the decarbonisation scenarios.</w:t>
      </w:r>
    </w:p>
    <w:p w14:paraId="3421D8A8" w14:textId="77777777" w:rsidR="00920786" w:rsidRPr="00920786" w:rsidRDefault="00920786" w:rsidP="00F63E15">
      <w:pPr>
        <w:rPr>
          <w:lang w:val="en-GB"/>
        </w:rPr>
      </w:pPr>
    </w:p>
    <w:tbl>
      <w:tblPr>
        <w:tblStyle w:val="Table1"/>
        <w:tblW w:w="8449" w:type="dxa"/>
        <w:tblLayout w:type="fixed"/>
        <w:tblLook w:val="04A0" w:firstRow="1" w:lastRow="0" w:firstColumn="1" w:lastColumn="0" w:noHBand="0" w:noVBand="1"/>
      </w:tblPr>
      <w:tblGrid>
        <w:gridCol w:w="2689"/>
        <w:gridCol w:w="864"/>
        <w:gridCol w:w="864"/>
        <w:gridCol w:w="865"/>
        <w:gridCol w:w="1731"/>
        <w:gridCol w:w="1436"/>
      </w:tblGrid>
      <w:tr w:rsidR="006E18C3" w:rsidRPr="00576481" w14:paraId="6D6FFDA3" w14:textId="77777777" w:rsidTr="0076227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89" w:type="dxa"/>
            <w:vMerge w:val="restart"/>
            <w:noWrap/>
          </w:tcPr>
          <w:p w14:paraId="65136E18" w14:textId="77777777" w:rsidR="006E18C3" w:rsidRPr="00163523" w:rsidRDefault="006E18C3" w:rsidP="0076227C">
            <w:pPr>
              <w:keepNext/>
              <w:spacing w:line="240" w:lineRule="auto"/>
              <w:ind w:left="0"/>
              <w:rPr>
                <w:rFonts w:eastAsia="Times New Roman"/>
                <w:sz w:val="16"/>
                <w:szCs w:val="16"/>
                <w:lang w:val="en-GB" w:eastAsia="en-GB"/>
              </w:rPr>
            </w:pPr>
            <w:r w:rsidRPr="00163523">
              <w:rPr>
                <w:rFonts w:eastAsia="Arial"/>
                <w:sz w:val="16"/>
                <w:szCs w:val="16"/>
                <w:lang w:val="en-GB"/>
              </w:rPr>
              <w:t>Risk</w:t>
            </w:r>
          </w:p>
        </w:tc>
        <w:tc>
          <w:tcPr>
            <w:tcW w:w="2593" w:type="dxa"/>
            <w:gridSpan w:val="3"/>
          </w:tcPr>
          <w:p w14:paraId="35737A04" w14:textId="77777777" w:rsidR="006E18C3" w:rsidRPr="00163523" w:rsidRDefault="006E18C3" w:rsidP="0076227C">
            <w:pPr>
              <w:keepNext/>
              <w:spacing w:line="240" w:lineRule="auto"/>
              <w:ind w:left="0"/>
              <w:cnfStyle w:val="100000000000" w:firstRow="1" w:lastRow="0" w:firstColumn="0" w:lastColumn="0" w:oddVBand="0" w:evenVBand="0" w:oddHBand="0" w:evenHBand="0" w:firstRowFirstColumn="0" w:firstRowLastColumn="0" w:lastRowFirstColumn="0" w:lastRowLastColumn="0"/>
              <w:rPr>
                <w:rFonts w:eastAsia="Arial"/>
                <w:sz w:val="16"/>
                <w:szCs w:val="16"/>
                <w:lang w:val="en-GB"/>
              </w:rPr>
            </w:pPr>
            <w:r w:rsidRPr="00576481">
              <w:rPr>
                <w:rFonts w:eastAsia="Arial"/>
                <w:sz w:val="16"/>
                <w:szCs w:val="16"/>
                <w:lang w:val="en-GB"/>
              </w:rPr>
              <w:t>Applicable scenarios</w:t>
            </w:r>
          </w:p>
        </w:tc>
        <w:tc>
          <w:tcPr>
            <w:tcW w:w="1731" w:type="dxa"/>
            <w:vMerge w:val="restart"/>
            <w:noWrap/>
          </w:tcPr>
          <w:p w14:paraId="2A1CC97D" w14:textId="77777777" w:rsidR="006E18C3" w:rsidRPr="00163523" w:rsidRDefault="006E18C3" w:rsidP="0076227C">
            <w:pPr>
              <w:keepNext/>
              <w:spacing w:line="240" w:lineRule="auto"/>
              <w:ind w:left="0"/>
              <w:cnfStyle w:val="100000000000" w:firstRow="1" w:lastRow="0" w:firstColumn="0" w:lastColumn="0" w:oddVBand="0" w:evenVBand="0" w:oddHBand="0" w:evenHBand="0" w:firstRowFirstColumn="0" w:firstRowLastColumn="0" w:lastRowFirstColumn="0" w:lastRowLastColumn="0"/>
              <w:rPr>
                <w:rFonts w:eastAsia="Times New Roman"/>
                <w:i/>
                <w:sz w:val="16"/>
                <w:szCs w:val="16"/>
                <w:lang w:val="en-GB" w:eastAsia="en-GB"/>
              </w:rPr>
            </w:pPr>
            <w:r w:rsidRPr="00163523">
              <w:rPr>
                <w:rFonts w:eastAsia="Arial"/>
                <w:sz w:val="16"/>
                <w:szCs w:val="16"/>
                <w:lang w:val="en-GB"/>
              </w:rPr>
              <w:t>Likelihood</w:t>
            </w:r>
          </w:p>
        </w:tc>
        <w:tc>
          <w:tcPr>
            <w:tcW w:w="1436" w:type="dxa"/>
            <w:vMerge w:val="restart"/>
            <w:noWrap/>
          </w:tcPr>
          <w:p w14:paraId="2D6A98AD" w14:textId="77777777" w:rsidR="006E18C3" w:rsidRPr="00163523" w:rsidRDefault="006E18C3" w:rsidP="0076227C">
            <w:pPr>
              <w:keepNext/>
              <w:spacing w:line="240" w:lineRule="auto"/>
              <w:ind w:left="0"/>
              <w:cnfStyle w:val="100000000000" w:firstRow="1" w:lastRow="0" w:firstColumn="0" w:lastColumn="0" w:oddVBand="0" w:evenVBand="0" w:oddHBand="0" w:evenHBand="0" w:firstRowFirstColumn="0" w:firstRowLastColumn="0" w:lastRowFirstColumn="0" w:lastRowLastColumn="0"/>
              <w:rPr>
                <w:rFonts w:eastAsia="Times New Roman"/>
                <w:i/>
                <w:sz w:val="16"/>
                <w:szCs w:val="16"/>
                <w:lang w:val="en-GB" w:eastAsia="en-GB"/>
              </w:rPr>
            </w:pPr>
            <w:r w:rsidRPr="00163523">
              <w:rPr>
                <w:rFonts w:eastAsia="Arial"/>
                <w:sz w:val="16"/>
                <w:szCs w:val="16"/>
                <w:lang w:val="en-GB"/>
              </w:rPr>
              <w:t>Severity</w:t>
            </w:r>
          </w:p>
        </w:tc>
      </w:tr>
      <w:tr w:rsidR="006E18C3" w:rsidRPr="00576481" w14:paraId="1578C342" w14:textId="77777777" w:rsidTr="000C7C92">
        <w:trPr>
          <w:trHeight w:val="20"/>
        </w:trPr>
        <w:tc>
          <w:tcPr>
            <w:cnfStyle w:val="001000000000" w:firstRow="0" w:lastRow="0" w:firstColumn="1" w:lastColumn="0" w:oddVBand="0" w:evenVBand="0" w:oddHBand="0" w:evenHBand="0" w:firstRowFirstColumn="0" w:firstRowLastColumn="0" w:lastRowFirstColumn="0" w:lastRowLastColumn="0"/>
            <w:tcW w:w="2689" w:type="dxa"/>
            <w:vMerge/>
            <w:noWrap/>
          </w:tcPr>
          <w:p w14:paraId="7C62396B" w14:textId="77777777" w:rsidR="006E18C3" w:rsidRPr="00576481" w:rsidRDefault="006E18C3" w:rsidP="0076227C">
            <w:pPr>
              <w:spacing w:line="240" w:lineRule="auto"/>
              <w:ind w:left="0"/>
              <w:jc w:val="center"/>
              <w:rPr>
                <w:rFonts w:eastAsia="Arial"/>
                <w:sz w:val="16"/>
                <w:szCs w:val="16"/>
                <w:lang w:val="en-GB"/>
              </w:rPr>
            </w:pPr>
          </w:p>
        </w:tc>
        <w:tc>
          <w:tcPr>
            <w:tcW w:w="864" w:type="dxa"/>
          </w:tcPr>
          <w:p w14:paraId="753A5245" w14:textId="77777777" w:rsidR="006E18C3" w:rsidRPr="00163523" w:rsidRDefault="006E18C3" w:rsidP="0076227C">
            <w:pPr>
              <w:spacing w:line="240" w:lineRule="auto"/>
              <w:ind w:left="0"/>
              <w:cnfStyle w:val="000000000000" w:firstRow="0" w:lastRow="0" w:firstColumn="0" w:lastColumn="0" w:oddVBand="0" w:evenVBand="0" w:oddHBand="0" w:evenHBand="0" w:firstRowFirstColumn="0" w:firstRowLastColumn="0" w:lastRowFirstColumn="0" w:lastRowLastColumn="0"/>
              <w:rPr>
                <w:rFonts w:eastAsia="Times New Roman"/>
                <w:b/>
                <w:color w:val="000000"/>
                <w:sz w:val="14"/>
                <w:szCs w:val="14"/>
                <w:lang w:val="en-GB" w:eastAsia="en-GB"/>
              </w:rPr>
            </w:pPr>
            <w:r w:rsidRPr="00163523">
              <w:rPr>
                <w:rFonts w:eastAsia="Arial"/>
                <w:sz w:val="14"/>
                <w:szCs w:val="14"/>
                <w:lang w:val="en-GB"/>
              </w:rPr>
              <w:t>REN-M</w:t>
            </w:r>
          </w:p>
        </w:tc>
        <w:tc>
          <w:tcPr>
            <w:tcW w:w="864" w:type="dxa"/>
          </w:tcPr>
          <w:p w14:paraId="59732517" w14:textId="77777777" w:rsidR="006E18C3" w:rsidRPr="00163523" w:rsidRDefault="006E18C3" w:rsidP="0076227C">
            <w:pPr>
              <w:spacing w:line="240" w:lineRule="auto"/>
              <w:ind w:left="0"/>
              <w:cnfStyle w:val="000000000000" w:firstRow="0" w:lastRow="0" w:firstColumn="0" w:lastColumn="0" w:oddVBand="0" w:evenVBand="0" w:oddHBand="0" w:evenHBand="0" w:firstRowFirstColumn="0" w:firstRowLastColumn="0" w:lastRowFirstColumn="0" w:lastRowLastColumn="0"/>
              <w:rPr>
                <w:rFonts w:eastAsia="Times New Roman"/>
                <w:b/>
                <w:color w:val="000000"/>
                <w:sz w:val="14"/>
                <w:szCs w:val="14"/>
                <w:lang w:val="en-GB" w:eastAsia="en-GB"/>
              </w:rPr>
            </w:pPr>
            <w:r w:rsidRPr="00163523">
              <w:rPr>
                <w:rFonts w:eastAsia="Arial"/>
                <w:sz w:val="14"/>
                <w:szCs w:val="14"/>
                <w:lang w:val="en-GB"/>
              </w:rPr>
              <w:t>REN-H</w:t>
            </w:r>
          </w:p>
        </w:tc>
        <w:tc>
          <w:tcPr>
            <w:tcW w:w="865" w:type="dxa"/>
          </w:tcPr>
          <w:p w14:paraId="3162BF4B" w14:textId="77777777" w:rsidR="006E18C3" w:rsidRPr="00163523" w:rsidRDefault="006E18C3" w:rsidP="0076227C">
            <w:pPr>
              <w:spacing w:line="240" w:lineRule="auto"/>
              <w:ind w:left="0"/>
              <w:cnfStyle w:val="000000000000" w:firstRow="0" w:lastRow="0" w:firstColumn="0" w:lastColumn="0" w:oddVBand="0" w:evenVBand="0" w:oddHBand="0" w:evenHBand="0" w:firstRowFirstColumn="0" w:firstRowLastColumn="0" w:lastRowFirstColumn="0" w:lastRowLastColumn="0"/>
              <w:rPr>
                <w:rFonts w:eastAsia="Times New Roman"/>
                <w:b/>
                <w:color w:val="000000"/>
                <w:sz w:val="14"/>
                <w:szCs w:val="14"/>
                <w:lang w:val="en-GB" w:eastAsia="en-GB"/>
              </w:rPr>
            </w:pPr>
            <w:r w:rsidRPr="00163523">
              <w:rPr>
                <w:rFonts w:eastAsia="Arial"/>
                <w:sz w:val="14"/>
                <w:szCs w:val="14"/>
                <w:lang w:val="en-GB"/>
              </w:rPr>
              <w:t>CM</w:t>
            </w:r>
          </w:p>
        </w:tc>
        <w:tc>
          <w:tcPr>
            <w:tcW w:w="1731" w:type="dxa"/>
            <w:vMerge/>
            <w:shd w:val="clear" w:color="auto" w:fill="F9B7AC" w:themeFill="accent2" w:themeFillTint="66"/>
            <w:noWrap/>
          </w:tcPr>
          <w:p w14:paraId="34517537" w14:textId="77777777" w:rsidR="006E18C3" w:rsidRPr="00163523" w:rsidRDefault="006E18C3" w:rsidP="0076227C">
            <w:pPr>
              <w:spacing w:line="240" w:lineRule="auto"/>
              <w:ind w:left="0"/>
              <w:cnfStyle w:val="000000000000" w:firstRow="0" w:lastRow="0" w:firstColumn="0" w:lastColumn="0" w:oddVBand="0" w:evenVBand="0" w:oddHBand="0" w:evenHBand="0" w:firstRowFirstColumn="0" w:firstRowLastColumn="0" w:lastRowFirstColumn="0" w:lastRowLastColumn="0"/>
              <w:rPr>
                <w:rFonts w:eastAsia="Times New Roman"/>
                <w:b/>
                <w:color w:val="000000"/>
                <w:sz w:val="16"/>
                <w:szCs w:val="16"/>
                <w:lang w:val="en-GB" w:eastAsia="en-GB"/>
              </w:rPr>
            </w:pPr>
          </w:p>
        </w:tc>
        <w:tc>
          <w:tcPr>
            <w:tcW w:w="1436" w:type="dxa"/>
            <w:vMerge/>
            <w:shd w:val="clear" w:color="auto" w:fill="FFD57B" w:themeFill="accent4" w:themeFillShade="E6"/>
            <w:noWrap/>
          </w:tcPr>
          <w:p w14:paraId="340A9812" w14:textId="77777777" w:rsidR="006E18C3" w:rsidRPr="00163523" w:rsidRDefault="006E18C3" w:rsidP="0076227C">
            <w:pPr>
              <w:spacing w:line="240" w:lineRule="auto"/>
              <w:ind w:left="0"/>
              <w:cnfStyle w:val="000000000000" w:firstRow="0" w:lastRow="0" w:firstColumn="0" w:lastColumn="0" w:oddVBand="0" w:evenVBand="0" w:oddHBand="0" w:evenHBand="0" w:firstRowFirstColumn="0" w:firstRowLastColumn="0" w:lastRowFirstColumn="0" w:lastRowLastColumn="0"/>
              <w:rPr>
                <w:rFonts w:eastAsia="Arial"/>
                <w:b/>
                <w:sz w:val="16"/>
                <w:szCs w:val="16"/>
                <w:lang w:val="en-GB"/>
              </w:rPr>
            </w:pPr>
          </w:p>
        </w:tc>
      </w:tr>
      <w:tr w:rsidR="006E18C3" w:rsidRPr="00576481" w14:paraId="6BF7A676" w14:textId="77777777" w:rsidTr="009E69A2">
        <w:trPr>
          <w:trHeight w:val="20"/>
        </w:trPr>
        <w:tc>
          <w:tcPr>
            <w:cnfStyle w:val="001000000000" w:firstRow="0" w:lastRow="0" w:firstColumn="1" w:lastColumn="0" w:oddVBand="0" w:evenVBand="0" w:oddHBand="0" w:evenHBand="0" w:firstRowFirstColumn="0" w:firstRowLastColumn="0" w:lastRowFirstColumn="0" w:lastRowLastColumn="0"/>
            <w:tcW w:w="0" w:type="dxa"/>
            <w:noWrap/>
          </w:tcPr>
          <w:p w14:paraId="54E770D9" w14:textId="13F65179" w:rsidR="006E18C3" w:rsidRPr="00576481" w:rsidRDefault="00191426" w:rsidP="0076227C">
            <w:pPr>
              <w:spacing w:line="240" w:lineRule="auto"/>
              <w:ind w:left="0"/>
              <w:jc w:val="center"/>
              <w:rPr>
                <w:rFonts w:eastAsia="Times New Roman"/>
                <w:color w:val="000000"/>
                <w:sz w:val="16"/>
                <w:szCs w:val="16"/>
                <w:lang w:val="en-GB" w:eastAsia="en-GB"/>
              </w:rPr>
            </w:pPr>
            <w:r w:rsidRPr="00576481">
              <w:rPr>
                <w:rFonts w:eastAsia="Times New Roman"/>
                <w:color w:val="000000"/>
                <w:sz w:val="16"/>
                <w:szCs w:val="16"/>
                <w:lang w:val="en-GB" w:eastAsia="en-GB"/>
              </w:rPr>
              <w:t>Adverse environmental and climate impacts</w:t>
            </w:r>
          </w:p>
        </w:tc>
        <w:tc>
          <w:tcPr>
            <w:tcW w:w="0" w:type="dxa"/>
          </w:tcPr>
          <w:p w14:paraId="516F2674" w14:textId="4664A290" w:rsidR="006E18C3" w:rsidRPr="00163523" w:rsidRDefault="006E18C3" w:rsidP="0076227C">
            <w:pPr>
              <w:spacing w:line="240" w:lineRule="auto"/>
              <w:ind w:left="0"/>
              <w:cnfStyle w:val="000000000000" w:firstRow="0" w:lastRow="0" w:firstColumn="0" w:lastColumn="0" w:oddVBand="0" w:evenVBand="0" w:oddHBand="0" w:evenHBand="0" w:firstRowFirstColumn="0" w:firstRowLastColumn="0" w:lastRowFirstColumn="0" w:lastRowLastColumn="0"/>
              <w:rPr>
                <w:rFonts w:eastAsia="Times New Roman"/>
                <w:b/>
                <w:color w:val="000000"/>
                <w:sz w:val="16"/>
                <w:szCs w:val="16"/>
                <w:lang w:val="en-GB" w:eastAsia="en-GB"/>
              </w:rPr>
            </w:pPr>
            <w:r w:rsidRPr="00163523">
              <w:rPr>
                <w:rFonts w:ascii="Wingdings" w:eastAsia="Wingdings" w:hAnsi="Wingdings" w:cs="Wingdings"/>
                <w:b/>
                <w:color w:val="000000"/>
                <w:sz w:val="16"/>
                <w:szCs w:val="16"/>
                <w:lang w:val="en-GB" w:eastAsia="en-GB"/>
              </w:rPr>
              <w:sym w:font="Wingdings" w:char="F0FC"/>
            </w:r>
            <w:r w:rsidR="00191426" w:rsidRPr="00163523">
              <w:rPr>
                <w:rFonts w:ascii="Wingdings" w:eastAsia="Wingdings" w:hAnsi="Wingdings" w:cs="Wingdings"/>
                <w:b/>
                <w:color w:val="000000"/>
                <w:sz w:val="16"/>
                <w:szCs w:val="16"/>
                <w:lang w:val="en-GB" w:eastAsia="en-GB"/>
              </w:rPr>
              <w:sym w:font="Wingdings" w:char="F0FC"/>
            </w:r>
          </w:p>
        </w:tc>
        <w:tc>
          <w:tcPr>
            <w:tcW w:w="0" w:type="dxa"/>
          </w:tcPr>
          <w:p w14:paraId="30230A5B" w14:textId="4AF3D9DE" w:rsidR="006E18C3" w:rsidRPr="00163523" w:rsidRDefault="006E18C3" w:rsidP="0076227C">
            <w:pPr>
              <w:spacing w:line="240" w:lineRule="auto"/>
              <w:ind w:left="0"/>
              <w:cnfStyle w:val="000000000000" w:firstRow="0" w:lastRow="0" w:firstColumn="0" w:lastColumn="0" w:oddVBand="0" w:evenVBand="0" w:oddHBand="0" w:evenHBand="0" w:firstRowFirstColumn="0" w:firstRowLastColumn="0" w:lastRowFirstColumn="0" w:lastRowLastColumn="0"/>
              <w:rPr>
                <w:rFonts w:eastAsia="Times New Roman"/>
                <w:b/>
                <w:color w:val="000000"/>
                <w:sz w:val="16"/>
                <w:szCs w:val="16"/>
                <w:lang w:val="en-GB" w:eastAsia="en-GB"/>
              </w:rPr>
            </w:pPr>
          </w:p>
        </w:tc>
        <w:tc>
          <w:tcPr>
            <w:tcW w:w="0" w:type="dxa"/>
          </w:tcPr>
          <w:p w14:paraId="4B511335" w14:textId="77777777" w:rsidR="006E18C3" w:rsidRPr="00163523" w:rsidRDefault="006E18C3" w:rsidP="0076227C">
            <w:pPr>
              <w:spacing w:line="240" w:lineRule="auto"/>
              <w:ind w:left="0"/>
              <w:cnfStyle w:val="000000000000" w:firstRow="0" w:lastRow="0" w:firstColumn="0" w:lastColumn="0" w:oddVBand="0" w:evenVBand="0" w:oddHBand="0" w:evenHBand="0" w:firstRowFirstColumn="0" w:firstRowLastColumn="0" w:lastRowFirstColumn="0" w:lastRowLastColumn="0"/>
              <w:rPr>
                <w:rFonts w:eastAsia="Times New Roman"/>
                <w:b/>
                <w:color w:val="000000"/>
                <w:sz w:val="16"/>
                <w:szCs w:val="16"/>
                <w:lang w:val="en-GB" w:eastAsia="en-GB"/>
              </w:rPr>
            </w:pPr>
            <w:r w:rsidRPr="00163523">
              <w:rPr>
                <w:rFonts w:ascii="Wingdings" w:eastAsia="Wingdings" w:hAnsi="Wingdings" w:cs="Wingdings"/>
                <w:b/>
                <w:color w:val="000000"/>
                <w:sz w:val="16"/>
                <w:szCs w:val="16"/>
                <w:lang w:val="en-GB" w:eastAsia="en-GB"/>
              </w:rPr>
              <w:sym w:font="Wingdings" w:char="F0FC"/>
            </w:r>
          </w:p>
        </w:tc>
        <w:tc>
          <w:tcPr>
            <w:tcW w:w="0" w:type="dxa"/>
            <w:shd w:val="clear" w:color="auto" w:fill="E0EBEB" w:themeFill="accent3" w:themeFillTint="66"/>
            <w:noWrap/>
          </w:tcPr>
          <w:p w14:paraId="005AC368" w14:textId="3B90E6E4" w:rsidR="006E18C3" w:rsidRPr="00163523" w:rsidRDefault="00E80EED" w:rsidP="0076227C">
            <w:pPr>
              <w:spacing w:line="240" w:lineRule="auto"/>
              <w:ind w:left="0"/>
              <w:cnfStyle w:val="000000000000" w:firstRow="0" w:lastRow="0" w:firstColumn="0" w:lastColumn="0" w:oddVBand="0" w:evenVBand="0" w:oddHBand="0" w:evenHBand="0" w:firstRowFirstColumn="0" w:firstRowLastColumn="0" w:lastRowFirstColumn="0" w:lastRowLastColumn="0"/>
              <w:rPr>
                <w:rFonts w:eastAsia="Times New Roman"/>
                <w:b/>
                <w:color w:val="000000"/>
                <w:sz w:val="16"/>
                <w:szCs w:val="16"/>
                <w:lang w:val="en-GB" w:eastAsia="en-GB"/>
              </w:rPr>
            </w:pPr>
            <w:r w:rsidRPr="00163523">
              <w:rPr>
                <w:rFonts w:eastAsia="Times New Roman"/>
                <w:b/>
                <w:color w:val="000000"/>
                <w:sz w:val="16"/>
                <w:szCs w:val="16"/>
                <w:lang w:val="en-GB" w:eastAsia="en-GB"/>
              </w:rPr>
              <w:t>Low</w:t>
            </w:r>
          </w:p>
        </w:tc>
        <w:tc>
          <w:tcPr>
            <w:tcW w:w="0" w:type="dxa"/>
            <w:shd w:val="clear" w:color="auto" w:fill="FFD57B" w:themeFill="accent4" w:themeFillShade="E6"/>
            <w:noWrap/>
          </w:tcPr>
          <w:p w14:paraId="35071684" w14:textId="562F72B2" w:rsidR="006E18C3" w:rsidRPr="00163523" w:rsidRDefault="00E80EED" w:rsidP="0076227C">
            <w:pPr>
              <w:spacing w:line="240" w:lineRule="auto"/>
              <w:ind w:left="0"/>
              <w:cnfStyle w:val="000000000000" w:firstRow="0" w:lastRow="0" w:firstColumn="0" w:lastColumn="0" w:oddVBand="0" w:evenVBand="0" w:oddHBand="0" w:evenHBand="0" w:firstRowFirstColumn="0" w:firstRowLastColumn="0" w:lastRowFirstColumn="0" w:lastRowLastColumn="0"/>
              <w:rPr>
                <w:rFonts w:eastAsia="Times New Roman"/>
                <w:b/>
                <w:i/>
                <w:color w:val="000000"/>
                <w:sz w:val="16"/>
                <w:szCs w:val="16"/>
                <w:lang w:val="en-GB" w:eastAsia="en-GB"/>
              </w:rPr>
            </w:pPr>
            <w:r w:rsidRPr="00163523">
              <w:rPr>
                <w:rFonts w:eastAsia="Arial"/>
                <w:b/>
                <w:sz w:val="16"/>
                <w:szCs w:val="16"/>
                <w:lang w:val="en-GB"/>
              </w:rPr>
              <w:t>Medium</w:t>
            </w:r>
          </w:p>
        </w:tc>
      </w:tr>
    </w:tbl>
    <w:p w14:paraId="6070DE77" w14:textId="77777777" w:rsidR="006E18C3" w:rsidRPr="00163523" w:rsidRDefault="006E18C3" w:rsidP="00F63E15">
      <w:pPr>
        <w:rPr>
          <w:lang w:val="en-GB"/>
        </w:rPr>
      </w:pPr>
    </w:p>
    <w:p w14:paraId="71217F09" w14:textId="73A430D2" w:rsidR="00F63E15" w:rsidRPr="00C24CB9" w:rsidRDefault="00F63E15" w:rsidP="00F63E15">
      <w:pPr>
        <w:pStyle w:val="Kop4"/>
        <w:rPr>
          <w:lang w:val="en-GB"/>
        </w:rPr>
      </w:pPr>
      <w:r>
        <w:rPr>
          <w:lang w:val="en-GB"/>
        </w:rPr>
        <w:t xml:space="preserve">Potential </w:t>
      </w:r>
      <w:r w:rsidRPr="00C24CB9">
        <w:rPr>
          <w:lang w:val="en-GB"/>
        </w:rPr>
        <w:t>mitigation measures</w:t>
      </w:r>
    </w:p>
    <w:p w14:paraId="2D137847" w14:textId="3A2B8347" w:rsidR="00F63E15" w:rsidRDefault="00C24CB9" w:rsidP="00F63E15">
      <w:pPr>
        <w:rPr>
          <w:lang w:val="en-GB"/>
        </w:rPr>
      </w:pPr>
      <w:r w:rsidRPr="00C24CB9">
        <w:rPr>
          <w:lang w:val="en-GB"/>
        </w:rPr>
        <w:t>A n</w:t>
      </w:r>
      <w:r>
        <w:rPr>
          <w:lang w:val="en-GB"/>
        </w:rPr>
        <w:t xml:space="preserve">umber of technical best </w:t>
      </w:r>
      <w:r w:rsidR="00F84266">
        <w:rPr>
          <w:lang w:val="en-GB"/>
        </w:rPr>
        <w:t>practices</w:t>
      </w:r>
      <w:r>
        <w:rPr>
          <w:lang w:val="en-GB"/>
        </w:rPr>
        <w:t xml:space="preserve"> exist for minimising the emission</w:t>
      </w:r>
      <w:r w:rsidR="0044699B">
        <w:rPr>
          <w:lang w:val="en-GB"/>
        </w:rPr>
        <w:t>s</w:t>
      </w:r>
      <w:r>
        <w:rPr>
          <w:lang w:val="en-GB"/>
        </w:rPr>
        <w:t xml:space="preserve"> of methane, hydrogen and other pollutants in the biogas/biomethane and hydrogen value chains</w:t>
      </w:r>
      <w:r w:rsidR="0084287E">
        <w:rPr>
          <w:lang w:val="en-GB"/>
        </w:rPr>
        <w:t xml:space="preserve">. Policymakers could consider the following measures to incentivise the adoption of such </w:t>
      </w:r>
      <w:r w:rsidR="00F84266">
        <w:rPr>
          <w:lang w:val="en-GB"/>
        </w:rPr>
        <w:t>best practices:</w:t>
      </w:r>
    </w:p>
    <w:p w14:paraId="2124B31F" w14:textId="0320BB1D" w:rsidR="00F84266" w:rsidRDefault="00F84266" w:rsidP="00740F33">
      <w:pPr>
        <w:pStyle w:val="ChecklistBulletpoint"/>
        <w:numPr>
          <w:ilvl w:val="0"/>
          <w:numId w:val="45"/>
        </w:numPr>
        <w:rPr>
          <w:lang w:val="en-GB"/>
        </w:rPr>
      </w:pPr>
      <w:r>
        <w:rPr>
          <w:lang w:val="en-GB"/>
        </w:rPr>
        <w:t>Information and training campaigns to increase the awareness of biogas/biomethane producers to adopting best available techniques</w:t>
      </w:r>
      <w:r w:rsidR="00461CCC">
        <w:rPr>
          <w:lang w:val="en-GB"/>
        </w:rPr>
        <w:t>;</w:t>
      </w:r>
    </w:p>
    <w:p w14:paraId="25ED9EFE" w14:textId="19B6FBD6" w:rsidR="00F84266" w:rsidRDefault="0047556B" w:rsidP="00740F33">
      <w:pPr>
        <w:pStyle w:val="ChecklistBulletpoint"/>
        <w:numPr>
          <w:ilvl w:val="0"/>
          <w:numId w:val="45"/>
        </w:numPr>
        <w:rPr>
          <w:lang w:val="en-GB"/>
        </w:rPr>
      </w:pPr>
      <w:r>
        <w:rPr>
          <w:lang w:val="en-GB"/>
        </w:rPr>
        <w:t>Introduce or extend</w:t>
      </w:r>
      <w:r w:rsidR="00753FFB">
        <w:rPr>
          <w:lang w:val="en-GB"/>
        </w:rPr>
        <w:t xml:space="preserve"> national carbon pricing mechanisms to cover </w:t>
      </w:r>
      <w:r w:rsidR="00AC58BF">
        <w:rPr>
          <w:lang w:val="en-GB"/>
        </w:rPr>
        <w:t xml:space="preserve">methane </w:t>
      </w:r>
      <w:r w:rsidR="00753FFB">
        <w:rPr>
          <w:lang w:val="en-GB"/>
        </w:rPr>
        <w:t xml:space="preserve">value chain emissions </w:t>
      </w:r>
      <w:r w:rsidR="00AC58BF">
        <w:rPr>
          <w:lang w:val="en-GB"/>
        </w:rPr>
        <w:t>of biogas/biomethane production</w:t>
      </w:r>
      <w:r w:rsidR="00461CCC">
        <w:rPr>
          <w:lang w:val="en-GB"/>
        </w:rPr>
        <w:t>;</w:t>
      </w:r>
    </w:p>
    <w:p w14:paraId="1DA4DA97" w14:textId="0B7DDEF3" w:rsidR="00C24CB9" w:rsidRDefault="00975D54" w:rsidP="00740F33">
      <w:pPr>
        <w:pStyle w:val="ChecklistBulletpoint"/>
        <w:numPr>
          <w:ilvl w:val="0"/>
          <w:numId w:val="45"/>
        </w:numPr>
        <w:rPr>
          <w:lang w:val="en-GB"/>
        </w:rPr>
      </w:pPr>
      <w:r>
        <w:rPr>
          <w:lang w:val="en-GB"/>
        </w:rPr>
        <w:lastRenderedPageBreak/>
        <w:t>Introduce strict biomass sustainability standards</w:t>
      </w:r>
      <w:r w:rsidR="007C4B00">
        <w:rPr>
          <w:lang w:val="en-GB"/>
        </w:rPr>
        <w:t xml:space="preserve"> respecting the hierarchy of biomass uses</w:t>
      </w:r>
      <w:r w:rsidR="00E7766A">
        <w:rPr>
          <w:lang w:val="en-GB"/>
        </w:rPr>
        <w:t>;</w:t>
      </w:r>
    </w:p>
    <w:p w14:paraId="4A76296B" w14:textId="6EF038A0" w:rsidR="0047556B" w:rsidRDefault="0047556B" w:rsidP="00740F33">
      <w:pPr>
        <w:pStyle w:val="ChecklistBulletpoint"/>
        <w:numPr>
          <w:ilvl w:val="0"/>
          <w:numId w:val="45"/>
        </w:numPr>
        <w:rPr>
          <w:lang w:val="en-GB"/>
        </w:rPr>
      </w:pPr>
      <w:r>
        <w:rPr>
          <w:lang w:val="en-GB"/>
        </w:rPr>
        <w:t>Implement monitoring, reporting and verification mechanisms for the greenhouse gas and other pollutant emissions of the projects</w:t>
      </w:r>
      <w:r w:rsidR="0084417F">
        <w:rPr>
          <w:lang w:val="en-GB"/>
        </w:rPr>
        <w:t>;</w:t>
      </w:r>
    </w:p>
    <w:p w14:paraId="69D92F29" w14:textId="76DEC5D9" w:rsidR="0047556B" w:rsidRPr="00C24CB9" w:rsidRDefault="0047556B" w:rsidP="00740F33">
      <w:pPr>
        <w:pStyle w:val="ChecklistBulletpoint"/>
        <w:numPr>
          <w:ilvl w:val="0"/>
          <w:numId w:val="45"/>
        </w:numPr>
        <w:rPr>
          <w:lang w:val="en-GB"/>
        </w:rPr>
      </w:pPr>
      <w:r>
        <w:rPr>
          <w:lang w:val="en-GB"/>
        </w:rPr>
        <w:t xml:space="preserve">Incorporate </w:t>
      </w:r>
      <w:r w:rsidR="00DF6C47">
        <w:rPr>
          <w:lang w:val="en-GB"/>
        </w:rPr>
        <w:t>renewable gas production facilities within environmental regulations on pollutant emissions, if not yet applicable</w:t>
      </w:r>
      <w:r w:rsidR="00E7766A">
        <w:rPr>
          <w:lang w:val="en-GB"/>
        </w:rPr>
        <w:t>.</w:t>
      </w:r>
    </w:p>
    <w:p w14:paraId="38E952DF" w14:textId="77777777" w:rsidR="00F63E15" w:rsidRPr="000C0A9C" w:rsidRDefault="00F63E15" w:rsidP="00F63E15">
      <w:pPr>
        <w:rPr>
          <w:lang w:val="en-GB"/>
        </w:rPr>
      </w:pPr>
    </w:p>
    <w:p w14:paraId="3D1C86BD" w14:textId="67020958" w:rsidR="00F63E15" w:rsidRDefault="00F63E15" w:rsidP="00F63E15">
      <w:pPr>
        <w:pStyle w:val="Kop2"/>
      </w:pPr>
      <w:bookmarkStart w:id="74" w:name="_Ref137116857"/>
      <w:bookmarkStart w:id="75" w:name="_Toc138492612"/>
      <w:bookmarkStart w:id="76" w:name="_Toc144803019"/>
      <w:r>
        <w:t xml:space="preserve">Risk </w:t>
      </w:r>
      <w:r w:rsidR="005303B6">
        <w:t>1</w:t>
      </w:r>
      <w:r w:rsidR="00E00BD4">
        <w:t>3</w:t>
      </w:r>
      <w:r>
        <w:t xml:space="preserve">: </w:t>
      </w:r>
      <w:r w:rsidR="005303B6" w:rsidRPr="005303B6">
        <w:t xml:space="preserve">Public opposition, due to </w:t>
      </w:r>
      <w:r w:rsidR="00790C18">
        <w:t>(perception of) negative impacts</w:t>
      </w:r>
      <w:bookmarkEnd w:id="74"/>
      <w:bookmarkEnd w:id="75"/>
      <w:bookmarkEnd w:id="76"/>
    </w:p>
    <w:p w14:paraId="1957D907" w14:textId="3B37CD02" w:rsidR="00F63E15" w:rsidRPr="00163523" w:rsidRDefault="00F63E15" w:rsidP="00F63E15">
      <w:pPr>
        <w:pStyle w:val="Kop4"/>
        <w:rPr>
          <w:lang w:val="en-GB"/>
        </w:rPr>
      </w:pPr>
      <w:r>
        <w:rPr>
          <w:lang w:val="en-GB"/>
        </w:rPr>
        <w:t>D</w:t>
      </w:r>
      <w:r w:rsidRPr="00163523">
        <w:rPr>
          <w:lang w:val="en-GB"/>
        </w:rPr>
        <w:t xml:space="preserve">escription of the risk, </w:t>
      </w:r>
      <w:r w:rsidR="00803ADE" w:rsidRPr="00163523">
        <w:rPr>
          <w:lang w:val="en-GB"/>
        </w:rPr>
        <w:t>covering the Baltic Regional Gas Market</w:t>
      </w:r>
    </w:p>
    <w:p w14:paraId="11AE41C9" w14:textId="224250D1" w:rsidR="002C1707" w:rsidRPr="00163523" w:rsidRDefault="002C1707" w:rsidP="00790C18">
      <w:pPr>
        <w:rPr>
          <w:lang w:val="en-GB"/>
        </w:rPr>
      </w:pPr>
      <w:r w:rsidRPr="00163523">
        <w:rPr>
          <w:lang w:val="en-GB"/>
        </w:rPr>
        <w:t>The importance of a just transition is acknowledge</w:t>
      </w:r>
      <w:r w:rsidR="000C4F80" w:rsidRPr="00163523">
        <w:rPr>
          <w:lang w:val="en-GB"/>
        </w:rPr>
        <w:t>d</w:t>
      </w:r>
      <w:r w:rsidRPr="00163523">
        <w:rPr>
          <w:lang w:val="en-GB"/>
        </w:rPr>
        <w:t xml:space="preserve"> by EU and national stakeholders</w:t>
      </w:r>
      <w:r w:rsidR="00FB0A03" w:rsidRPr="00163523">
        <w:rPr>
          <w:lang w:val="en-GB"/>
        </w:rPr>
        <w:t xml:space="preserve">. </w:t>
      </w:r>
      <w:r w:rsidRPr="00163523">
        <w:rPr>
          <w:lang w:val="en-GB"/>
        </w:rPr>
        <w:t xml:space="preserve">The Council, based on a proposal from the European Commission, adopted a </w:t>
      </w:r>
      <w:r w:rsidR="002F12E7" w:rsidRPr="00163523">
        <w:rPr>
          <w:lang w:val="en-GB"/>
        </w:rPr>
        <w:t>Recommendation on ensuring a fair transition towards climate neutrality</w:t>
      </w:r>
      <w:r w:rsidR="00790C18" w:rsidRPr="00163523">
        <w:rPr>
          <w:lang w:val="en-GB"/>
        </w:rPr>
        <w:t>.</w:t>
      </w:r>
      <w:r w:rsidR="002F12E7" w:rsidRPr="00163523">
        <w:rPr>
          <w:rStyle w:val="Voetnootmarkering"/>
          <w:lang w:val="en-GB"/>
        </w:rPr>
        <w:footnoteReference w:id="65"/>
      </w:r>
    </w:p>
    <w:p w14:paraId="7E320E34" w14:textId="77777777" w:rsidR="00790C18" w:rsidRPr="00163523" w:rsidRDefault="00790C18" w:rsidP="00790C18">
      <w:pPr>
        <w:rPr>
          <w:lang w:val="en-GB"/>
        </w:rPr>
      </w:pPr>
    </w:p>
    <w:p w14:paraId="5244A636" w14:textId="7740ED14" w:rsidR="005E1DC3" w:rsidRPr="00163523" w:rsidRDefault="00094A0F" w:rsidP="00790C18">
      <w:pPr>
        <w:rPr>
          <w:lang w:val="en-GB"/>
        </w:rPr>
      </w:pPr>
      <w:r w:rsidRPr="00163523">
        <w:rPr>
          <w:lang w:val="en-GB"/>
        </w:rPr>
        <w:t xml:space="preserve">Energy poverty is </w:t>
      </w:r>
      <w:r w:rsidR="0023114F" w:rsidRPr="00163523">
        <w:rPr>
          <w:lang w:val="en-GB"/>
        </w:rPr>
        <w:t xml:space="preserve">a significant issue </w:t>
      </w:r>
      <w:r w:rsidR="00AD2EB2" w:rsidRPr="00163523">
        <w:rPr>
          <w:lang w:val="en-GB"/>
        </w:rPr>
        <w:t xml:space="preserve">across the EU and </w:t>
      </w:r>
      <w:r w:rsidR="00D7236D" w:rsidRPr="00163523">
        <w:rPr>
          <w:lang w:val="en-GB"/>
        </w:rPr>
        <w:t>also i</w:t>
      </w:r>
      <w:r w:rsidR="0023114F" w:rsidRPr="00163523">
        <w:rPr>
          <w:lang w:val="en-GB"/>
        </w:rPr>
        <w:t>n the BRGM</w:t>
      </w:r>
      <w:r w:rsidR="006C2698" w:rsidRPr="00163523">
        <w:rPr>
          <w:lang w:val="en-GB"/>
        </w:rPr>
        <w:t>, an issue which was exacerbated by the energy crisis following the Russian invasion of Ukraine.</w:t>
      </w:r>
      <w:r w:rsidR="00D7236D" w:rsidRPr="00163523">
        <w:rPr>
          <w:lang w:val="en-GB"/>
        </w:rPr>
        <w:t xml:space="preserve"> </w:t>
      </w:r>
      <w:r w:rsidR="0021186C" w:rsidRPr="00163523">
        <w:rPr>
          <w:lang w:val="en-GB"/>
        </w:rPr>
        <w:t xml:space="preserve">A relevant portion of </w:t>
      </w:r>
      <w:r w:rsidR="004D4E59" w:rsidRPr="00163523">
        <w:rPr>
          <w:lang w:val="en-GB"/>
        </w:rPr>
        <w:t xml:space="preserve">the population was unable to keep its house warm in </w:t>
      </w:r>
      <w:r w:rsidR="0073629B" w:rsidRPr="00163523">
        <w:rPr>
          <w:lang w:val="en-GB"/>
        </w:rPr>
        <w:t>2022</w:t>
      </w:r>
      <w:r w:rsidR="0021186C" w:rsidRPr="00163523">
        <w:rPr>
          <w:lang w:val="en-GB"/>
        </w:rPr>
        <w:t xml:space="preserve"> (17.5% in Lithuania</w:t>
      </w:r>
      <w:r w:rsidR="004D4E59" w:rsidRPr="00163523">
        <w:rPr>
          <w:lang w:val="en-GB"/>
        </w:rPr>
        <w:t xml:space="preserve">, </w:t>
      </w:r>
      <w:r w:rsidR="005C0401" w:rsidRPr="00163523">
        <w:rPr>
          <w:lang w:val="en-GB"/>
        </w:rPr>
        <w:t xml:space="preserve">7.1% in Latvia, </w:t>
      </w:r>
      <w:r w:rsidR="00B632D8" w:rsidRPr="00163523">
        <w:rPr>
          <w:lang w:val="en-GB"/>
        </w:rPr>
        <w:t xml:space="preserve">3.4% in Estonia, </w:t>
      </w:r>
      <w:r w:rsidR="00965CBD" w:rsidRPr="00163523">
        <w:rPr>
          <w:lang w:val="en-GB"/>
        </w:rPr>
        <w:t>and 1.4% in Fin</w:t>
      </w:r>
      <w:r w:rsidR="006C2698" w:rsidRPr="00163523">
        <w:rPr>
          <w:lang w:val="en-GB"/>
        </w:rPr>
        <w:t>land</w:t>
      </w:r>
      <w:r w:rsidR="00965CBD" w:rsidRPr="00163523">
        <w:rPr>
          <w:lang w:val="en-GB"/>
        </w:rPr>
        <w:t>)</w:t>
      </w:r>
      <w:r w:rsidR="006C2698" w:rsidRPr="00163523">
        <w:rPr>
          <w:lang w:val="en-GB"/>
        </w:rPr>
        <w:t>.</w:t>
      </w:r>
      <w:r w:rsidR="005F1C8C" w:rsidRPr="00163523">
        <w:rPr>
          <w:rStyle w:val="Voetnootmarkering"/>
          <w:lang w:val="en-GB"/>
        </w:rPr>
        <w:footnoteReference w:id="66"/>
      </w:r>
      <w:r w:rsidR="005E1DC3" w:rsidRPr="00163523">
        <w:rPr>
          <w:lang w:val="en-GB"/>
        </w:rPr>
        <w:t xml:space="preserve"> The European Investment Bank (2022)</w:t>
      </w:r>
      <w:r w:rsidR="005E1DC3" w:rsidRPr="00163523">
        <w:rPr>
          <w:rStyle w:val="Voetnootmarkering"/>
          <w:lang w:val="en-GB"/>
        </w:rPr>
        <w:footnoteReference w:id="67"/>
      </w:r>
      <w:r w:rsidR="005E1DC3" w:rsidRPr="00163523">
        <w:rPr>
          <w:lang w:val="en-GB"/>
        </w:rPr>
        <w:t xml:space="preserve"> highlight</w:t>
      </w:r>
      <w:r w:rsidR="00023D64" w:rsidRPr="00163523">
        <w:rPr>
          <w:lang w:val="en-GB"/>
        </w:rPr>
        <w:t>ed that t</w:t>
      </w:r>
      <w:r w:rsidR="005E1DC3" w:rsidRPr="00163523">
        <w:rPr>
          <w:lang w:val="en-GB"/>
        </w:rPr>
        <w:t>he current energy cris</w:t>
      </w:r>
      <w:r w:rsidR="00023D64" w:rsidRPr="00163523">
        <w:rPr>
          <w:lang w:val="en-GB"/>
        </w:rPr>
        <w:t>i</w:t>
      </w:r>
      <w:r w:rsidR="005E1DC3" w:rsidRPr="00163523">
        <w:rPr>
          <w:lang w:val="en-GB"/>
        </w:rPr>
        <w:t>s ha</w:t>
      </w:r>
      <w:r w:rsidR="00023D64" w:rsidRPr="00163523">
        <w:rPr>
          <w:lang w:val="en-GB"/>
        </w:rPr>
        <w:t xml:space="preserve">s </w:t>
      </w:r>
      <w:r w:rsidR="00983D5B" w:rsidRPr="00163523">
        <w:rPr>
          <w:lang w:val="en-GB"/>
        </w:rPr>
        <w:t xml:space="preserve">indeed </w:t>
      </w:r>
      <w:r w:rsidR="005E1DC3" w:rsidRPr="00163523">
        <w:rPr>
          <w:lang w:val="en-GB"/>
        </w:rPr>
        <w:t xml:space="preserve">strong distributional impacts. Energy bills have become unaffordable for many citizens in the EU. Vulnerable people and low-income groups are those who suffer the most from </w:t>
      </w:r>
      <w:r w:rsidR="00C65818" w:rsidRPr="00163523">
        <w:rPr>
          <w:lang w:val="en-GB"/>
        </w:rPr>
        <w:t xml:space="preserve">energy </w:t>
      </w:r>
      <w:r w:rsidR="005E1DC3" w:rsidRPr="00163523">
        <w:rPr>
          <w:lang w:val="en-GB"/>
        </w:rPr>
        <w:t xml:space="preserve">price </w:t>
      </w:r>
      <w:r w:rsidR="00C65818" w:rsidRPr="00163523">
        <w:rPr>
          <w:lang w:val="en-GB"/>
        </w:rPr>
        <w:t>peaks</w:t>
      </w:r>
      <w:r w:rsidR="005E1DC3" w:rsidRPr="00163523">
        <w:rPr>
          <w:lang w:val="en-GB"/>
        </w:rPr>
        <w:t xml:space="preserve"> as they spend a relatively high</w:t>
      </w:r>
      <w:r w:rsidR="00E23E4C" w:rsidRPr="00163523">
        <w:rPr>
          <w:lang w:val="en-GB"/>
        </w:rPr>
        <w:t>er</w:t>
      </w:r>
      <w:r w:rsidR="005E1DC3" w:rsidRPr="00163523">
        <w:rPr>
          <w:lang w:val="en-GB"/>
        </w:rPr>
        <w:t xml:space="preserve"> share of their income on energy and food.</w:t>
      </w:r>
      <w:r w:rsidR="005E1DC3" w:rsidRPr="00163523">
        <w:rPr>
          <w:rStyle w:val="Voetnootmarkering"/>
          <w:lang w:val="en-GB"/>
        </w:rPr>
        <w:footnoteReference w:id="68"/>
      </w:r>
      <w:r w:rsidR="005E1DC3" w:rsidRPr="00163523">
        <w:rPr>
          <w:lang w:val="en-GB"/>
        </w:rPr>
        <w:t xml:space="preserve"> This puts at risk the political consensus around the idea of just transition</w:t>
      </w:r>
      <w:r w:rsidR="00957875" w:rsidRPr="00163523">
        <w:rPr>
          <w:lang w:val="en-GB"/>
        </w:rPr>
        <w:t>.</w:t>
      </w:r>
    </w:p>
    <w:p w14:paraId="14E2923C" w14:textId="77777777" w:rsidR="00957875" w:rsidRPr="00163523" w:rsidRDefault="00957875" w:rsidP="00957875">
      <w:pPr>
        <w:rPr>
          <w:lang w:val="en-GB"/>
        </w:rPr>
      </w:pPr>
    </w:p>
    <w:p w14:paraId="05CF215C" w14:textId="3CC821D1" w:rsidR="00BF0AAB" w:rsidRPr="00163523" w:rsidRDefault="00BF0AAB" w:rsidP="00957875">
      <w:pPr>
        <w:rPr>
          <w:lang w:val="en-GB"/>
        </w:rPr>
      </w:pPr>
      <w:r w:rsidRPr="00163523">
        <w:rPr>
          <w:lang w:val="en-GB"/>
        </w:rPr>
        <w:t xml:space="preserve">As shown in Deliverable </w:t>
      </w:r>
      <w:r w:rsidR="00F052BA" w:rsidRPr="00163523">
        <w:rPr>
          <w:lang w:val="en-GB"/>
        </w:rPr>
        <w:t>4</w:t>
      </w:r>
      <w:r w:rsidR="00A5461E" w:rsidRPr="00163523">
        <w:rPr>
          <w:lang w:val="en-GB"/>
        </w:rPr>
        <w:t>,</w:t>
      </w:r>
      <w:r w:rsidRPr="00163523">
        <w:rPr>
          <w:rStyle w:val="Voetnootmarkering"/>
          <w:lang w:val="en-GB"/>
        </w:rPr>
        <w:footnoteReference w:id="69"/>
      </w:r>
      <w:r w:rsidR="00A5461E" w:rsidRPr="00163523">
        <w:rPr>
          <w:lang w:val="en-GB"/>
        </w:rPr>
        <w:t xml:space="preserve"> the gas decarbonization of the BRGM </w:t>
      </w:r>
      <w:r w:rsidR="00E7549E" w:rsidRPr="00163523">
        <w:rPr>
          <w:lang w:val="en-GB"/>
        </w:rPr>
        <w:t>w</w:t>
      </w:r>
      <w:r w:rsidR="00A5461E" w:rsidRPr="00163523">
        <w:rPr>
          <w:lang w:val="en-GB"/>
        </w:rPr>
        <w:t xml:space="preserve">ould lead in the long-run to lower </w:t>
      </w:r>
      <w:r w:rsidR="00004F20" w:rsidRPr="00163523">
        <w:rPr>
          <w:lang w:val="en-GB"/>
        </w:rPr>
        <w:t>gas commodity prices for household</w:t>
      </w:r>
      <w:r w:rsidR="000D5050" w:rsidRPr="00163523">
        <w:rPr>
          <w:lang w:val="en-GB"/>
        </w:rPr>
        <w:t>s</w:t>
      </w:r>
      <w:r w:rsidR="00004F20" w:rsidRPr="00163523">
        <w:rPr>
          <w:lang w:val="en-GB"/>
        </w:rPr>
        <w:t xml:space="preserve"> and commercial users, compared to the business-as-usual scenario. However, depending on the </w:t>
      </w:r>
      <w:r w:rsidR="000F56F9" w:rsidRPr="00163523">
        <w:rPr>
          <w:lang w:val="en-GB"/>
        </w:rPr>
        <w:t xml:space="preserve">decarbonization </w:t>
      </w:r>
      <w:r w:rsidR="00004F20" w:rsidRPr="00163523">
        <w:rPr>
          <w:lang w:val="en-GB"/>
        </w:rPr>
        <w:t xml:space="preserve">scenario the </w:t>
      </w:r>
      <w:r w:rsidR="000F56F9" w:rsidRPr="00163523">
        <w:rPr>
          <w:lang w:val="en-GB"/>
        </w:rPr>
        <w:t xml:space="preserve">prices in the short-run would be higher than in the BAU scenario, and </w:t>
      </w:r>
      <w:r w:rsidR="00004F20" w:rsidRPr="00163523">
        <w:rPr>
          <w:lang w:val="en-GB"/>
        </w:rPr>
        <w:t>savings</w:t>
      </w:r>
      <w:r w:rsidR="007C7368" w:rsidRPr="00163523">
        <w:rPr>
          <w:lang w:val="en-GB"/>
        </w:rPr>
        <w:t xml:space="preserve"> </w:t>
      </w:r>
      <w:r w:rsidR="00CA2DDC" w:rsidRPr="00163523">
        <w:rPr>
          <w:lang w:val="en-GB"/>
        </w:rPr>
        <w:t xml:space="preserve">in the long-run </w:t>
      </w:r>
      <w:r w:rsidR="007C7368" w:rsidRPr="00163523">
        <w:rPr>
          <w:lang w:val="en-GB"/>
        </w:rPr>
        <w:t>may be less significant, a</w:t>
      </w:r>
      <w:r w:rsidR="00CA2DDC" w:rsidRPr="00163523">
        <w:rPr>
          <w:lang w:val="en-GB"/>
        </w:rPr>
        <w:t xml:space="preserve">lso taking </w:t>
      </w:r>
      <w:r w:rsidR="009122DA" w:rsidRPr="00163523">
        <w:rPr>
          <w:lang w:val="en-GB"/>
        </w:rPr>
        <w:t xml:space="preserve">into </w:t>
      </w:r>
      <w:r w:rsidR="00CA2DDC" w:rsidRPr="00163523">
        <w:rPr>
          <w:lang w:val="en-GB"/>
        </w:rPr>
        <w:t xml:space="preserve">account that </w:t>
      </w:r>
      <w:r w:rsidR="007C7368" w:rsidRPr="00163523">
        <w:rPr>
          <w:lang w:val="en-GB"/>
        </w:rPr>
        <w:t xml:space="preserve">other </w:t>
      </w:r>
      <w:r w:rsidR="00F84B9B" w:rsidRPr="00163523">
        <w:rPr>
          <w:lang w:val="en-GB"/>
        </w:rPr>
        <w:t xml:space="preserve">costs associated with the scenarios, such as </w:t>
      </w:r>
      <w:r w:rsidR="00C41085" w:rsidRPr="00163523">
        <w:rPr>
          <w:lang w:val="en-GB"/>
        </w:rPr>
        <w:t xml:space="preserve">network costs were not taken into account (except investments for the development of a dedicated hydrogen network). </w:t>
      </w:r>
      <w:r w:rsidR="00CD1097" w:rsidRPr="00163523">
        <w:rPr>
          <w:lang w:val="en-GB"/>
        </w:rPr>
        <w:t xml:space="preserve">Moreover, </w:t>
      </w:r>
      <w:r w:rsidR="00F323DD" w:rsidRPr="00163523">
        <w:rPr>
          <w:lang w:val="en-GB"/>
        </w:rPr>
        <w:t xml:space="preserve">the energy transition </w:t>
      </w:r>
      <w:r w:rsidR="00812CB5" w:rsidRPr="00163523">
        <w:rPr>
          <w:lang w:val="en-GB"/>
        </w:rPr>
        <w:t xml:space="preserve">will </w:t>
      </w:r>
      <w:r w:rsidR="00B6682E" w:rsidRPr="00163523">
        <w:rPr>
          <w:lang w:val="en-GB"/>
        </w:rPr>
        <w:t xml:space="preserve">undoubtedly </w:t>
      </w:r>
      <w:r w:rsidR="00F323DD" w:rsidRPr="00163523">
        <w:rPr>
          <w:lang w:val="en-GB"/>
        </w:rPr>
        <w:t xml:space="preserve">require significant investments and </w:t>
      </w:r>
      <w:r w:rsidR="00D05E9E" w:rsidRPr="00163523">
        <w:rPr>
          <w:lang w:val="en-GB"/>
        </w:rPr>
        <w:t xml:space="preserve">vulnerable </w:t>
      </w:r>
      <w:r w:rsidR="00CD1097" w:rsidRPr="00163523">
        <w:rPr>
          <w:lang w:val="en-GB"/>
        </w:rPr>
        <w:t xml:space="preserve">consumers </w:t>
      </w:r>
      <w:r w:rsidR="00B6682E" w:rsidRPr="00163523">
        <w:rPr>
          <w:lang w:val="en-GB"/>
        </w:rPr>
        <w:t xml:space="preserve">could </w:t>
      </w:r>
      <w:r w:rsidR="00CD1097" w:rsidRPr="00163523">
        <w:rPr>
          <w:lang w:val="en-GB"/>
        </w:rPr>
        <w:t xml:space="preserve">in certain countries </w:t>
      </w:r>
      <w:r w:rsidR="002B1BD5" w:rsidRPr="00163523">
        <w:rPr>
          <w:lang w:val="en-GB"/>
        </w:rPr>
        <w:t>f</w:t>
      </w:r>
      <w:r w:rsidR="00D05E9E" w:rsidRPr="00163523">
        <w:rPr>
          <w:lang w:val="en-GB"/>
        </w:rPr>
        <w:t xml:space="preserve">ace difficulties in paying </w:t>
      </w:r>
      <w:r w:rsidR="002B1BD5" w:rsidRPr="00163523">
        <w:rPr>
          <w:lang w:val="en-GB"/>
        </w:rPr>
        <w:t xml:space="preserve">their </w:t>
      </w:r>
      <w:r w:rsidR="00D05E9E" w:rsidRPr="00163523">
        <w:rPr>
          <w:lang w:val="en-GB"/>
        </w:rPr>
        <w:t>energy bills depending on the policies in place</w:t>
      </w:r>
      <w:r w:rsidR="009430E5" w:rsidRPr="00163523">
        <w:rPr>
          <w:lang w:val="en-GB"/>
        </w:rPr>
        <w:t xml:space="preserve">, which would reduce public acceptance for the transition in general and renewable </w:t>
      </w:r>
      <w:r w:rsidR="002B1BD5" w:rsidRPr="00163523">
        <w:rPr>
          <w:lang w:val="en-GB"/>
        </w:rPr>
        <w:t>gas</w:t>
      </w:r>
      <w:r w:rsidR="009430E5" w:rsidRPr="00163523">
        <w:rPr>
          <w:lang w:val="en-GB"/>
        </w:rPr>
        <w:t xml:space="preserve"> projects in particular.</w:t>
      </w:r>
      <w:r w:rsidR="00333632" w:rsidRPr="00163523">
        <w:rPr>
          <w:lang w:val="en-GB"/>
        </w:rPr>
        <w:t xml:space="preserve"> This may be compounded by other policy developments such as the extension of the </w:t>
      </w:r>
      <w:r w:rsidR="009141CF" w:rsidRPr="00163523">
        <w:rPr>
          <w:lang w:val="en-GB"/>
        </w:rPr>
        <w:t>EU-</w:t>
      </w:r>
      <w:r w:rsidR="00333632" w:rsidRPr="00163523">
        <w:rPr>
          <w:lang w:val="en-GB"/>
        </w:rPr>
        <w:t>ETS to transport and buildings</w:t>
      </w:r>
      <w:r w:rsidR="00BF3847" w:rsidRPr="00163523">
        <w:rPr>
          <w:lang w:val="en-GB"/>
        </w:rPr>
        <w:t>, unless impacts are well offset via the Social Climate Fund</w:t>
      </w:r>
      <w:r w:rsidR="00333632" w:rsidRPr="00163523">
        <w:rPr>
          <w:lang w:val="en-GB"/>
        </w:rPr>
        <w:t>.</w:t>
      </w:r>
    </w:p>
    <w:p w14:paraId="43FB9D74" w14:textId="77777777" w:rsidR="00957875" w:rsidRPr="00163523" w:rsidRDefault="00957875" w:rsidP="00957875">
      <w:pPr>
        <w:rPr>
          <w:lang w:val="en-GB"/>
        </w:rPr>
      </w:pPr>
    </w:p>
    <w:p w14:paraId="22F5F9DB" w14:textId="097F53C8" w:rsidR="00957875" w:rsidRPr="00163523" w:rsidRDefault="00957875" w:rsidP="00957875">
      <w:pPr>
        <w:rPr>
          <w:lang w:val="en-GB"/>
        </w:rPr>
      </w:pPr>
      <w:r w:rsidRPr="00163523">
        <w:rPr>
          <w:lang w:val="en-GB"/>
        </w:rPr>
        <w:t xml:space="preserve">A number of just transition projects are currently in place in the Baltic Regional Gas Market countries, as part of the Just Transition Mechanism. The BRGM countries are significant </w:t>
      </w:r>
      <w:r w:rsidR="00C35741" w:rsidRPr="00163523">
        <w:rPr>
          <w:lang w:val="en-GB"/>
        </w:rPr>
        <w:t>beneficiaries of</w:t>
      </w:r>
      <w:r w:rsidRPr="00163523">
        <w:rPr>
          <w:lang w:val="en-GB"/>
        </w:rPr>
        <w:t xml:space="preserve"> the Just Transition Fund</w:t>
      </w:r>
      <w:r w:rsidRPr="00163523">
        <w:rPr>
          <w:rStyle w:val="Voetnootmarkering"/>
          <w:lang w:val="en-GB"/>
        </w:rPr>
        <w:footnoteReference w:id="70"/>
      </w:r>
      <w:r w:rsidRPr="00163523">
        <w:rPr>
          <w:lang w:val="en-GB"/>
        </w:rPr>
        <w:t xml:space="preserve"> and all have territories eligible for funding – including a majority of the territory in Finland and Latvia, as show</w:t>
      </w:r>
      <w:r w:rsidR="00C35741" w:rsidRPr="00163523">
        <w:rPr>
          <w:lang w:val="en-GB"/>
        </w:rPr>
        <w:t xml:space="preserve">n </w:t>
      </w:r>
      <w:r w:rsidRPr="00163523">
        <w:rPr>
          <w:lang w:val="en-GB"/>
        </w:rPr>
        <w:t>in the figure below.</w:t>
      </w:r>
    </w:p>
    <w:p w14:paraId="517F1BD4" w14:textId="77777777" w:rsidR="00957875" w:rsidRPr="00163523" w:rsidRDefault="00957875" w:rsidP="00957875">
      <w:pPr>
        <w:rPr>
          <w:lang w:val="en-GB"/>
        </w:rPr>
      </w:pPr>
    </w:p>
    <w:p w14:paraId="145B629E" w14:textId="77777777" w:rsidR="00957875" w:rsidRPr="00A15EB0" w:rsidRDefault="00957875" w:rsidP="00957875">
      <w:pPr>
        <w:pStyle w:val="Bijschrift"/>
        <w:rPr>
          <w:lang w:val="en-GB"/>
        </w:rPr>
      </w:pPr>
      <w:r w:rsidRPr="00A15EB0">
        <w:rPr>
          <w:lang w:val="en-GB"/>
        </w:rPr>
        <w:lastRenderedPageBreak/>
        <w:t xml:space="preserve">Figure </w:t>
      </w:r>
      <w:r w:rsidRPr="00163523">
        <w:rPr>
          <w:lang w:val="en-GB"/>
        </w:rPr>
        <w:fldChar w:fldCharType="begin"/>
      </w:r>
      <w:r w:rsidRPr="00A15EB0">
        <w:rPr>
          <w:lang w:val="en-GB"/>
        </w:rPr>
        <w:instrText xml:space="preserve"> STYLEREF 1 \s </w:instrText>
      </w:r>
      <w:r w:rsidRPr="00163523">
        <w:rPr>
          <w:lang w:val="en-GB"/>
        </w:rPr>
        <w:fldChar w:fldCharType="separate"/>
      </w:r>
      <w:r w:rsidRPr="00A15EB0">
        <w:rPr>
          <w:noProof/>
          <w:lang w:val="en-GB"/>
        </w:rPr>
        <w:t>3</w:t>
      </w:r>
      <w:r w:rsidRPr="00163523">
        <w:rPr>
          <w:lang w:val="en-GB"/>
        </w:rPr>
        <w:fldChar w:fldCharType="end"/>
      </w:r>
      <w:r w:rsidRPr="00A15EB0">
        <w:rPr>
          <w:lang w:val="en-GB"/>
        </w:rPr>
        <w:noBreakHyphen/>
      </w:r>
      <w:r w:rsidRPr="00163523">
        <w:rPr>
          <w:lang w:val="en-GB"/>
        </w:rPr>
        <w:fldChar w:fldCharType="begin"/>
      </w:r>
      <w:r w:rsidRPr="00A15EB0">
        <w:rPr>
          <w:lang w:val="en-GB"/>
        </w:rPr>
        <w:instrText xml:space="preserve"> SEQ Figure \* ARABIC \s 1 </w:instrText>
      </w:r>
      <w:r w:rsidRPr="00163523">
        <w:rPr>
          <w:lang w:val="en-GB"/>
        </w:rPr>
        <w:fldChar w:fldCharType="separate"/>
      </w:r>
      <w:r w:rsidRPr="00A15EB0">
        <w:rPr>
          <w:noProof/>
          <w:lang w:val="en-GB"/>
        </w:rPr>
        <w:t>1</w:t>
      </w:r>
      <w:r w:rsidRPr="00163523">
        <w:rPr>
          <w:lang w:val="en-GB"/>
        </w:rPr>
        <w:fldChar w:fldCharType="end"/>
      </w:r>
      <w:r w:rsidRPr="00A15EB0">
        <w:rPr>
          <w:lang w:val="en-GB"/>
        </w:rPr>
        <w:t xml:space="preserve"> Eligible Just Transition F</w:t>
      </w:r>
      <w:r>
        <w:rPr>
          <w:lang w:val="en-GB"/>
        </w:rPr>
        <w:t>und territories as of June 2023</w:t>
      </w:r>
    </w:p>
    <w:p w14:paraId="10E30FA2" w14:textId="77777777" w:rsidR="00957875" w:rsidRPr="00163523" w:rsidRDefault="00957875" w:rsidP="00957875">
      <w:pPr>
        <w:rPr>
          <w:lang w:val="en-GB"/>
        </w:rPr>
      </w:pPr>
      <w:r w:rsidRPr="00163523">
        <w:rPr>
          <w:lang w:val="en-GB"/>
        </w:rPr>
        <w:drawing>
          <wp:inline distT="0" distB="0" distL="0" distR="0" wp14:anchorId="0A937A77" wp14:editId="56CDEA4A">
            <wp:extent cx="3657917" cy="4176122"/>
            <wp:effectExtent l="0" t="0" r="0" b="0"/>
            <wp:docPr id="3" name="Afbeelding 3" descr="A picture containing map, text, atla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map, text, atlas&#10;&#10;Description automatically generated"/>
                    <pic:cNvPicPr/>
                  </pic:nvPicPr>
                  <pic:blipFill>
                    <a:blip r:embed="rId23"/>
                    <a:stretch>
                      <a:fillRect/>
                    </a:stretch>
                  </pic:blipFill>
                  <pic:spPr>
                    <a:xfrm>
                      <a:off x="0" y="0"/>
                      <a:ext cx="3657917" cy="4176122"/>
                    </a:xfrm>
                    <a:prstGeom prst="rect">
                      <a:avLst/>
                    </a:prstGeom>
                  </pic:spPr>
                </pic:pic>
              </a:graphicData>
            </a:graphic>
          </wp:inline>
        </w:drawing>
      </w:r>
    </w:p>
    <w:p w14:paraId="71DB7139" w14:textId="77777777" w:rsidR="00957875" w:rsidRPr="00163523" w:rsidRDefault="00957875" w:rsidP="00957875">
      <w:pPr>
        <w:rPr>
          <w:lang w:val="en-GB"/>
        </w:rPr>
      </w:pPr>
      <w:r w:rsidRPr="00163523">
        <w:rPr>
          <w:lang w:val="en-GB"/>
        </w:rPr>
        <w:t xml:space="preserve">Source: European Commission, </w:t>
      </w:r>
      <w:hyperlink r:id="rId24" w:history="1">
        <w:r w:rsidRPr="00163523">
          <w:rPr>
            <w:rStyle w:val="Hyperlink"/>
            <w:lang w:val="en-GB"/>
          </w:rPr>
          <w:t>Just Transition Platform</w:t>
        </w:r>
      </w:hyperlink>
    </w:p>
    <w:p w14:paraId="5A2044A3" w14:textId="77777777" w:rsidR="00957875" w:rsidRPr="00163523" w:rsidRDefault="00957875" w:rsidP="00957875">
      <w:pPr>
        <w:rPr>
          <w:lang w:val="en-GB"/>
        </w:rPr>
      </w:pPr>
    </w:p>
    <w:p w14:paraId="73FA10E9" w14:textId="0FD28C8C" w:rsidR="005E1DC3" w:rsidRPr="00163523" w:rsidRDefault="005E1DC3" w:rsidP="00957875">
      <w:pPr>
        <w:rPr>
          <w:lang w:val="en-GB"/>
        </w:rPr>
      </w:pPr>
      <w:r w:rsidRPr="00163523">
        <w:rPr>
          <w:lang w:val="en-GB"/>
        </w:rPr>
        <w:t xml:space="preserve">Estonia might be particularly sensitive to the social impacts of the energy transition due to the current role that shale </w:t>
      </w:r>
      <w:r w:rsidR="00041E9D" w:rsidRPr="00163523">
        <w:rPr>
          <w:lang w:val="en-GB"/>
        </w:rPr>
        <w:t>oil</w:t>
      </w:r>
      <w:r w:rsidRPr="00163523">
        <w:rPr>
          <w:lang w:val="en-GB"/>
        </w:rPr>
        <w:t xml:space="preserve"> plays in the Estonian energy supply</w:t>
      </w:r>
      <w:r w:rsidR="00276776" w:rsidRPr="00163523">
        <w:rPr>
          <w:lang w:val="en-GB"/>
        </w:rPr>
        <w:t>. The</w:t>
      </w:r>
      <w:r w:rsidR="0019283C" w:rsidRPr="00163523">
        <w:rPr>
          <w:lang w:val="en-GB"/>
        </w:rPr>
        <w:t xml:space="preserve"> Estonia</w:t>
      </w:r>
      <w:r w:rsidR="00276776" w:rsidRPr="00163523">
        <w:rPr>
          <w:lang w:val="en-GB"/>
        </w:rPr>
        <w:t xml:space="preserve"> Just Transition Plan </w:t>
      </w:r>
      <w:r w:rsidR="0019283C" w:rsidRPr="00163523">
        <w:rPr>
          <w:lang w:val="en-GB"/>
        </w:rPr>
        <w:t xml:space="preserve">is </w:t>
      </w:r>
      <w:r w:rsidR="00276776" w:rsidRPr="00163523">
        <w:rPr>
          <w:lang w:val="en-GB"/>
        </w:rPr>
        <w:t>focused on addressing the impacts</w:t>
      </w:r>
      <w:r w:rsidR="00CD17D5" w:rsidRPr="00163523">
        <w:rPr>
          <w:lang w:val="en-GB"/>
        </w:rPr>
        <w:t xml:space="preserve"> on the Ida-</w:t>
      </w:r>
      <w:proofErr w:type="spellStart"/>
      <w:r w:rsidR="00CD17D5" w:rsidRPr="00163523">
        <w:rPr>
          <w:lang w:val="en-GB"/>
        </w:rPr>
        <w:t>Viru</w:t>
      </w:r>
      <w:r w:rsidR="0019283C" w:rsidRPr="00163523">
        <w:rPr>
          <w:lang w:val="en-GB"/>
        </w:rPr>
        <w:t>maa</w:t>
      </w:r>
      <w:proofErr w:type="spellEnd"/>
      <w:r w:rsidR="0019283C" w:rsidRPr="00163523">
        <w:rPr>
          <w:lang w:val="en-GB"/>
        </w:rPr>
        <w:t xml:space="preserve"> region</w:t>
      </w:r>
      <w:r w:rsidR="00276776" w:rsidRPr="00163523">
        <w:rPr>
          <w:lang w:val="en-GB"/>
        </w:rPr>
        <w:t xml:space="preserve"> of the shale oil phase-out by 2040</w:t>
      </w:r>
      <w:r w:rsidR="00FB0A03" w:rsidRPr="00163523">
        <w:rPr>
          <w:rStyle w:val="Voetnootmarkering"/>
          <w:lang w:val="en-GB"/>
        </w:rPr>
        <w:footnoteReference w:id="71"/>
      </w:r>
      <w:r w:rsidR="00957875" w:rsidRPr="00163523">
        <w:rPr>
          <w:lang w:val="en-GB"/>
        </w:rPr>
        <w:t>.</w:t>
      </w:r>
    </w:p>
    <w:p w14:paraId="7C15B633" w14:textId="77777777" w:rsidR="00957875" w:rsidRPr="00163523" w:rsidRDefault="00957875" w:rsidP="00957875">
      <w:pPr>
        <w:rPr>
          <w:lang w:val="en-GB"/>
        </w:rPr>
      </w:pPr>
    </w:p>
    <w:p w14:paraId="408F2A0C" w14:textId="3F9864BC" w:rsidR="00A9692C" w:rsidRPr="00163523" w:rsidRDefault="00F17362" w:rsidP="00957875">
      <w:pPr>
        <w:rPr>
          <w:lang w:val="en-GB"/>
        </w:rPr>
      </w:pPr>
      <w:r w:rsidRPr="00163523">
        <w:rPr>
          <w:lang w:val="en-GB"/>
        </w:rPr>
        <w:t xml:space="preserve">Public opposition could also impact the development of new renewable energy projects. </w:t>
      </w:r>
      <w:r w:rsidR="00DC257B" w:rsidRPr="00163523">
        <w:rPr>
          <w:lang w:val="en-GB"/>
        </w:rPr>
        <w:t xml:space="preserve">The </w:t>
      </w:r>
      <w:r w:rsidR="007E1CC2" w:rsidRPr="00163523">
        <w:rPr>
          <w:lang w:val="en-GB"/>
        </w:rPr>
        <w:t xml:space="preserve">European </w:t>
      </w:r>
      <w:r w:rsidR="00DC257B" w:rsidRPr="00163523">
        <w:rPr>
          <w:lang w:val="en-GB"/>
        </w:rPr>
        <w:t>Commission has included in its Biomethane Action Plan</w:t>
      </w:r>
      <w:r w:rsidR="00DC257B" w:rsidRPr="00163523">
        <w:rPr>
          <w:rStyle w:val="Voetnootmarkering"/>
          <w:lang w:val="en-GB"/>
        </w:rPr>
        <w:footnoteReference w:id="72"/>
      </w:r>
      <w:r w:rsidR="00DC257B" w:rsidRPr="00163523">
        <w:rPr>
          <w:lang w:val="en-GB"/>
        </w:rPr>
        <w:t xml:space="preserve"> specific actions regarding </w:t>
      </w:r>
      <w:r w:rsidR="0061144A" w:rsidRPr="00163523">
        <w:rPr>
          <w:lang w:val="en-GB"/>
        </w:rPr>
        <w:t>a</w:t>
      </w:r>
      <w:r w:rsidR="00DC257B" w:rsidRPr="00163523">
        <w:rPr>
          <w:lang w:val="en-GB"/>
        </w:rPr>
        <w:t xml:space="preserve"> </w:t>
      </w:r>
      <w:r w:rsidR="0061144A" w:rsidRPr="00163523">
        <w:rPr>
          <w:lang w:val="en-GB"/>
        </w:rPr>
        <w:t>forum promoting sustainable production and use,</w:t>
      </w:r>
      <w:r w:rsidR="00DC257B" w:rsidRPr="00163523">
        <w:rPr>
          <w:lang w:val="en-GB"/>
        </w:rPr>
        <w:t xml:space="preserve"> participatory multi-stakeholder engagement and accelerated permitting, illustrating the importance of public acceptance for the development of </w:t>
      </w:r>
      <w:r w:rsidR="0061144A" w:rsidRPr="00163523">
        <w:rPr>
          <w:lang w:val="en-GB"/>
        </w:rPr>
        <w:t xml:space="preserve">biogas and </w:t>
      </w:r>
      <w:r w:rsidR="00DC257B" w:rsidRPr="00163523">
        <w:rPr>
          <w:lang w:val="en-GB"/>
        </w:rPr>
        <w:t>biomethane projects.</w:t>
      </w:r>
    </w:p>
    <w:p w14:paraId="6418474A" w14:textId="77777777" w:rsidR="00957875" w:rsidRPr="00163523" w:rsidRDefault="00957875" w:rsidP="00957875">
      <w:pPr>
        <w:rPr>
          <w:lang w:val="en-GB"/>
        </w:rPr>
      </w:pPr>
    </w:p>
    <w:p w14:paraId="6E8393A2" w14:textId="1273C58A" w:rsidR="00994E7C" w:rsidRPr="00163523" w:rsidRDefault="00994E7C" w:rsidP="00957875">
      <w:pPr>
        <w:rPr>
          <w:lang w:val="en-GB"/>
        </w:rPr>
      </w:pPr>
      <w:r w:rsidRPr="00163523">
        <w:rPr>
          <w:lang w:val="en-GB"/>
        </w:rPr>
        <w:t>The Baltic Energy Area – A Planning Perspective project looked among other issues on how to increase public acceptance for renewable energy projects, including biogas/biomethane.</w:t>
      </w:r>
      <w:r w:rsidRPr="00163523">
        <w:rPr>
          <w:rStyle w:val="Voetnootmarkering"/>
          <w:lang w:val="en-GB"/>
        </w:rPr>
        <w:footnoteReference w:id="73"/>
      </w:r>
      <w:r w:rsidR="00D66A93" w:rsidRPr="00163523">
        <w:rPr>
          <w:lang w:val="en-GB"/>
        </w:rPr>
        <w:t xml:space="preserve"> The project highlights the importance of involving stakeholders early on </w:t>
      </w:r>
      <w:r w:rsidR="00B501F8" w:rsidRPr="00163523">
        <w:rPr>
          <w:lang w:val="en-GB"/>
        </w:rPr>
        <w:t xml:space="preserve">and interactively </w:t>
      </w:r>
      <w:r w:rsidR="00D66A93" w:rsidRPr="00163523">
        <w:rPr>
          <w:lang w:val="en-GB"/>
        </w:rPr>
        <w:t xml:space="preserve">in the </w:t>
      </w:r>
      <w:r w:rsidR="00B501F8" w:rsidRPr="00163523">
        <w:rPr>
          <w:lang w:val="en-GB"/>
        </w:rPr>
        <w:t xml:space="preserve">spatial planning and specific </w:t>
      </w:r>
      <w:r w:rsidR="00D66A93" w:rsidRPr="00163523">
        <w:rPr>
          <w:lang w:val="en-GB"/>
        </w:rPr>
        <w:t>projects</w:t>
      </w:r>
      <w:r w:rsidR="0061784B" w:rsidRPr="00163523">
        <w:rPr>
          <w:lang w:val="en-GB"/>
        </w:rPr>
        <w:t xml:space="preserve"> and</w:t>
      </w:r>
      <w:r w:rsidR="00D66A93" w:rsidRPr="00163523">
        <w:rPr>
          <w:lang w:val="en-GB"/>
        </w:rPr>
        <w:t xml:space="preserve"> providing comprehensive information</w:t>
      </w:r>
      <w:r w:rsidR="00957875" w:rsidRPr="00163523">
        <w:rPr>
          <w:lang w:val="en-GB"/>
        </w:rPr>
        <w:t>.</w:t>
      </w:r>
      <w:r w:rsidR="0061784B" w:rsidRPr="00163523">
        <w:rPr>
          <w:rStyle w:val="Voetnootmarkering"/>
          <w:lang w:val="en-GB"/>
        </w:rPr>
        <w:footnoteReference w:id="74"/>
      </w:r>
    </w:p>
    <w:p w14:paraId="3A207B02" w14:textId="77777777" w:rsidR="00957875" w:rsidRPr="00163523" w:rsidRDefault="00957875" w:rsidP="00957875">
      <w:pPr>
        <w:rPr>
          <w:lang w:val="en-GB"/>
        </w:rPr>
      </w:pPr>
    </w:p>
    <w:p w14:paraId="19144CD0" w14:textId="06083E3B" w:rsidR="00DA4FB4" w:rsidRPr="00163523" w:rsidRDefault="007243D9" w:rsidP="00957875">
      <w:pPr>
        <w:rPr>
          <w:lang w:val="en-GB"/>
        </w:rPr>
      </w:pPr>
      <w:r w:rsidRPr="00163523">
        <w:rPr>
          <w:lang w:val="en-GB"/>
        </w:rPr>
        <w:lastRenderedPageBreak/>
        <w:t>Potential f</w:t>
      </w:r>
      <w:r w:rsidR="00DA4FB4" w:rsidRPr="00163523">
        <w:rPr>
          <w:lang w:val="en-GB"/>
        </w:rPr>
        <w:t>uture public opposition to hydrogen projects should also not be overlooked.</w:t>
      </w:r>
      <w:r w:rsidR="00DA4FB4" w:rsidRPr="00163523">
        <w:rPr>
          <w:rStyle w:val="Voetnootmarkering"/>
          <w:lang w:val="en-GB"/>
        </w:rPr>
        <w:footnoteReference w:id="75"/>
      </w:r>
      <w:r w:rsidR="00AA32BF" w:rsidRPr="00163523">
        <w:rPr>
          <w:lang w:val="en-GB"/>
        </w:rPr>
        <w:t xml:space="preserve"> Land availability and public opposition to renewable energy projects, including hydrogen, could </w:t>
      </w:r>
      <w:r w:rsidR="00A2199F" w:rsidRPr="00163523">
        <w:rPr>
          <w:lang w:val="en-GB"/>
        </w:rPr>
        <w:t>make hydrogen</w:t>
      </w:r>
      <w:r w:rsidR="000A0394" w:rsidRPr="00163523">
        <w:rPr>
          <w:lang w:val="en-GB"/>
        </w:rPr>
        <w:t xml:space="preserve"> imports</w:t>
      </w:r>
      <w:r w:rsidR="00A2199F" w:rsidRPr="00163523">
        <w:rPr>
          <w:lang w:val="en-GB"/>
        </w:rPr>
        <w:t xml:space="preserve"> (derivatives or </w:t>
      </w:r>
      <w:r w:rsidR="000A0394" w:rsidRPr="00163523">
        <w:rPr>
          <w:lang w:val="en-GB"/>
        </w:rPr>
        <w:t xml:space="preserve">hydrogen gas through cross-border pipelines) </w:t>
      </w:r>
      <w:r w:rsidR="00B41826" w:rsidRPr="00163523">
        <w:rPr>
          <w:lang w:val="en-GB"/>
        </w:rPr>
        <w:t xml:space="preserve">more </w:t>
      </w:r>
      <w:r w:rsidR="000A0394" w:rsidRPr="00163523">
        <w:rPr>
          <w:lang w:val="en-GB"/>
        </w:rPr>
        <w:t>attractive</w:t>
      </w:r>
      <w:r w:rsidR="00B41826" w:rsidRPr="00163523">
        <w:rPr>
          <w:lang w:val="en-GB"/>
        </w:rPr>
        <w:t xml:space="preserve"> than local </w:t>
      </w:r>
      <w:r w:rsidR="00B57DE1" w:rsidRPr="00163523">
        <w:rPr>
          <w:lang w:val="en-GB"/>
        </w:rPr>
        <w:t>production</w:t>
      </w:r>
      <w:r w:rsidR="00957875" w:rsidRPr="00163523">
        <w:rPr>
          <w:lang w:val="en-GB"/>
        </w:rPr>
        <w:t>.</w:t>
      </w:r>
      <w:r w:rsidR="000A0394" w:rsidRPr="00163523">
        <w:rPr>
          <w:rStyle w:val="Voetnootmarkering"/>
          <w:lang w:val="en-GB"/>
        </w:rPr>
        <w:footnoteReference w:id="76"/>
      </w:r>
      <w:r w:rsidR="002745AE" w:rsidRPr="00163523">
        <w:rPr>
          <w:lang w:val="en-GB"/>
        </w:rPr>
        <w:t xml:space="preserve"> In this </w:t>
      </w:r>
      <w:r w:rsidR="00B57DE1" w:rsidRPr="00163523">
        <w:rPr>
          <w:lang w:val="en-GB"/>
        </w:rPr>
        <w:t>re</w:t>
      </w:r>
      <w:r w:rsidR="002745AE" w:rsidRPr="00163523">
        <w:rPr>
          <w:lang w:val="en-GB"/>
        </w:rPr>
        <w:t xml:space="preserve">spect, </w:t>
      </w:r>
      <w:r w:rsidR="001B26D4" w:rsidRPr="00163523">
        <w:rPr>
          <w:lang w:val="en-GB"/>
        </w:rPr>
        <w:t xml:space="preserve">offshore wind </w:t>
      </w:r>
      <w:r w:rsidR="00784B67" w:rsidRPr="00163523">
        <w:rPr>
          <w:lang w:val="en-GB"/>
        </w:rPr>
        <w:t>energy</w:t>
      </w:r>
      <w:r w:rsidR="007223AB" w:rsidRPr="00163523">
        <w:rPr>
          <w:lang w:val="en-GB"/>
        </w:rPr>
        <w:t xml:space="preserve"> w</w:t>
      </w:r>
      <w:r w:rsidR="001B26D4" w:rsidRPr="00163523">
        <w:rPr>
          <w:lang w:val="en-GB"/>
        </w:rPr>
        <w:t xml:space="preserve">ould face lower </w:t>
      </w:r>
      <w:r w:rsidR="00277496" w:rsidRPr="00163523">
        <w:rPr>
          <w:lang w:val="en-GB"/>
        </w:rPr>
        <w:t xml:space="preserve">public </w:t>
      </w:r>
      <w:r w:rsidR="001B26D4" w:rsidRPr="00163523">
        <w:rPr>
          <w:lang w:val="en-GB"/>
        </w:rPr>
        <w:t xml:space="preserve">opposition than onshore wind </w:t>
      </w:r>
      <w:r w:rsidR="00A03DC9" w:rsidRPr="00163523">
        <w:rPr>
          <w:lang w:val="en-GB"/>
        </w:rPr>
        <w:t xml:space="preserve">energy </w:t>
      </w:r>
      <w:r w:rsidR="001B26D4" w:rsidRPr="00163523">
        <w:rPr>
          <w:lang w:val="en-GB"/>
        </w:rPr>
        <w:t xml:space="preserve">or other renewable energy sources </w:t>
      </w:r>
      <w:r w:rsidR="00A03DC9" w:rsidRPr="00163523">
        <w:rPr>
          <w:lang w:val="en-GB"/>
        </w:rPr>
        <w:t xml:space="preserve">as input </w:t>
      </w:r>
      <w:r w:rsidR="001B26D4" w:rsidRPr="00163523">
        <w:rPr>
          <w:lang w:val="en-GB"/>
        </w:rPr>
        <w:t>for hydrogen production.</w:t>
      </w:r>
      <w:r w:rsidR="00A36B05" w:rsidRPr="00163523">
        <w:rPr>
          <w:rStyle w:val="Voetnootmarkering"/>
          <w:lang w:val="en-GB"/>
        </w:rPr>
        <w:footnoteReference w:id="77"/>
      </w:r>
      <w:r w:rsidR="003F3CA0" w:rsidRPr="00163523">
        <w:rPr>
          <w:lang w:val="en-GB"/>
        </w:rPr>
        <w:t xml:space="preserve"> Nonetheless, public opposition from environmental </w:t>
      </w:r>
      <w:r w:rsidR="00220B1B" w:rsidRPr="00163523">
        <w:rPr>
          <w:lang w:val="en-GB"/>
        </w:rPr>
        <w:t xml:space="preserve">and consumer </w:t>
      </w:r>
      <w:r w:rsidR="003F3CA0" w:rsidRPr="00163523">
        <w:rPr>
          <w:lang w:val="en-GB"/>
        </w:rPr>
        <w:t>NGOs</w:t>
      </w:r>
      <w:r w:rsidR="00220B1B" w:rsidRPr="00163523">
        <w:rPr>
          <w:lang w:val="en-GB"/>
        </w:rPr>
        <w:t xml:space="preserve"> exists</w:t>
      </w:r>
      <w:r w:rsidR="008B0D66" w:rsidRPr="00163523">
        <w:rPr>
          <w:lang w:val="en-GB"/>
        </w:rPr>
        <w:t>,</w:t>
      </w:r>
      <w:r w:rsidR="00220B1B" w:rsidRPr="00163523">
        <w:rPr>
          <w:lang w:val="en-GB"/>
        </w:rPr>
        <w:t xml:space="preserve"> based on </w:t>
      </w:r>
      <w:r w:rsidR="00893232" w:rsidRPr="00163523">
        <w:rPr>
          <w:lang w:val="en-GB"/>
        </w:rPr>
        <w:t>arguments</w:t>
      </w:r>
      <w:r w:rsidR="008B0D66" w:rsidRPr="00163523">
        <w:rPr>
          <w:lang w:val="en-GB"/>
        </w:rPr>
        <w:t xml:space="preserve"> of negative sustainability impacts of hydrogen production and use</w:t>
      </w:r>
      <w:r w:rsidR="00893232" w:rsidRPr="00163523">
        <w:rPr>
          <w:lang w:val="en-GB"/>
        </w:rPr>
        <w:t>, and the need to restrict hydrogen use to hard-to-decarbonise applications.</w:t>
      </w:r>
      <w:r w:rsidR="00893232" w:rsidRPr="00163523">
        <w:rPr>
          <w:rStyle w:val="Voetnootmarkering"/>
          <w:lang w:val="en-GB"/>
        </w:rPr>
        <w:footnoteReference w:id="78"/>
      </w:r>
    </w:p>
    <w:p w14:paraId="016E4F20" w14:textId="77777777" w:rsidR="00957875" w:rsidRPr="00163523" w:rsidRDefault="00957875" w:rsidP="00957875">
      <w:pPr>
        <w:rPr>
          <w:lang w:val="en-GB"/>
        </w:rPr>
      </w:pPr>
    </w:p>
    <w:p w14:paraId="7951CBB0" w14:textId="018DDF68" w:rsidR="006932C6" w:rsidRPr="00163523" w:rsidRDefault="006932C6" w:rsidP="00957875">
      <w:pPr>
        <w:rPr>
          <w:lang w:val="en-GB"/>
        </w:rPr>
      </w:pPr>
      <w:r w:rsidRPr="00163523">
        <w:rPr>
          <w:lang w:val="en-GB"/>
        </w:rPr>
        <w:t xml:space="preserve">The </w:t>
      </w:r>
      <w:r w:rsidR="00844630" w:rsidRPr="00163523">
        <w:rPr>
          <w:lang w:val="en-GB"/>
        </w:rPr>
        <w:t xml:space="preserve">presumption </w:t>
      </w:r>
      <w:r w:rsidRPr="00163523">
        <w:rPr>
          <w:lang w:val="en-GB"/>
        </w:rPr>
        <w:t>of overriding public interes</w:t>
      </w:r>
      <w:r w:rsidR="00895301" w:rsidRPr="00163523">
        <w:rPr>
          <w:lang w:val="en-GB"/>
        </w:rPr>
        <w:t>t</w:t>
      </w:r>
      <w:r w:rsidR="00844630" w:rsidRPr="00163523">
        <w:rPr>
          <w:lang w:val="en-GB"/>
        </w:rPr>
        <w:t xml:space="preserve"> for</w:t>
      </w:r>
      <w:r w:rsidR="00895301" w:rsidRPr="00163523">
        <w:rPr>
          <w:lang w:val="en-GB"/>
        </w:rPr>
        <w:t xml:space="preserve"> </w:t>
      </w:r>
      <w:r w:rsidR="00844630" w:rsidRPr="00163523">
        <w:rPr>
          <w:lang w:val="en-GB"/>
        </w:rPr>
        <w:t xml:space="preserve">renewable energy projects </w:t>
      </w:r>
      <w:r w:rsidR="00AC705A" w:rsidRPr="00163523">
        <w:rPr>
          <w:lang w:val="en-GB"/>
        </w:rPr>
        <w:t xml:space="preserve">as </w:t>
      </w:r>
      <w:r w:rsidR="005A5D7D" w:rsidRPr="00163523">
        <w:rPr>
          <w:lang w:val="en-GB"/>
        </w:rPr>
        <w:t xml:space="preserve">included in a Council regulation </w:t>
      </w:r>
      <w:r w:rsidR="00A15B89" w:rsidRPr="00163523">
        <w:rPr>
          <w:lang w:val="en-GB"/>
        </w:rPr>
        <w:t xml:space="preserve">published </w:t>
      </w:r>
      <w:r w:rsidR="005A5D7D" w:rsidRPr="00163523">
        <w:rPr>
          <w:lang w:val="en-GB"/>
        </w:rPr>
        <w:t>in 2022</w:t>
      </w:r>
      <w:r w:rsidR="005A5D7D" w:rsidRPr="00163523">
        <w:rPr>
          <w:rStyle w:val="Voetnootmarkering"/>
          <w:lang w:val="en-GB"/>
        </w:rPr>
        <w:footnoteReference w:id="79"/>
      </w:r>
      <w:r w:rsidR="00844630" w:rsidRPr="00163523">
        <w:rPr>
          <w:lang w:val="en-GB"/>
        </w:rPr>
        <w:t xml:space="preserve"> </w:t>
      </w:r>
      <w:r w:rsidRPr="00163523">
        <w:rPr>
          <w:lang w:val="en-GB"/>
        </w:rPr>
        <w:t xml:space="preserve">should lead to an accelerated permitting process. However, </w:t>
      </w:r>
      <w:r w:rsidR="005A5D7D" w:rsidRPr="00163523">
        <w:rPr>
          <w:lang w:val="en-GB"/>
        </w:rPr>
        <w:t xml:space="preserve">if the public consultation steps </w:t>
      </w:r>
      <w:r w:rsidR="00B85B3D" w:rsidRPr="00163523">
        <w:rPr>
          <w:lang w:val="en-GB"/>
        </w:rPr>
        <w:t>do not succe</w:t>
      </w:r>
      <w:r w:rsidR="00540F6F" w:rsidRPr="00163523">
        <w:rPr>
          <w:lang w:val="en-GB"/>
        </w:rPr>
        <w:t>ed</w:t>
      </w:r>
      <w:r w:rsidR="00B85B3D" w:rsidRPr="00163523">
        <w:rPr>
          <w:lang w:val="en-GB"/>
        </w:rPr>
        <w:t xml:space="preserve"> in</w:t>
      </w:r>
      <w:r w:rsidR="003852DB" w:rsidRPr="00163523">
        <w:rPr>
          <w:lang w:val="en-GB"/>
        </w:rPr>
        <w:t xml:space="preserve"> properly </w:t>
      </w:r>
      <w:r w:rsidR="00B85B3D" w:rsidRPr="00163523">
        <w:rPr>
          <w:lang w:val="en-GB"/>
        </w:rPr>
        <w:t>involving the affected communities and other stakeholders in the project development, there is a risk that the deployment will be delay</w:t>
      </w:r>
      <w:r w:rsidR="00DE5A8A" w:rsidRPr="00163523">
        <w:rPr>
          <w:lang w:val="en-GB"/>
        </w:rPr>
        <w:t>ed</w:t>
      </w:r>
      <w:r w:rsidR="00B85B3D" w:rsidRPr="00163523">
        <w:rPr>
          <w:lang w:val="en-GB"/>
        </w:rPr>
        <w:t xml:space="preserve"> despite the </w:t>
      </w:r>
      <w:r w:rsidR="00FB604D" w:rsidRPr="00163523">
        <w:rPr>
          <w:lang w:val="en-GB"/>
        </w:rPr>
        <w:t>project’s</w:t>
      </w:r>
      <w:r w:rsidR="00C84852" w:rsidRPr="00163523">
        <w:rPr>
          <w:lang w:val="en-GB"/>
        </w:rPr>
        <w:t xml:space="preserve"> overriding </w:t>
      </w:r>
      <w:r w:rsidR="00B85B3D" w:rsidRPr="00163523">
        <w:rPr>
          <w:lang w:val="en-GB"/>
        </w:rPr>
        <w:t>p</w:t>
      </w:r>
      <w:r w:rsidR="00C84852" w:rsidRPr="00163523">
        <w:rPr>
          <w:lang w:val="en-GB"/>
        </w:rPr>
        <w:t>ublic interest</w:t>
      </w:r>
      <w:r w:rsidR="00B85B3D" w:rsidRPr="00163523">
        <w:rPr>
          <w:lang w:val="en-GB"/>
        </w:rPr>
        <w:t>.</w:t>
      </w:r>
      <w:r w:rsidR="00023729" w:rsidRPr="00163523">
        <w:rPr>
          <w:lang w:val="en-GB"/>
        </w:rPr>
        <w:t xml:space="preserve"> Thus, accelerated permitting needs to be combined with appropriate consultation processes for renewable energy and </w:t>
      </w:r>
      <w:r w:rsidR="008471B5" w:rsidRPr="00163523">
        <w:rPr>
          <w:lang w:val="en-GB"/>
        </w:rPr>
        <w:t xml:space="preserve">related </w:t>
      </w:r>
      <w:r w:rsidR="00023729" w:rsidRPr="00163523">
        <w:rPr>
          <w:lang w:val="en-GB"/>
        </w:rPr>
        <w:t>infrastructure projects.</w:t>
      </w:r>
    </w:p>
    <w:p w14:paraId="67EE6E50" w14:textId="77777777" w:rsidR="006932C6" w:rsidRPr="00163523" w:rsidRDefault="006932C6" w:rsidP="00957875">
      <w:pPr>
        <w:rPr>
          <w:lang w:val="en-GB"/>
        </w:rPr>
      </w:pPr>
    </w:p>
    <w:p w14:paraId="107F7ACE" w14:textId="5CA3E190" w:rsidR="00957875" w:rsidRPr="00163523" w:rsidRDefault="00923127" w:rsidP="00957875">
      <w:pPr>
        <w:rPr>
          <w:lang w:val="en-GB"/>
        </w:rPr>
      </w:pPr>
      <w:r w:rsidRPr="00163523">
        <w:rPr>
          <w:lang w:val="en-GB"/>
        </w:rPr>
        <w:t>S</w:t>
      </w:r>
      <w:r w:rsidR="00957875" w:rsidRPr="00163523">
        <w:rPr>
          <w:lang w:val="en-GB"/>
        </w:rPr>
        <w:t xml:space="preserve">ocial, economic and environmental impacts can </w:t>
      </w:r>
      <w:r w:rsidRPr="00163523">
        <w:rPr>
          <w:lang w:val="en-GB"/>
        </w:rPr>
        <w:t xml:space="preserve">hence </w:t>
      </w:r>
      <w:r w:rsidR="00957875" w:rsidRPr="00163523">
        <w:rPr>
          <w:lang w:val="en-GB"/>
        </w:rPr>
        <w:t xml:space="preserve">either lead to public opposition or </w:t>
      </w:r>
      <w:r w:rsidR="000E7D88" w:rsidRPr="00163523">
        <w:rPr>
          <w:lang w:val="en-GB"/>
        </w:rPr>
        <w:t xml:space="preserve">improve </w:t>
      </w:r>
      <w:r w:rsidR="00957875" w:rsidRPr="00163523">
        <w:rPr>
          <w:lang w:val="en-GB"/>
        </w:rPr>
        <w:t xml:space="preserve">acceptance, depending on their specific impacts, underlying causes and how they are managed. </w:t>
      </w:r>
      <w:r w:rsidR="00B23B21" w:rsidRPr="00163523">
        <w:rPr>
          <w:lang w:val="en-GB"/>
        </w:rPr>
        <w:t xml:space="preserve">The energy transition will </w:t>
      </w:r>
      <w:r w:rsidR="00E039B5" w:rsidRPr="00163523">
        <w:rPr>
          <w:lang w:val="en-GB"/>
        </w:rPr>
        <w:t xml:space="preserve">indeed </w:t>
      </w:r>
      <w:r w:rsidR="00B23B21" w:rsidRPr="00163523">
        <w:rPr>
          <w:lang w:val="en-GB"/>
        </w:rPr>
        <w:t xml:space="preserve">lead to specific social and economic impacts on certain sectors, citizens and </w:t>
      </w:r>
      <w:r w:rsidR="00760BFE" w:rsidRPr="00163523">
        <w:rPr>
          <w:lang w:val="en-GB"/>
        </w:rPr>
        <w:t>businesses</w:t>
      </w:r>
      <w:r w:rsidR="00E039B5" w:rsidRPr="00163523">
        <w:rPr>
          <w:lang w:val="en-GB"/>
        </w:rPr>
        <w:t>, which should be properly addressed</w:t>
      </w:r>
      <w:r w:rsidR="00B23B21" w:rsidRPr="00163523">
        <w:rPr>
          <w:lang w:val="en-GB"/>
        </w:rPr>
        <w:t xml:space="preserve">. </w:t>
      </w:r>
      <w:r w:rsidR="00957875" w:rsidRPr="00163523">
        <w:rPr>
          <w:lang w:val="en-GB"/>
        </w:rPr>
        <w:t xml:space="preserve">A number of channels </w:t>
      </w:r>
      <w:r w:rsidR="00CB2E4C" w:rsidRPr="00163523">
        <w:rPr>
          <w:lang w:val="en-GB"/>
        </w:rPr>
        <w:t xml:space="preserve">leading to lack of </w:t>
      </w:r>
      <w:r w:rsidR="00957875" w:rsidRPr="00163523">
        <w:rPr>
          <w:lang w:val="en-GB"/>
        </w:rPr>
        <w:t xml:space="preserve">public acceptance can be </w:t>
      </w:r>
      <w:r w:rsidR="00B23B21" w:rsidRPr="00163523">
        <w:rPr>
          <w:lang w:val="en-GB"/>
        </w:rPr>
        <w:t>identified</w:t>
      </w:r>
      <w:r w:rsidR="00CB2F47" w:rsidRPr="00163523">
        <w:rPr>
          <w:lang w:val="en-GB"/>
        </w:rPr>
        <w:t>,</w:t>
      </w:r>
      <w:r w:rsidR="0086209E" w:rsidRPr="00163523">
        <w:rPr>
          <w:lang w:val="en-GB"/>
        </w:rPr>
        <w:t xml:space="preserve"> </w:t>
      </w:r>
      <w:r w:rsidR="00CF161B" w:rsidRPr="00163523">
        <w:rPr>
          <w:lang w:val="en-GB"/>
        </w:rPr>
        <w:t>i</w:t>
      </w:r>
      <w:r w:rsidR="00347DBA" w:rsidRPr="00163523">
        <w:rPr>
          <w:lang w:val="en-GB"/>
        </w:rPr>
        <w:t xml:space="preserve">n </w:t>
      </w:r>
      <w:r w:rsidR="00CB2E4C" w:rsidRPr="00163523">
        <w:rPr>
          <w:lang w:val="en-GB"/>
        </w:rPr>
        <w:t>particular i</w:t>
      </w:r>
      <w:r w:rsidR="00CF161B" w:rsidRPr="00163523">
        <w:rPr>
          <w:lang w:val="en-GB"/>
        </w:rPr>
        <w:t xml:space="preserve">f </w:t>
      </w:r>
      <w:r w:rsidR="00E13DF1" w:rsidRPr="00163523">
        <w:rPr>
          <w:lang w:val="en-GB"/>
        </w:rPr>
        <w:t xml:space="preserve">adequate </w:t>
      </w:r>
      <w:r w:rsidR="00CF161B" w:rsidRPr="00163523">
        <w:rPr>
          <w:lang w:val="en-GB"/>
        </w:rPr>
        <w:t>measures are not adopted to mitigate negative impacts</w:t>
      </w:r>
      <w:r w:rsidR="00B23B21" w:rsidRPr="00163523">
        <w:rPr>
          <w:lang w:val="en-GB"/>
        </w:rPr>
        <w:t>:</w:t>
      </w:r>
    </w:p>
    <w:p w14:paraId="1F5FE3D8" w14:textId="3E7CA6B3" w:rsidR="00B23B21" w:rsidRPr="00163523" w:rsidRDefault="00B23B21" w:rsidP="00B23B21">
      <w:pPr>
        <w:pStyle w:val="ChecklistBulletpoint"/>
        <w:rPr>
          <w:lang w:val="en-GB"/>
        </w:rPr>
      </w:pPr>
      <w:r w:rsidRPr="00163523">
        <w:rPr>
          <w:lang w:val="en-GB"/>
        </w:rPr>
        <w:t xml:space="preserve">The phase-out of fossil fuel-based energy production may </w:t>
      </w:r>
      <w:r w:rsidR="00CF161B" w:rsidRPr="00163523">
        <w:rPr>
          <w:lang w:val="en-GB"/>
        </w:rPr>
        <w:t>lead to deindustrialization and unemployment in specific regions;</w:t>
      </w:r>
    </w:p>
    <w:p w14:paraId="4DB6DADF" w14:textId="1AAD76E8" w:rsidR="00CF161B" w:rsidRPr="00163523" w:rsidRDefault="00CF161B" w:rsidP="00B23B21">
      <w:pPr>
        <w:pStyle w:val="ChecklistBulletpoint"/>
        <w:rPr>
          <w:lang w:val="en-GB"/>
        </w:rPr>
      </w:pPr>
      <w:r w:rsidRPr="00163523">
        <w:rPr>
          <w:lang w:val="en-GB"/>
        </w:rPr>
        <w:t xml:space="preserve">The </w:t>
      </w:r>
      <w:r w:rsidR="00E9208E" w:rsidRPr="00163523">
        <w:rPr>
          <w:lang w:val="en-GB"/>
        </w:rPr>
        <w:t>energy transition may lead to higher energy bills for specific consumers and disproportionately affect vulnerable consumers;</w:t>
      </w:r>
    </w:p>
    <w:p w14:paraId="17A33423" w14:textId="412A928C" w:rsidR="00E9208E" w:rsidRPr="00163523" w:rsidRDefault="005B189B" w:rsidP="00B23B21">
      <w:pPr>
        <w:pStyle w:val="ChecklistBulletpoint"/>
        <w:rPr>
          <w:lang w:val="en-GB"/>
        </w:rPr>
      </w:pPr>
      <w:r w:rsidRPr="00163523">
        <w:rPr>
          <w:lang w:val="en-GB"/>
        </w:rPr>
        <w:t>Renewable energy projects may lead to negative impacts to the environment, landscape and specific economic sectors</w:t>
      </w:r>
      <w:r w:rsidR="00AF47B5" w:rsidRPr="00163523">
        <w:rPr>
          <w:lang w:val="en-GB"/>
        </w:rPr>
        <w:t>.</w:t>
      </w:r>
    </w:p>
    <w:p w14:paraId="09BD3176" w14:textId="77777777" w:rsidR="00957875" w:rsidRPr="00163523" w:rsidRDefault="00957875" w:rsidP="00957875">
      <w:pPr>
        <w:rPr>
          <w:lang w:val="en-GB"/>
        </w:rPr>
      </w:pPr>
    </w:p>
    <w:p w14:paraId="25A5E55B" w14:textId="63868D65" w:rsidR="00F63E15" w:rsidRPr="00163523" w:rsidRDefault="00AB17A7" w:rsidP="00F63E15">
      <w:pPr>
        <w:pStyle w:val="Kop4"/>
        <w:rPr>
          <w:lang w:val="en-GB"/>
        </w:rPr>
      </w:pPr>
      <w:r w:rsidRPr="00163523">
        <w:rPr>
          <w:lang w:val="en-GB"/>
        </w:rPr>
        <w:t>Rating</w:t>
      </w:r>
      <w:r w:rsidR="00F63E15" w:rsidRPr="00163523">
        <w:rPr>
          <w:lang w:val="en-GB"/>
        </w:rPr>
        <w:t xml:space="preserve"> of the </w:t>
      </w:r>
      <w:r w:rsidRPr="00163523">
        <w:rPr>
          <w:lang w:val="en-GB"/>
        </w:rPr>
        <w:t xml:space="preserve">risk </w:t>
      </w:r>
      <w:r w:rsidR="00F63E15" w:rsidRPr="00163523">
        <w:rPr>
          <w:lang w:val="en-GB"/>
        </w:rPr>
        <w:t>based on likelihood and severity</w:t>
      </w:r>
    </w:p>
    <w:p w14:paraId="64D4AB70" w14:textId="111C506D" w:rsidR="00060524" w:rsidRDefault="00060524" w:rsidP="00060524">
      <w:pPr>
        <w:rPr>
          <w:lang w:val="en-GB"/>
        </w:rPr>
      </w:pPr>
      <w:r w:rsidRPr="00BC6954">
        <w:rPr>
          <w:lang w:val="en-GB"/>
        </w:rPr>
        <w:t xml:space="preserve">Based on the arguments above, we assess the </w:t>
      </w:r>
      <w:r w:rsidRPr="00BC6954">
        <w:rPr>
          <w:b/>
          <w:bCs/>
          <w:lang w:val="en-GB"/>
        </w:rPr>
        <w:t xml:space="preserve">severity of the risk as </w:t>
      </w:r>
      <w:r w:rsidR="00E05550">
        <w:rPr>
          <w:b/>
          <w:bCs/>
          <w:lang w:val="en-GB"/>
        </w:rPr>
        <w:t>‘</w:t>
      </w:r>
      <w:r w:rsidR="00FA2DC1">
        <w:rPr>
          <w:b/>
          <w:bCs/>
          <w:lang w:val="en-GB"/>
        </w:rPr>
        <w:t>low</w:t>
      </w:r>
      <w:r w:rsidR="00E05550">
        <w:rPr>
          <w:b/>
          <w:bCs/>
          <w:lang w:val="en-GB"/>
        </w:rPr>
        <w:t>’</w:t>
      </w:r>
      <w:r w:rsidRPr="00BC6954">
        <w:rPr>
          <w:b/>
          <w:bCs/>
          <w:lang w:val="en-GB"/>
        </w:rPr>
        <w:t xml:space="preserve"> </w:t>
      </w:r>
      <w:r w:rsidRPr="00BC6954">
        <w:rPr>
          <w:lang w:val="en-GB"/>
        </w:rPr>
        <w:t>due</w:t>
      </w:r>
      <w:r w:rsidR="003A7AF1">
        <w:rPr>
          <w:lang w:val="en-GB"/>
        </w:rPr>
        <w:t xml:space="preserve"> to</w:t>
      </w:r>
      <w:r w:rsidRPr="00BC6954">
        <w:rPr>
          <w:lang w:val="en-GB"/>
        </w:rPr>
        <w:t xml:space="preserve"> </w:t>
      </w:r>
      <w:r>
        <w:rPr>
          <w:lang w:val="en-GB"/>
        </w:rPr>
        <w:t xml:space="preserve">the various channels </w:t>
      </w:r>
      <w:r w:rsidR="00FA2DC1">
        <w:rPr>
          <w:lang w:val="en-GB"/>
        </w:rPr>
        <w:t xml:space="preserve">and instruments </w:t>
      </w:r>
      <w:r>
        <w:rPr>
          <w:lang w:val="en-GB"/>
        </w:rPr>
        <w:t xml:space="preserve">through which </w:t>
      </w:r>
      <w:r w:rsidR="003312B5">
        <w:rPr>
          <w:lang w:val="en-GB"/>
        </w:rPr>
        <w:t xml:space="preserve">public opposition </w:t>
      </w:r>
      <w:r w:rsidR="00FA2DC1">
        <w:rPr>
          <w:lang w:val="en-GB"/>
        </w:rPr>
        <w:t>can be mitigated</w:t>
      </w:r>
      <w:r w:rsidR="003312B5">
        <w:rPr>
          <w:lang w:val="en-GB"/>
        </w:rPr>
        <w:t xml:space="preserve"> and the</w:t>
      </w:r>
      <w:r w:rsidR="00A61FF9">
        <w:rPr>
          <w:lang w:val="en-GB"/>
        </w:rPr>
        <w:t xml:space="preserve"> fact </w:t>
      </w:r>
      <w:r w:rsidR="003312B5">
        <w:rPr>
          <w:lang w:val="en-GB"/>
        </w:rPr>
        <w:t xml:space="preserve">that the phase-out of fossil fuels and development of renewable energy projects will lead to </w:t>
      </w:r>
      <w:r w:rsidR="00FA2DC1">
        <w:rPr>
          <w:lang w:val="en-GB"/>
        </w:rPr>
        <w:t xml:space="preserve">visible </w:t>
      </w:r>
      <w:r w:rsidR="00303092">
        <w:rPr>
          <w:lang w:val="en-GB"/>
        </w:rPr>
        <w:t xml:space="preserve">positive </w:t>
      </w:r>
      <w:r w:rsidR="00EA6D0F">
        <w:rPr>
          <w:lang w:val="en-GB"/>
        </w:rPr>
        <w:t xml:space="preserve">economic and </w:t>
      </w:r>
      <w:r w:rsidR="005255BF">
        <w:rPr>
          <w:lang w:val="en-GB"/>
        </w:rPr>
        <w:t>envi</w:t>
      </w:r>
      <w:r w:rsidR="00BA3935">
        <w:rPr>
          <w:lang w:val="en-GB"/>
        </w:rPr>
        <w:t>ronmental benefits</w:t>
      </w:r>
      <w:r w:rsidR="00C73A17">
        <w:rPr>
          <w:lang w:val="en-GB"/>
        </w:rPr>
        <w:t>, which should improve public acceptance</w:t>
      </w:r>
      <w:r w:rsidR="00636217">
        <w:rPr>
          <w:lang w:val="en-GB"/>
        </w:rPr>
        <w:t>. T</w:t>
      </w:r>
      <w:r w:rsidRPr="00BC6954">
        <w:rPr>
          <w:lang w:val="en-GB"/>
        </w:rPr>
        <w:t xml:space="preserve">he </w:t>
      </w:r>
      <w:r w:rsidRPr="00BC6954">
        <w:rPr>
          <w:b/>
          <w:bCs/>
          <w:lang w:val="en-GB"/>
        </w:rPr>
        <w:t xml:space="preserve">probability of the risk is assessed as </w:t>
      </w:r>
      <w:r w:rsidR="00A61FF9">
        <w:rPr>
          <w:b/>
          <w:bCs/>
          <w:lang w:val="en-GB"/>
        </w:rPr>
        <w:t>‘</w:t>
      </w:r>
      <w:r w:rsidR="007F3093">
        <w:rPr>
          <w:b/>
          <w:bCs/>
          <w:lang w:val="en-GB"/>
        </w:rPr>
        <w:t>high</w:t>
      </w:r>
      <w:r w:rsidR="00A61FF9">
        <w:rPr>
          <w:b/>
          <w:bCs/>
          <w:lang w:val="en-GB"/>
        </w:rPr>
        <w:t>’</w:t>
      </w:r>
      <w:r w:rsidRPr="00BC6954">
        <w:rPr>
          <w:b/>
          <w:bCs/>
          <w:lang w:val="en-GB"/>
        </w:rPr>
        <w:t xml:space="preserve"> </w:t>
      </w:r>
      <w:r w:rsidR="000D54F0" w:rsidRPr="00370458">
        <w:rPr>
          <w:lang w:val="en-GB"/>
        </w:rPr>
        <w:t xml:space="preserve">in </w:t>
      </w:r>
      <w:r w:rsidR="00370458" w:rsidRPr="00370458">
        <w:rPr>
          <w:lang w:val="en-GB"/>
        </w:rPr>
        <w:t>particular</w:t>
      </w:r>
      <w:r w:rsidR="00370458">
        <w:rPr>
          <w:b/>
          <w:bCs/>
          <w:lang w:val="en-GB"/>
        </w:rPr>
        <w:t xml:space="preserve"> </w:t>
      </w:r>
      <w:r w:rsidR="00E51F40" w:rsidRPr="00BF7D85">
        <w:rPr>
          <w:lang w:val="en-GB"/>
        </w:rPr>
        <w:t xml:space="preserve">for </w:t>
      </w:r>
      <w:r w:rsidR="00BF7D85" w:rsidRPr="00BF7D85">
        <w:rPr>
          <w:lang w:val="en-GB"/>
        </w:rPr>
        <w:t>hydrogen infrastructure, due to the</w:t>
      </w:r>
      <w:r w:rsidR="0096400C">
        <w:rPr>
          <w:lang w:val="en-GB"/>
        </w:rPr>
        <w:t xml:space="preserve"> impacts of significant additional renewable energy projects for electrolytic hydrogen production as well as</w:t>
      </w:r>
      <w:r w:rsidR="00BF7D85" w:rsidRPr="00BF7D85">
        <w:rPr>
          <w:lang w:val="en-GB"/>
        </w:rPr>
        <w:t xml:space="preserve"> </w:t>
      </w:r>
      <w:r w:rsidR="00BF7D85">
        <w:rPr>
          <w:lang w:val="en-GB"/>
        </w:rPr>
        <w:t>higher safety concerns</w:t>
      </w:r>
      <w:r w:rsidR="0096400C">
        <w:rPr>
          <w:lang w:val="en-GB"/>
        </w:rPr>
        <w:t xml:space="preserve"> (detailed in risk 15)</w:t>
      </w:r>
      <w:r w:rsidR="001B55DE">
        <w:rPr>
          <w:lang w:val="en-GB"/>
        </w:rPr>
        <w:t>.</w:t>
      </w:r>
    </w:p>
    <w:p w14:paraId="4DC1D3E2" w14:textId="77777777" w:rsidR="00060524" w:rsidRPr="00BC6954" w:rsidRDefault="00060524" w:rsidP="00060524">
      <w:pPr>
        <w:rPr>
          <w:b/>
          <w:bCs/>
          <w:lang w:val="en-GB"/>
        </w:rPr>
      </w:pPr>
    </w:p>
    <w:p w14:paraId="673C24CF" w14:textId="6CF6999C" w:rsidR="001B55DE" w:rsidRDefault="00060524" w:rsidP="00060524">
      <w:pPr>
        <w:rPr>
          <w:lang w:val="en-GB"/>
        </w:rPr>
      </w:pPr>
      <w:r w:rsidRPr="00BC6954">
        <w:rPr>
          <w:lang w:val="en-GB"/>
        </w:rPr>
        <w:t xml:space="preserve">The present risk </w:t>
      </w:r>
      <w:r w:rsidR="001B55DE">
        <w:rPr>
          <w:lang w:val="en-GB"/>
        </w:rPr>
        <w:t xml:space="preserve">affects all scenarios </w:t>
      </w:r>
      <w:r w:rsidR="00261B6E">
        <w:rPr>
          <w:lang w:val="en-GB"/>
        </w:rPr>
        <w:t>given the general need to significant</w:t>
      </w:r>
      <w:r w:rsidR="003B4DF3">
        <w:rPr>
          <w:lang w:val="en-GB"/>
        </w:rPr>
        <w:t>ly</w:t>
      </w:r>
      <w:r w:rsidR="00261B6E">
        <w:rPr>
          <w:lang w:val="en-GB"/>
        </w:rPr>
        <w:t xml:space="preserve"> develop renewable energy </w:t>
      </w:r>
      <w:r w:rsidR="002742E5">
        <w:rPr>
          <w:lang w:val="en-GB"/>
        </w:rPr>
        <w:t xml:space="preserve">in order </w:t>
      </w:r>
      <w:r w:rsidR="00EF09B5">
        <w:rPr>
          <w:lang w:val="en-GB"/>
        </w:rPr>
        <w:t xml:space="preserve">to </w:t>
      </w:r>
      <w:r w:rsidR="00261B6E">
        <w:rPr>
          <w:lang w:val="en-GB"/>
        </w:rPr>
        <w:t xml:space="preserve">phase-out fossil </w:t>
      </w:r>
      <w:r w:rsidR="00EF09B5">
        <w:rPr>
          <w:lang w:val="en-GB"/>
        </w:rPr>
        <w:t>gas</w:t>
      </w:r>
      <w:r w:rsidR="00261B6E">
        <w:rPr>
          <w:lang w:val="en-GB"/>
        </w:rPr>
        <w:t xml:space="preserve">. </w:t>
      </w:r>
      <w:r w:rsidR="00106E3A">
        <w:rPr>
          <w:lang w:val="en-GB"/>
        </w:rPr>
        <w:t>While investments in</w:t>
      </w:r>
      <w:r w:rsidR="00936757">
        <w:rPr>
          <w:lang w:val="en-GB"/>
        </w:rPr>
        <w:t xml:space="preserve"> biogas and biomethane </w:t>
      </w:r>
      <w:r w:rsidR="00DB23CD">
        <w:rPr>
          <w:lang w:val="en-GB"/>
        </w:rPr>
        <w:t>w</w:t>
      </w:r>
      <w:r w:rsidR="00936757">
        <w:rPr>
          <w:lang w:val="en-GB"/>
        </w:rPr>
        <w:t xml:space="preserve">ould </w:t>
      </w:r>
      <w:r w:rsidR="00DB23CD">
        <w:rPr>
          <w:lang w:val="en-GB"/>
        </w:rPr>
        <w:t xml:space="preserve">in general </w:t>
      </w:r>
      <w:r w:rsidR="00AA5473">
        <w:rPr>
          <w:lang w:val="en-GB"/>
        </w:rPr>
        <w:t xml:space="preserve">lead to </w:t>
      </w:r>
      <w:r w:rsidR="00DB23CD">
        <w:rPr>
          <w:lang w:val="en-GB"/>
        </w:rPr>
        <w:lastRenderedPageBreak/>
        <w:t xml:space="preserve">limited </w:t>
      </w:r>
      <w:r w:rsidR="00AA5473">
        <w:rPr>
          <w:lang w:val="en-GB"/>
        </w:rPr>
        <w:t>public opposition</w:t>
      </w:r>
      <w:r w:rsidR="002108E4">
        <w:rPr>
          <w:lang w:val="en-GB"/>
        </w:rPr>
        <w:t xml:space="preserve">, </w:t>
      </w:r>
      <w:r w:rsidR="002A1CCF">
        <w:rPr>
          <w:lang w:val="en-GB"/>
        </w:rPr>
        <w:t xml:space="preserve">hydrogen investments </w:t>
      </w:r>
      <w:r w:rsidR="00EC1D8F">
        <w:rPr>
          <w:lang w:val="en-GB"/>
        </w:rPr>
        <w:t>could</w:t>
      </w:r>
      <w:r w:rsidR="002742E5">
        <w:rPr>
          <w:lang w:val="en-GB"/>
        </w:rPr>
        <w:t xml:space="preserve"> </w:t>
      </w:r>
      <w:r w:rsidR="00EC1D8F">
        <w:rPr>
          <w:lang w:val="en-GB"/>
        </w:rPr>
        <w:t>face low</w:t>
      </w:r>
      <w:r w:rsidR="00836964">
        <w:rPr>
          <w:lang w:val="en-GB"/>
        </w:rPr>
        <w:t>er</w:t>
      </w:r>
      <w:r w:rsidR="00EC1D8F">
        <w:rPr>
          <w:lang w:val="en-GB"/>
        </w:rPr>
        <w:t xml:space="preserve"> public acceptance due to </w:t>
      </w:r>
      <w:r w:rsidR="0096400C">
        <w:rPr>
          <w:lang w:val="en-GB"/>
        </w:rPr>
        <w:t>the reasons mentioned above</w:t>
      </w:r>
      <w:r w:rsidR="00AA5473">
        <w:rPr>
          <w:lang w:val="en-GB"/>
        </w:rPr>
        <w:t>.</w:t>
      </w:r>
    </w:p>
    <w:p w14:paraId="4FEFCC3B" w14:textId="77777777" w:rsidR="001B55DE" w:rsidRDefault="001B55DE" w:rsidP="00060524">
      <w:pPr>
        <w:rPr>
          <w:lang w:val="en-GB"/>
        </w:rPr>
      </w:pPr>
    </w:p>
    <w:p w14:paraId="1FEA6A08" w14:textId="33F178C2" w:rsidR="00060524" w:rsidRPr="00BC6954" w:rsidRDefault="00060524" w:rsidP="00060524">
      <w:pPr>
        <w:rPr>
          <w:lang w:val="en-GB"/>
        </w:rPr>
      </w:pPr>
      <w:r>
        <w:rPr>
          <w:lang w:val="en-GB"/>
        </w:rPr>
        <w:t>All four countries in the Baltic Regional Gas Market are subject to a similar level of risk</w:t>
      </w:r>
      <w:r w:rsidR="00AA5473">
        <w:rPr>
          <w:lang w:val="en-GB"/>
        </w:rPr>
        <w:t>. However, there may be difference</w:t>
      </w:r>
      <w:r w:rsidR="00247A39">
        <w:rPr>
          <w:lang w:val="en-GB"/>
        </w:rPr>
        <w:t>s</w:t>
      </w:r>
      <w:r w:rsidR="00AA5473">
        <w:rPr>
          <w:lang w:val="en-GB"/>
        </w:rPr>
        <w:t xml:space="preserve"> in the channels potentially leading to public opposition, since</w:t>
      </w:r>
      <w:r w:rsidR="0086110C">
        <w:rPr>
          <w:lang w:val="en-GB"/>
        </w:rPr>
        <w:t>,</w:t>
      </w:r>
      <w:r w:rsidR="00AA5473">
        <w:rPr>
          <w:lang w:val="en-GB"/>
        </w:rPr>
        <w:t xml:space="preserve"> as discussed above</w:t>
      </w:r>
      <w:r w:rsidR="0086110C">
        <w:rPr>
          <w:lang w:val="en-GB"/>
        </w:rPr>
        <w:t xml:space="preserve">, </w:t>
      </w:r>
      <w:r w:rsidR="00AA5473">
        <w:rPr>
          <w:lang w:val="en-GB"/>
        </w:rPr>
        <w:t xml:space="preserve">Latvia and especially Lithuania exhibit higher levels of energy poverty, while </w:t>
      </w:r>
      <w:r w:rsidR="00E25319">
        <w:rPr>
          <w:lang w:val="en-GB"/>
        </w:rPr>
        <w:t>Estonia’s current reliance on shale oil will require tailored just transition measures.</w:t>
      </w:r>
    </w:p>
    <w:p w14:paraId="7EF28214" w14:textId="77777777" w:rsidR="00060524" w:rsidRPr="00920786" w:rsidRDefault="00060524" w:rsidP="00060524">
      <w:pPr>
        <w:rPr>
          <w:lang w:val="en-GB"/>
        </w:rPr>
      </w:pPr>
    </w:p>
    <w:tbl>
      <w:tblPr>
        <w:tblStyle w:val="Table1"/>
        <w:tblW w:w="8449" w:type="dxa"/>
        <w:tblLayout w:type="fixed"/>
        <w:tblLook w:val="04A0" w:firstRow="1" w:lastRow="0" w:firstColumn="1" w:lastColumn="0" w:noHBand="0" w:noVBand="1"/>
      </w:tblPr>
      <w:tblGrid>
        <w:gridCol w:w="2689"/>
        <w:gridCol w:w="864"/>
        <w:gridCol w:w="864"/>
        <w:gridCol w:w="865"/>
        <w:gridCol w:w="1731"/>
        <w:gridCol w:w="1436"/>
      </w:tblGrid>
      <w:tr w:rsidR="00060524" w:rsidRPr="00801E6C" w14:paraId="415A84D8" w14:textId="7777777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89" w:type="dxa"/>
            <w:vMerge w:val="restart"/>
            <w:noWrap/>
          </w:tcPr>
          <w:p w14:paraId="38753CEA" w14:textId="77777777" w:rsidR="00060524" w:rsidRPr="00163523" w:rsidRDefault="00060524">
            <w:pPr>
              <w:keepNext/>
              <w:spacing w:line="240" w:lineRule="auto"/>
              <w:ind w:left="0"/>
              <w:rPr>
                <w:rFonts w:eastAsia="Times New Roman"/>
                <w:sz w:val="16"/>
                <w:szCs w:val="16"/>
                <w:lang w:val="en-GB" w:eastAsia="en-GB"/>
              </w:rPr>
            </w:pPr>
            <w:r w:rsidRPr="00163523">
              <w:rPr>
                <w:rFonts w:eastAsia="Arial"/>
                <w:sz w:val="16"/>
                <w:szCs w:val="16"/>
                <w:lang w:val="en-GB"/>
              </w:rPr>
              <w:t>Risk</w:t>
            </w:r>
          </w:p>
        </w:tc>
        <w:tc>
          <w:tcPr>
            <w:tcW w:w="2593" w:type="dxa"/>
            <w:gridSpan w:val="3"/>
          </w:tcPr>
          <w:p w14:paraId="04AEBC65" w14:textId="77777777" w:rsidR="00060524" w:rsidRPr="00163523" w:rsidRDefault="00060524">
            <w:pPr>
              <w:keepNext/>
              <w:spacing w:line="240" w:lineRule="auto"/>
              <w:ind w:left="0"/>
              <w:cnfStyle w:val="100000000000" w:firstRow="1" w:lastRow="0" w:firstColumn="0" w:lastColumn="0" w:oddVBand="0" w:evenVBand="0" w:oddHBand="0" w:evenHBand="0" w:firstRowFirstColumn="0" w:firstRowLastColumn="0" w:lastRowFirstColumn="0" w:lastRowLastColumn="0"/>
              <w:rPr>
                <w:rFonts w:eastAsia="Arial"/>
                <w:sz w:val="16"/>
                <w:szCs w:val="16"/>
                <w:lang w:val="en-GB"/>
              </w:rPr>
            </w:pPr>
            <w:r w:rsidRPr="00801E6C">
              <w:rPr>
                <w:rFonts w:eastAsia="Arial"/>
                <w:sz w:val="16"/>
                <w:szCs w:val="16"/>
                <w:lang w:val="en-GB"/>
              </w:rPr>
              <w:t>Applicable scenarios</w:t>
            </w:r>
          </w:p>
        </w:tc>
        <w:tc>
          <w:tcPr>
            <w:tcW w:w="1731" w:type="dxa"/>
            <w:vMerge w:val="restart"/>
            <w:noWrap/>
          </w:tcPr>
          <w:p w14:paraId="3E7E2AEF" w14:textId="77777777" w:rsidR="00060524" w:rsidRPr="00163523" w:rsidRDefault="00060524">
            <w:pPr>
              <w:keepNext/>
              <w:spacing w:line="240" w:lineRule="auto"/>
              <w:ind w:left="0"/>
              <w:cnfStyle w:val="100000000000" w:firstRow="1" w:lastRow="0" w:firstColumn="0" w:lastColumn="0" w:oddVBand="0" w:evenVBand="0" w:oddHBand="0" w:evenHBand="0" w:firstRowFirstColumn="0" w:firstRowLastColumn="0" w:lastRowFirstColumn="0" w:lastRowLastColumn="0"/>
              <w:rPr>
                <w:rFonts w:eastAsia="Times New Roman"/>
                <w:i/>
                <w:sz w:val="16"/>
                <w:szCs w:val="16"/>
                <w:lang w:val="en-GB" w:eastAsia="en-GB"/>
              </w:rPr>
            </w:pPr>
            <w:r w:rsidRPr="00163523">
              <w:rPr>
                <w:rFonts w:eastAsia="Arial"/>
                <w:sz w:val="16"/>
                <w:szCs w:val="16"/>
                <w:lang w:val="en-GB"/>
              </w:rPr>
              <w:t>Likelihood</w:t>
            </w:r>
          </w:p>
        </w:tc>
        <w:tc>
          <w:tcPr>
            <w:tcW w:w="1436" w:type="dxa"/>
            <w:vMerge w:val="restart"/>
            <w:noWrap/>
          </w:tcPr>
          <w:p w14:paraId="0941EE2A" w14:textId="77777777" w:rsidR="00060524" w:rsidRPr="00163523" w:rsidRDefault="00060524">
            <w:pPr>
              <w:keepNext/>
              <w:spacing w:line="240" w:lineRule="auto"/>
              <w:ind w:left="0"/>
              <w:cnfStyle w:val="100000000000" w:firstRow="1" w:lastRow="0" w:firstColumn="0" w:lastColumn="0" w:oddVBand="0" w:evenVBand="0" w:oddHBand="0" w:evenHBand="0" w:firstRowFirstColumn="0" w:firstRowLastColumn="0" w:lastRowFirstColumn="0" w:lastRowLastColumn="0"/>
              <w:rPr>
                <w:rFonts w:eastAsia="Times New Roman"/>
                <w:i/>
                <w:sz w:val="16"/>
                <w:szCs w:val="16"/>
                <w:lang w:val="en-GB" w:eastAsia="en-GB"/>
              </w:rPr>
            </w:pPr>
            <w:r w:rsidRPr="00163523">
              <w:rPr>
                <w:rFonts w:eastAsia="Arial"/>
                <w:sz w:val="16"/>
                <w:szCs w:val="16"/>
                <w:lang w:val="en-GB"/>
              </w:rPr>
              <w:t>Severity</w:t>
            </w:r>
          </w:p>
        </w:tc>
      </w:tr>
      <w:tr w:rsidR="00060524" w:rsidRPr="00801E6C" w14:paraId="29CDCD32" w14:textId="77777777" w:rsidTr="001C1440">
        <w:trPr>
          <w:trHeight w:val="20"/>
        </w:trPr>
        <w:tc>
          <w:tcPr>
            <w:cnfStyle w:val="001000000000" w:firstRow="0" w:lastRow="0" w:firstColumn="1" w:lastColumn="0" w:oddVBand="0" w:evenVBand="0" w:oddHBand="0" w:evenHBand="0" w:firstRowFirstColumn="0" w:firstRowLastColumn="0" w:lastRowFirstColumn="0" w:lastRowLastColumn="0"/>
            <w:tcW w:w="2689" w:type="dxa"/>
            <w:vMerge/>
            <w:noWrap/>
          </w:tcPr>
          <w:p w14:paraId="48A7262A" w14:textId="77777777" w:rsidR="00060524" w:rsidRPr="00801E6C" w:rsidRDefault="00060524">
            <w:pPr>
              <w:spacing w:line="240" w:lineRule="auto"/>
              <w:ind w:left="0"/>
              <w:jc w:val="center"/>
              <w:rPr>
                <w:rFonts w:eastAsia="Arial"/>
                <w:sz w:val="16"/>
                <w:szCs w:val="16"/>
                <w:lang w:val="en-GB"/>
              </w:rPr>
            </w:pPr>
          </w:p>
        </w:tc>
        <w:tc>
          <w:tcPr>
            <w:tcW w:w="864" w:type="dxa"/>
          </w:tcPr>
          <w:p w14:paraId="142FBEDF" w14:textId="77777777" w:rsidR="00060524" w:rsidRPr="00163523" w:rsidRDefault="00060524">
            <w:pPr>
              <w:spacing w:line="240" w:lineRule="auto"/>
              <w:ind w:left="0"/>
              <w:cnfStyle w:val="000000000000" w:firstRow="0" w:lastRow="0" w:firstColumn="0" w:lastColumn="0" w:oddVBand="0" w:evenVBand="0" w:oddHBand="0" w:evenHBand="0" w:firstRowFirstColumn="0" w:firstRowLastColumn="0" w:lastRowFirstColumn="0" w:lastRowLastColumn="0"/>
              <w:rPr>
                <w:rFonts w:eastAsia="Times New Roman"/>
                <w:b/>
                <w:color w:val="000000"/>
                <w:sz w:val="14"/>
                <w:szCs w:val="14"/>
                <w:lang w:val="en-GB" w:eastAsia="en-GB"/>
              </w:rPr>
            </w:pPr>
            <w:r w:rsidRPr="00163523">
              <w:rPr>
                <w:rFonts w:eastAsia="Arial"/>
                <w:sz w:val="14"/>
                <w:szCs w:val="14"/>
                <w:lang w:val="en-GB"/>
              </w:rPr>
              <w:t>REN-M</w:t>
            </w:r>
          </w:p>
        </w:tc>
        <w:tc>
          <w:tcPr>
            <w:tcW w:w="864" w:type="dxa"/>
          </w:tcPr>
          <w:p w14:paraId="06BA2085" w14:textId="77777777" w:rsidR="00060524" w:rsidRPr="00163523" w:rsidRDefault="00060524">
            <w:pPr>
              <w:spacing w:line="240" w:lineRule="auto"/>
              <w:ind w:left="0"/>
              <w:cnfStyle w:val="000000000000" w:firstRow="0" w:lastRow="0" w:firstColumn="0" w:lastColumn="0" w:oddVBand="0" w:evenVBand="0" w:oddHBand="0" w:evenHBand="0" w:firstRowFirstColumn="0" w:firstRowLastColumn="0" w:lastRowFirstColumn="0" w:lastRowLastColumn="0"/>
              <w:rPr>
                <w:rFonts w:eastAsia="Times New Roman"/>
                <w:b/>
                <w:color w:val="000000"/>
                <w:sz w:val="14"/>
                <w:szCs w:val="14"/>
                <w:lang w:val="en-GB" w:eastAsia="en-GB"/>
              </w:rPr>
            </w:pPr>
            <w:r w:rsidRPr="00163523">
              <w:rPr>
                <w:rFonts w:eastAsia="Arial"/>
                <w:sz w:val="14"/>
                <w:szCs w:val="14"/>
                <w:lang w:val="en-GB"/>
              </w:rPr>
              <w:t>REN-H</w:t>
            </w:r>
          </w:p>
        </w:tc>
        <w:tc>
          <w:tcPr>
            <w:tcW w:w="865" w:type="dxa"/>
          </w:tcPr>
          <w:p w14:paraId="2D7E47F0" w14:textId="3DF15201" w:rsidR="00060524" w:rsidRPr="00163523" w:rsidRDefault="00060524">
            <w:pPr>
              <w:spacing w:line="240" w:lineRule="auto"/>
              <w:ind w:left="0"/>
              <w:cnfStyle w:val="000000000000" w:firstRow="0" w:lastRow="0" w:firstColumn="0" w:lastColumn="0" w:oddVBand="0" w:evenVBand="0" w:oddHBand="0" w:evenHBand="0" w:firstRowFirstColumn="0" w:firstRowLastColumn="0" w:lastRowFirstColumn="0" w:lastRowLastColumn="0"/>
              <w:rPr>
                <w:rFonts w:eastAsia="Times New Roman"/>
                <w:b/>
                <w:color w:val="000000"/>
                <w:sz w:val="14"/>
                <w:szCs w:val="14"/>
                <w:lang w:val="en-GB" w:eastAsia="en-GB"/>
              </w:rPr>
            </w:pPr>
            <w:r w:rsidRPr="00163523">
              <w:rPr>
                <w:rFonts w:eastAsia="Arial"/>
                <w:sz w:val="14"/>
                <w:szCs w:val="14"/>
                <w:lang w:val="en-GB"/>
              </w:rPr>
              <w:t>CM</w:t>
            </w:r>
          </w:p>
        </w:tc>
        <w:tc>
          <w:tcPr>
            <w:tcW w:w="1731" w:type="dxa"/>
            <w:vMerge/>
            <w:shd w:val="clear" w:color="auto" w:fill="F9B7AC" w:themeFill="accent2" w:themeFillTint="66"/>
            <w:noWrap/>
          </w:tcPr>
          <w:p w14:paraId="609A8FD0" w14:textId="77777777" w:rsidR="00060524" w:rsidRPr="00163523" w:rsidRDefault="00060524">
            <w:pPr>
              <w:spacing w:line="240" w:lineRule="auto"/>
              <w:ind w:left="0"/>
              <w:cnfStyle w:val="000000000000" w:firstRow="0" w:lastRow="0" w:firstColumn="0" w:lastColumn="0" w:oddVBand="0" w:evenVBand="0" w:oddHBand="0" w:evenHBand="0" w:firstRowFirstColumn="0" w:firstRowLastColumn="0" w:lastRowFirstColumn="0" w:lastRowLastColumn="0"/>
              <w:rPr>
                <w:rFonts w:eastAsia="Times New Roman"/>
                <w:b/>
                <w:color w:val="000000"/>
                <w:sz w:val="16"/>
                <w:szCs w:val="16"/>
                <w:lang w:val="en-GB" w:eastAsia="en-GB"/>
              </w:rPr>
            </w:pPr>
          </w:p>
        </w:tc>
        <w:tc>
          <w:tcPr>
            <w:tcW w:w="1436" w:type="dxa"/>
            <w:vMerge/>
            <w:shd w:val="clear" w:color="auto" w:fill="FFD57B" w:themeFill="accent4" w:themeFillShade="E6"/>
            <w:noWrap/>
          </w:tcPr>
          <w:p w14:paraId="248BFF4C" w14:textId="77777777" w:rsidR="00060524" w:rsidRPr="00163523" w:rsidRDefault="00060524">
            <w:pPr>
              <w:spacing w:line="240" w:lineRule="auto"/>
              <w:ind w:left="0"/>
              <w:cnfStyle w:val="000000000000" w:firstRow="0" w:lastRow="0" w:firstColumn="0" w:lastColumn="0" w:oddVBand="0" w:evenVBand="0" w:oddHBand="0" w:evenHBand="0" w:firstRowFirstColumn="0" w:firstRowLastColumn="0" w:lastRowFirstColumn="0" w:lastRowLastColumn="0"/>
              <w:rPr>
                <w:rFonts w:eastAsia="Arial"/>
                <w:b/>
                <w:sz w:val="16"/>
                <w:szCs w:val="16"/>
                <w:lang w:val="en-GB"/>
              </w:rPr>
            </w:pPr>
          </w:p>
        </w:tc>
      </w:tr>
      <w:tr w:rsidR="00060524" w:rsidRPr="00801E6C" w14:paraId="5BE4AC99" w14:textId="77777777" w:rsidTr="001C1440">
        <w:trPr>
          <w:trHeight w:val="20"/>
        </w:trPr>
        <w:tc>
          <w:tcPr>
            <w:cnfStyle w:val="001000000000" w:firstRow="0" w:lastRow="0" w:firstColumn="1" w:lastColumn="0" w:oddVBand="0" w:evenVBand="0" w:oddHBand="0" w:evenHBand="0" w:firstRowFirstColumn="0" w:firstRowLastColumn="0" w:lastRowFirstColumn="0" w:lastRowLastColumn="0"/>
            <w:tcW w:w="2689" w:type="dxa"/>
            <w:noWrap/>
          </w:tcPr>
          <w:p w14:paraId="5745AEAF" w14:textId="244AFF96" w:rsidR="00060524" w:rsidRPr="00801E6C" w:rsidRDefault="00DC4DE9">
            <w:pPr>
              <w:spacing w:line="240" w:lineRule="auto"/>
              <w:ind w:left="0"/>
              <w:jc w:val="center"/>
              <w:rPr>
                <w:rFonts w:eastAsia="Times New Roman"/>
                <w:color w:val="000000"/>
                <w:sz w:val="16"/>
                <w:szCs w:val="16"/>
                <w:lang w:val="en-GB" w:eastAsia="en-GB"/>
              </w:rPr>
            </w:pPr>
            <w:r>
              <w:rPr>
                <w:rFonts w:eastAsia="Times New Roman"/>
                <w:color w:val="000000"/>
                <w:sz w:val="16"/>
                <w:szCs w:val="16"/>
                <w:lang w:val="en-GB" w:eastAsia="en-GB"/>
              </w:rPr>
              <w:t xml:space="preserve">Public opposition due to </w:t>
            </w:r>
            <w:r w:rsidR="00E57E69">
              <w:rPr>
                <w:rFonts w:eastAsia="Times New Roman"/>
                <w:color w:val="000000"/>
                <w:sz w:val="16"/>
                <w:szCs w:val="16"/>
                <w:lang w:val="en-GB" w:eastAsia="en-GB"/>
              </w:rPr>
              <w:t xml:space="preserve">perceived </w:t>
            </w:r>
            <w:r w:rsidR="001D09E3">
              <w:rPr>
                <w:rFonts w:eastAsia="Times New Roman"/>
                <w:color w:val="000000"/>
                <w:sz w:val="16"/>
                <w:szCs w:val="16"/>
                <w:lang w:val="en-GB" w:eastAsia="en-GB"/>
              </w:rPr>
              <w:t>a</w:t>
            </w:r>
            <w:r w:rsidR="00060524" w:rsidRPr="00801E6C">
              <w:rPr>
                <w:rFonts w:eastAsia="Times New Roman"/>
                <w:color w:val="000000"/>
                <w:sz w:val="16"/>
                <w:szCs w:val="16"/>
                <w:lang w:val="en-GB" w:eastAsia="en-GB"/>
              </w:rPr>
              <w:t>dverse environmental and climate impacts</w:t>
            </w:r>
          </w:p>
        </w:tc>
        <w:tc>
          <w:tcPr>
            <w:tcW w:w="864" w:type="dxa"/>
          </w:tcPr>
          <w:p w14:paraId="11B8F1BD" w14:textId="77777777" w:rsidR="00060524" w:rsidRPr="00163523" w:rsidRDefault="00060524">
            <w:pPr>
              <w:spacing w:line="240" w:lineRule="auto"/>
              <w:ind w:left="0"/>
              <w:cnfStyle w:val="000000000000" w:firstRow="0" w:lastRow="0" w:firstColumn="0" w:lastColumn="0" w:oddVBand="0" w:evenVBand="0" w:oddHBand="0" w:evenHBand="0" w:firstRowFirstColumn="0" w:firstRowLastColumn="0" w:lastRowFirstColumn="0" w:lastRowLastColumn="0"/>
              <w:rPr>
                <w:rFonts w:eastAsia="Times New Roman"/>
                <w:b/>
                <w:color w:val="000000"/>
                <w:sz w:val="16"/>
                <w:szCs w:val="16"/>
                <w:lang w:val="en-GB" w:eastAsia="en-GB"/>
              </w:rPr>
            </w:pPr>
            <w:r w:rsidRPr="00163523">
              <w:rPr>
                <w:rFonts w:ascii="Wingdings" w:eastAsia="Wingdings" w:hAnsi="Wingdings" w:cs="Wingdings"/>
                <w:b/>
                <w:color w:val="000000"/>
                <w:sz w:val="16"/>
                <w:szCs w:val="16"/>
                <w:lang w:val="en-GB" w:eastAsia="en-GB"/>
              </w:rPr>
              <w:t>üü</w:t>
            </w:r>
          </w:p>
        </w:tc>
        <w:tc>
          <w:tcPr>
            <w:tcW w:w="864" w:type="dxa"/>
          </w:tcPr>
          <w:p w14:paraId="7F1E9BC0" w14:textId="7D292B65" w:rsidR="00060524" w:rsidRPr="00163523" w:rsidRDefault="001C1440">
            <w:pPr>
              <w:spacing w:line="240" w:lineRule="auto"/>
              <w:ind w:left="0"/>
              <w:cnfStyle w:val="000000000000" w:firstRow="0" w:lastRow="0" w:firstColumn="0" w:lastColumn="0" w:oddVBand="0" w:evenVBand="0" w:oddHBand="0" w:evenHBand="0" w:firstRowFirstColumn="0" w:firstRowLastColumn="0" w:lastRowFirstColumn="0" w:lastRowLastColumn="0"/>
              <w:rPr>
                <w:rFonts w:eastAsia="Times New Roman"/>
                <w:b/>
                <w:color w:val="000000"/>
                <w:sz w:val="16"/>
                <w:szCs w:val="16"/>
                <w:lang w:val="en-GB" w:eastAsia="en-GB"/>
              </w:rPr>
            </w:pPr>
            <w:r w:rsidRPr="00163523">
              <w:rPr>
                <w:rFonts w:ascii="Wingdings" w:eastAsia="Wingdings" w:hAnsi="Wingdings" w:cs="Wingdings"/>
                <w:b/>
                <w:color w:val="000000"/>
                <w:sz w:val="16"/>
                <w:szCs w:val="16"/>
                <w:lang w:val="en-GB" w:eastAsia="en-GB"/>
              </w:rPr>
              <w:t>ü</w:t>
            </w:r>
            <w:r w:rsidR="0096400C" w:rsidRPr="00163523">
              <w:rPr>
                <w:rFonts w:ascii="Wingdings" w:eastAsia="Wingdings" w:hAnsi="Wingdings" w:cs="Wingdings"/>
                <w:b/>
                <w:color w:val="000000"/>
                <w:sz w:val="16"/>
                <w:szCs w:val="16"/>
                <w:lang w:val="en-GB" w:eastAsia="en-GB"/>
              </w:rPr>
              <w:t>ü</w:t>
            </w:r>
          </w:p>
        </w:tc>
        <w:tc>
          <w:tcPr>
            <w:tcW w:w="865" w:type="dxa"/>
          </w:tcPr>
          <w:p w14:paraId="544A0883" w14:textId="3259A434" w:rsidR="00060524" w:rsidRPr="00163523" w:rsidRDefault="00060524">
            <w:pPr>
              <w:spacing w:line="240" w:lineRule="auto"/>
              <w:ind w:left="0"/>
              <w:cnfStyle w:val="000000000000" w:firstRow="0" w:lastRow="0" w:firstColumn="0" w:lastColumn="0" w:oddVBand="0" w:evenVBand="0" w:oddHBand="0" w:evenHBand="0" w:firstRowFirstColumn="0" w:firstRowLastColumn="0" w:lastRowFirstColumn="0" w:lastRowLastColumn="0"/>
              <w:rPr>
                <w:rFonts w:eastAsia="Times New Roman"/>
                <w:b/>
                <w:color w:val="000000"/>
                <w:sz w:val="16"/>
                <w:szCs w:val="16"/>
                <w:lang w:val="en-GB" w:eastAsia="en-GB"/>
              </w:rPr>
            </w:pPr>
            <w:r w:rsidRPr="00163523">
              <w:rPr>
                <w:rFonts w:ascii="Wingdings" w:eastAsia="Wingdings" w:hAnsi="Wingdings" w:cs="Wingdings"/>
                <w:b/>
                <w:color w:val="000000"/>
                <w:sz w:val="16"/>
                <w:szCs w:val="16"/>
                <w:lang w:val="en-GB" w:eastAsia="en-GB"/>
              </w:rPr>
              <w:t>ü</w:t>
            </w:r>
            <w:r w:rsidR="00E25319" w:rsidRPr="00163523">
              <w:rPr>
                <w:rFonts w:ascii="Wingdings" w:eastAsia="Wingdings" w:hAnsi="Wingdings" w:cs="Wingdings"/>
                <w:b/>
                <w:color w:val="000000"/>
                <w:sz w:val="16"/>
                <w:szCs w:val="16"/>
                <w:lang w:val="en-GB" w:eastAsia="en-GB"/>
              </w:rPr>
              <w:t>ü</w:t>
            </w:r>
          </w:p>
        </w:tc>
        <w:tc>
          <w:tcPr>
            <w:tcW w:w="1731" w:type="dxa"/>
            <w:shd w:val="clear" w:color="auto" w:fill="F9B7AC" w:themeFill="accent2" w:themeFillTint="66"/>
            <w:noWrap/>
          </w:tcPr>
          <w:p w14:paraId="37357BDB" w14:textId="7BD5B3B3" w:rsidR="00060524" w:rsidRPr="00163523" w:rsidRDefault="00E80EED">
            <w:pPr>
              <w:spacing w:line="240" w:lineRule="auto"/>
              <w:ind w:left="0"/>
              <w:cnfStyle w:val="000000000000" w:firstRow="0" w:lastRow="0" w:firstColumn="0" w:lastColumn="0" w:oddVBand="0" w:evenVBand="0" w:oddHBand="0" w:evenHBand="0" w:firstRowFirstColumn="0" w:firstRowLastColumn="0" w:lastRowFirstColumn="0" w:lastRowLastColumn="0"/>
              <w:rPr>
                <w:rFonts w:eastAsia="Times New Roman"/>
                <w:b/>
                <w:color w:val="000000"/>
                <w:sz w:val="16"/>
                <w:szCs w:val="16"/>
                <w:lang w:val="en-GB" w:eastAsia="en-GB"/>
              </w:rPr>
            </w:pPr>
            <w:r w:rsidRPr="00163523">
              <w:rPr>
                <w:rFonts w:eastAsia="Times New Roman"/>
                <w:b/>
                <w:color w:val="000000"/>
                <w:sz w:val="16"/>
                <w:szCs w:val="16"/>
                <w:lang w:val="en-GB" w:eastAsia="en-GB"/>
              </w:rPr>
              <w:t>High</w:t>
            </w:r>
          </w:p>
        </w:tc>
        <w:tc>
          <w:tcPr>
            <w:tcW w:w="1436" w:type="dxa"/>
            <w:shd w:val="clear" w:color="auto" w:fill="E0EBEB" w:themeFill="accent3" w:themeFillTint="66"/>
            <w:noWrap/>
          </w:tcPr>
          <w:p w14:paraId="19DD5A7A" w14:textId="32D03561" w:rsidR="00060524" w:rsidRPr="00163523" w:rsidRDefault="00A17720">
            <w:pPr>
              <w:spacing w:line="240" w:lineRule="auto"/>
              <w:ind w:left="0"/>
              <w:cnfStyle w:val="000000000000" w:firstRow="0" w:lastRow="0" w:firstColumn="0" w:lastColumn="0" w:oddVBand="0" w:evenVBand="0" w:oddHBand="0" w:evenHBand="0" w:firstRowFirstColumn="0" w:firstRowLastColumn="0" w:lastRowFirstColumn="0" w:lastRowLastColumn="0"/>
              <w:rPr>
                <w:rFonts w:eastAsia="Times New Roman"/>
                <w:b/>
                <w:i/>
                <w:color w:val="000000"/>
                <w:sz w:val="16"/>
                <w:szCs w:val="16"/>
                <w:lang w:val="en-GB" w:eastAsia="en-GB"/>
              </w:rPr>
            </w:pPr>
            <w:r w:rsidRPr="00163523">
              <w:rPr>
                <w:rFonts w:eastAsia="Arial"/>
                <w:b/>
                <w:sz w:val="16"/>
                <w:szCs w:val="16"/>
                <w:lang w:val="en-GB"/>
              </w:rPr>
              <w:t>Low</w:t>
            </w:r>
          </w:p>
        </w:tc>
      </w:tr>
    </w:tbl>
    <w:p w14:paraId="6EBE3ED9" w14:textId="77777777" w:rsidR="00060524" w:rsidRPr="00163523" w:rsidRDefault="00060524" w:rsidP="00060524">
      <w:pPr>
        <w:rPr>
          <w:lang w:val="en-GB"/>
        </w:rPr>
      </w:pPr>
    </w:p>
    <w:p w14:paraId="4E3B266E" w14:textId="77777777" w:rsidR="00F63E15" w:rsidRPr="00163523" w:rsidRDefault="00F63E15" w:rsidP="00F63E15">
      <w:pPr>
        <w:pStyle w:val="Kop4"/>
        <w:rPr>
          <w:lang w:val="en-GB"/>
        </w:rPr>
      </w:pPr>
      <w:r>
        <w:rPr>
          <w:lang w:val="en-GB"/>
        </w:rPr>
        <w:t xml:space="preserve">Potential </w:t>
      </w:r>
      <w:r w:rsidRPr="00163523">
        <w:rPr>
          <w:lang w:val="en-GB"/>
        </w:rPr>
        <w:t>mitigation measures</w:t>
      </w:r>
    </w:p>
    <w:p w14:paraId="762EAD5A" w14:textId="777A7E8E" w:rsidR="00B168E7" w:rsidRDefault="005869A8" w:rsidP="005869A8">
      <w:pPr>
        <w:rPr>
          <w:lang w:val="en-GB"/>
        </w:rPr>
      </w:pPr>
      <w:r>
        <w:rPr>
          <w:lang w:val="en-GB"/>
        </w:rPr>
        <w:t>Early and inclusive</w:t>
      </w:r>
      <w:r w:rsidRPr="005869A8">
        <w:rPr>
          <w:lang w:val="en-GB"/>
        </w:rPr>
        <w:t xml:space="preserve"> spatial </w:t>
      </w:r>
      <w:r>
        <w:rPr>
          <w:lang w:val="en-GB"/>
        </w:rPr>
        <w:t xml:space="preserve">and energy </w:t>
      </w:r>
      <w:r w:rsidRPr="005869A8">
        <w:rPr>
          <w:lang w:val="en-GB"/>
        </w:rPr>
        <w:t xml:space="preserve">planning </w:t>
      </w:r>
      <w:r>
        <w:rPr>
          <w:lang w:val="en-GB"/>
        </w:rPr>
        <w:t>as well</w:t>
      </w:r>
      <w:r w:rsidRPr="005869A8">
        <w:rPr>
          <w:lang w:val="en-GB"/>
        </w:rPr>
        <w:t xml:space="preserve"> </w:t>
      </w:r>
      <w:r w:rsidR="004D2917">
        <w:rPr>
          <w:lang w:val="en-GB"/>
        </w:rPr>
        <w:t xml:space="preserve">as adequate </w:t>
      </w:r>
      <w:r w:rsidRPr="005869A8">
        <w:rPr>
          <w:lang w:val="en-GB"/>
        </w:rPr>
        <w:t>p</w:t>
      </w:r>
      <w:r>
        <w:rPr>
          <w:lang w:val="en-GB"/>
        </w:rPr>
        <w:t>roject permitting consultation</w:t>
      </w:r>
      <w:r w:rsidR="004D2917">
        <w:rPr>
          <w:lang w:val="en-GB"/>
        </w:rPr>
        <w:t xml:space="preserve"> processes </w:t>
      </w:r>
      <w:r w:rsidR="001D6881">
        <w:rPr>
          <w:lang w:val="en-GB"/>
        </w:rPr>
        <w:t>form the cornerstone of initiatives to i</w:t>
      </w:r>
      <w:r w:rsidR="00E736A8">
        <w:rPr>
          <w:lang w:val="en-GB"/>
        </w:rPr>
        <w:t>mprove</w:t>
      </w:r>
      <w:r w:rsidR="001D6881">
        <w:rPr>
          <w:lang w:val="en-GB"/>
        </w:rPr>
        <w:t xml:space="preserve"> public acceptance of </w:t>
      </w:r>
      <w:r w:rsidR="00F80009">
        <w:rPr>
          <w:lang w:val="en-GB"/>
        </w:rPr>
        <w:t>energy</w:t>
      </w:r>
      <w:r w:rsidR="00631638">
        <w:rPr>
          <w:lang w:val="en-GB"/>
        </w:rPr>
        <w:t xml:space="preserve"> infrastructure</w:t>
      </w:r>
      <w:r w:rsidR="00F80009">
        <w:rPr>
          <w:lang w:val="en-GB"/>
        </w:rPr>
        <w:t xml:space="preserve">, and particularly renewable gas projects. </w:t>
      </w:r>
      <w:r w:rsidR="00F17362">
        <w:rPr>
          <w:lang w:val="en-GB"/>
        </w:rPr>
        <w:t>T</w:t>
      </w:r>
      <w:r w:rsidR="00F80009">
        <w:rPr>
          <w:lang w:val="en-GB"/>
        </w:rPr>
        <w:t>he following specific measures c</w:t>
      </w:r>
      <w:r w:rsidR="00EB287C">
        <w:rPr>
          <w:lang w:val="en-GB"/>
        </w:rPr>
        <w:t xml:space="preserve">an </w:t>
      </w:r>
      <w:r w:rsidR="00F80009">
        <w:rPr>
          <w:lang w:val="en-GB"/>
        </w:rPr>
        <w:t>be considered:</w:t>
      </w:r>
    </w:p>
    <w:p w14:paraId="4640DCFB" w14:textId="3D241C1A" w:rsidR="00F80009" w:rsidRDefault="00D350A3" w:rsidP="00F80009">
      <w:pPr>
        <w:pStyle w:val="Lijstalinea"/>
      </w:pPr>
      <w:r>
        <w:t>Assess</w:t>
      </w:r>
      <w:r w:rsidR="00F17362">
        <w:t xml:space="preserve"> and </w:t>
      </w:r>
      <w:r>
        <w:t>revise</w:t>
      </w:r>
      <w:r w:rsidR="00F17362">
        <w:t xml:space="preserve"> </w:t>
      </w:r>
      <w:r w:rsidR="00646063">
        <w:t xml:space="preserve">where appropriate </w:t>
      </w:r>
      <w:r w:rsidR="00E06E15">
        <w:t xml:space="preserve">the </w:t>
      </w:r>
      <w:r w:rsidR="00F17362">
        <w:t>public consultation requirements</w:t>
      </w:r>
      <w:r w:rsidR="00023729">
        <w:t xml:space="preserve"> </w:t>
      </w:r>
      <w:r w:rsidR="00591F0F">
        <w:t xml:space="preserve">and processes </w:t>
      </w:r>
      <w:r w:rsidR="00AB5E46">
        <w:t xml:space="preserve">(including information exchange) </w:t>
      </w:r>
      <w:r w:rsidR="00023729">
        <w:t xml:space="preserve">for renewable energy </w:t>
      </w:r>
      <w:r w:rsidR="005B2399">
        <w:t xml:space="preserve">projects </w:t>
      </w:r>
      <w:r w:rsidR="00646063">
        <w:t xml:space="preserve">and related </w:t>
      </w:r>
      <w:r w:rsidR="00631638">
        <w:t xml:space="preserve">grid </w:t>
      </w:r>
      <w:r w:rsidR="005B2399">
        <w:t xml:space="preserve">connection </w:t>
      </w:r>
      <w:r w:rsidR="009413B0">
        <w:t xml:space="preserve">and </w:t>
      </w:r>
      <w:r w:rsidR="005B2399">
        <w:t>transport</w:t>
      </w:r>
      <w:r w:rsidR="00023729">
        <w:t xml:space="preserve"> infrastructure</w:t>
      </w:r>
      <w:r w:rsidR="009A402A">
        <w:t>;</w:t>
      </w:r>
    </w:p>
    <w:p w14:paraId="66A136EE" w14:textId="2202AFA5" w:rsidR="005B2399" w:rsidRDefault="009213E6" w:rsidP="00F80009">
      <w:pPr>
        <w:pStyle w:val="Lijstalinea"/>
      </w:pPr>
      <w:r>
        <w:t xml:space="preserve">Ensure an enabling legal framework for setting up </w:t>
      </w:r>
      <w:r w:rsidR="00044B6A">
        <w:t xml:space="preserve">local </w:t>
      </w:r>
      <w:r w:rsidR="00E77E2C">
        <w:t xml:space="preserve">or renewable </w:t>
      </w:r>
      <w:r w:rsidR="00044B6A">
        <w:t xml:space="preserve">energy communities and </w:t>
      </w:r>
      <w:r w:rsidR="002220A6">
        <w:t xml:space="preserve">promote </w:t>
      </w:r>
      <w:r w:rsidR="00A91ADA">
        <w:t xml:space="preserve">the </w:t>
      </w:r>
      <w:r w:rsidR="00904778">
        <w:t xml:space="preserve">participation of citizens in </w:t>
      </w:r>
      <w:r w:rsidR="00A4627F">
        <w:t xml:space="preserve">local energy projects. </w:t>
      </w:r>
      <w:r w:rsidR="00A2493B">
        <w:t xml:space="preserve">Such </w:t>
      </w:r>
      <w:r w:rsidR="00BF65A0">
        <w:t xml:space="preserve">cooperative financing </w:t>
      </w:r>
      <w:r w:rsidR="00A2493B">
        <w:t xml:space="preserve">schemes that </w:t>
      </w:r>
      <w:r w:rsidR="00EA351E">
        <w:t xml:space="preserve">allow </w:t>
      </w:r>
      <w:r w:rsidR="002C4149">
        <w:t xml:space="preserve">benefit sharing of energy projects </w:t>
      </w:r>
      <w:r w:rsidR="00831A03">
        <w:t xml:space="preserve">will </w:t>
      </w:r>
      <w:r w:rsidR="00BF65A0">
        <w:t xml:space="preserve">also </w:t>
      </w:r>
      <w:r w:rsidR="008525D1">
        <w:t>enhance public acceptance</w:t>
      </w:r>
      <w:r w:rsidR="009A402A">
        <w:t>;</w:t>
      </w:r>
    </w:p>
    <w:p w14:paraId="0164885D" w14:textId="5B0F5EEC" w:rsidR="00023729" w:rsidRPr="00557B80" w:rsidRDefault="002C4149" w:rsidP="00F80009">
      <w:pPr>
        <w:pStyle w:val="Lijstalinea"/>
      </w:pPr>
      <w:r w:rsidRPr="00861C13">
        <w:t>A</w:t>
      </w:r>
      <w:r w:rsidR="008B5CA2" w:rsidRPr="00861C13">
        <w:t xml:space="preserve">nticipate </w:t>
      </w:r>
      <w:r w:rsidR="005E41F5" w:rsidRPr="00861C13">
        <w:t xml:space="preserve">and reduce </w:t>
      </w:r>
      <w:r w:rsidR="008B5CA2" w:rsidRPr="00861C13">
        <w:t xml:space="preserve">potential </w:t>
      </w:r>
      <w:r w:rsidR="00162CB8" w:rsidRPr="00861C13">
        <w:t xml:space="preserve">local opposition </w:t>
      </w:r>
      <w:r w:rsidR="003E5BE3" w:rsidRPr="00861C13">
        <w:t xml:space="preserve">based on </w:t>
      </w:r>
      <w:r w:rsidR="00040CAB" w:rsidRPr="00861C13">
        <w:t xml:space="preserve">potential negative </w:t>
      </w:r>
      <w:r w:rsidR="003E5BE3" w:rsidRPr="00861C13">
        <w:t>envi</w:t>
      </w:r>
      <w:r w:rsidR="0032679E" w:rsidRPr="00861C13">
        <w:t xml:space="preserve">ronmental impacts by </w:t>
      </w:r>
      <w:r w:rsidR="00040CAB" w:rsidRPr="00861C13">
        <w:t>d</w:t>
      </w:r>
      <w:r w:rsidR="005003CA" w:rsidRPr="00861C13">
        <w:t xml:space="preserve">esigning </w:t>
      </w:r>
      <w:r w:rsidR="00040CAB" w:rsidRPr="00861C13">
        <w:t xml:space="preserve">and implementing </w:t>
      </w:r>
      <w:r w:rsidR="005003CA" w:rsidRPr="00861C13">
        <w:t xml:space="preserve">the project </w:t>
      </w:r>
      <w:r w:rsidR="00040CAB" w:rsidRPr="00861C13">
        <w:t>i</w:t>
      </w:r>
      <w:r w:rsidR="00D726D1">
        <w:t>n</w:t>
      </w:r>
      <w:r w:rsidR="00040CAB" w:rsidRPr="00861C13">
        <w:t xml:space="preserve"> such a way that </w:t>
      </w:r>
      <w:r w:rsidR="00AF60C7" w:rsidRPr="00861C13">
        <w:t>local concerns are properly taken into account.</w:t>
      </w:r>
    </w:p>
    <w:p w14:paraId="780ED005" w14:textId="77777777" w:rsidR="00F63E15" w:rsidRDefault="00F63E15" w:rsidP="000C0A9C">
      <w:pPr>
        <w:rPr>
          <w:lang w:val="en-GB"/>
        </w:rPr>
      </w:pPr>
    </w:p>
    <w:p w14:paraId="0EDBD953" w14:textId="6D9BFA2C" w:rsidR="00F63E15" w:rsidRDefault="00F63E15" w:rsidP="00F63E15">
      <w:pPr>
        <w:pStyle w:val="Kop2"/>
      </w:pPr>
      <w:bookmarkStart w:id="77" w:name="_Ref137116859"/>
      <w:bookmarkStart w:id="78" w:name="_Toc138492613"/>
      <w:bookmarkStart w:id="79" w:name="_Hlk138344505"/>
      <w:bookmarkStart w:id="80" w:name="_Toc144803020"/>
      <w:r>
        <w:t xml:space="preserve">Risk </w:t>
      </w:r>
      <w:r w:rsidR="005303B6">
        <w:t>1</w:t>
      </w:r>
      <w:r w:rsidR="00E00BD4">
        <w:t>4</w:t>
      </w:r>
      <w:r>
        <w:t xml:space="preserve">: </w:t>
      </w:r>
      <w:r w:rsidR="005303B6" w:rsidRPr="005303B6">
        <w:t>Key gas decarbonisation technologies may not reach sufficient cost or performance improvements</w:t>
      </w:r>
      <w:bookmarkEnd w:id="77"/>
      <w:bookmarkEnd w:id="78"/>
      <w:bookmarkEnd w:id="80"/>
    </w:p>
    <w:p w14:paraId="0E0ED864" w14:textId="04F5E387" w:rsidR="00F63E15" w:rsidRPr="00163523" w:rsidRDefault="00F63E15" w:rsidP="00F63E15">
      <w:pPr>
        <w:pStyle w:val="Kop4"/>
        <w:rPr>
          <w:lang w:val="en-GB"/>
        </w:rPr>
      </w:pPr>
      <w:r>
        <w:rPr>
          <w:lang w:val="en-GB"/>
        </w:rPr>
        <w:t>D</w:t>
      </w:r>
      <w:r w:rsidRPr="00163523">
        <w:rPr>
          <w:lang w:val="en-GB"/>
        </w:rPr>
        <w:t xml:space="preserve">escription of the risk, </w:t>
      </w:r>
      <w:r w:rsidR="00803ADE" w:rsidRPr="00163523">
        <w:rPr>
          <w:lang w:val="en-GB"/>
        </w:rPr>
        <w:t>covering the Baltic Regional Gas Market</w:t>
      </w:r>
    </w:p>
    <w:p w14:paraId="7FBD274B" w14:textId="1490F6D1" w:rsidR="006E163D" w:rsidRPr="00163523" w:rsidRDefault="00FA568B" w:rsidP="006E163D">
      <w:pPr>
        <w:rPr>
          <w:lang w:val="en-GB"/>
        </w:rPr>
      </w:pPr>
      <w:r w:rsidRPr="00163523">
        <w:rPr>
          <w:lang w:val="en-GB"/>
        </w:rPr>
        <w:t xml:space="preserve">The capacity to </w:t>
      </w:r>
      <w:r w:rsidR="00380439" w:rsidRPr="00163523">
        <w:rPr>
          <w:lang w:val="en-GB"/>
        </w:rPr>
        <w:t xml:space="preserve">reach </w:t>
      </w:r>
      <w:r w:rsidRPr="00163523">
        <w:rPr>
          <w:lang w:val="en-GB"/>
        </w:rPr>
        <w:t>full decarbonization</w:t>
      </w:r>
      <w:r w:rsidR="00890536" w:rsidRPr="00163523">
        <w:rPr>
          <w:lang w:val="en-GB"/>
        </w:rPr>
        <w:t xml:space="preserve"> of the gas sector and the pace at which it is reached</w:t>
      </w:r>
      <w:r w:rsidRPr="00163523">
        <w:rPr>
          <w:lang w:val="en-GB"/>
        </w:rPr>
        <w:t xml:space="preserve"> will </w:t>
      </w:r>
      <w:r w:rsidR="00380439" w:rsidRPr="00163523">
        <w:rPr>
          <w:lang w:val="en-GB"/>
        </w:rPr>
        <w:t>highly</w:t>
      </w:r>
      <w:r w:rsidR="00890536" w:rsidRPr="00163523">
        <w:rPr>
          <w:lang w:val="en-GB"/>
        </w:rPr>
        <w:t xml:space="preserve"> depend on the </w:t>
      </w:r>
      <w:r w:rsidR="003B636A" w:rsidRPr="00163523">
        <w:rPr>
          <w:lang w:val="en-GB"/>
        </w:rPr>
        <w:t xml:space="preserve">competitiveness of key gas decarbonization technologies compared to fossil fuel-based technologies, </w:t>
      </w:r>
      <w:r w:rsidR="009817CA" w:rsidRPr="00163523">
        <w:rPr>
          <w:lang w:val="en-GB"/>
        </w:rPr>
        <w:t>which is related to</w:t>
      </w:r>
      <w:r w:rsidR="00103956" w:rsidRPr="00163523">
        <w:rPr>
          <w:lang w:val="en-GB"/>
        </w:rPr>
        <w:t xml:space="preserve"> their</w:t>
      </w:r>
      <w:r w:rsidR="00ED0414" w:rsidRPr="00163523">
        <w:rPr>
          <w:lang w:val="en-GB"/>
        </w:rPr>
        <w:t xml:space="preserve"> </w:t>
      </w:r>
      <w:r w:rsidR="00103956" w:rsidRPr="00163523">
        <w:rPr>
          <w:lang w:val="en-GB"/>
        </w:rPr>
        <w:t xml:space="preserve">cost and </w:t>
      </w:r>
      <w:r w:rsidR="00ED0414" w:rsidRPr="00163523">
        <w:rPr>
          <w:lang w:val="en-GB"/>
        </w:rPr>
        <w:t xml:space="preserve">technical </w:t>
      </w:r>
      <w:r w:rsidR="00103956" w:rsidRPr="00163523">
        <w:rPr>
          <w:lang w:val="en-GB"/>
        </w:rPr>
        <w:t>performance</w:t>
      </w:r>
      <w:r w:rsidR="009817CA" w:rsidRPr="00163523">
        <w:rPr>
          <w:lang w:val="en-GB"/>
        </w:rPr>
        <w:t>, as well as to ext</w:t>
      </w:r>
      <w:r w:rsidR="00122E81" w:rsidRPr="00163523">
        <w:rPr>
          <w:lang w:val="en-GB"/>
        </w:rPr>
        <w:t>ernal (e.g. market price) and policy factors (e.g. carbon pri</w:t>
      </w:r>
      <w:r w:rsidR="00F51621" w:rsidRPr="00163523">
        <w:rPr>
          <w:lang w:val="en-GB"/>
        </w:rPr>
        <w:t>c</w:t>
      </w:r>
      <w:r w:rsidR="00122E81" w:rsidRPr="00163523">
        <w:rPr>
          <w:lang w:val="en-GB"/>
        </w:rPr>
        <w:t>ing)</w:t>
      </w:r>
      <w:r w:rsidR="00103956" w:rsidRPr="00163523">
        <w:rPr>
          <w:lang w:val="en-GB"/>
        </w:rPr>
        <w:t xml:space="preserve">. </w:t>
      </w:r>
    </w:p>
    <w:p w14:paraId="29F09E8E" w14:textId="77777777" w:rsidR="0022407C" w:rsidRPr="00163523" w:rsidRDefault="0022407C" w:rsidP="006E163D">
      <w:pPr>
        <w:rPr>
          <w:lang w:val="en-GB"/>
        </w:rPr>
      </w:pPr>
    </w:p>
    <w:p w14:paraId="135A975B" w14:textId="45CFA095" w:rsidR="006E163D" w:rsidRPr="00163523" w:rsidRDefault="009D3E7B" w:rsidP="006E163D">
      <w:pPr>
        <w:rPr>
          <w:lang w:val="en-GB"/>
        </w:rPr>
      </w:pPr>
      <w:r w:rsidRPr="00163523">
        <w:rPr>
          <w:lang w:val="en-GB"/>
        </w:rPr>
        <w:t>An overview of cost</w:t>
      </w:r>
      <w:r w:rsidR="00951DEF" w:rsidRPr="00163523">
        <w:rPr>
          <w:lang w:val="en-GB"/>
        </w:rPr>
        <w:t xml:space="preserve"> and</w:t>
      </w:r>
      <w:r w:rsidR="001B685D" w:rsidRPr="00163523">
        <w:rPr>
          <w:lang w:val="en-GB"/>
        </w:rPr>
        <w:t xml:space="preserve"> technology maturity </w:t>
      </w:r>
      <w:r w:rsidRPr="00163523">
        <w:rPr>
          <w:lang w:val="en-GB"/>
        </w:rPr>
        <w:t xml:space="preserve">considerations as well as other critical issues to consider </w:t>
      </w:r>
      <w:r w:rsidR="0019000D" w:rsidRPr="00163523">
        <w:rPr>
          <w:lang w:val="en-GB"/>
        </w:rPr>
        <w:t>is</w:t>
      </w:r>
      <w:r w:rsidR="001B685D" w:rsidRPr="00163523">
        <w:rPr>
          <w:lang w:val="en-GB"/>
        </w:rPr>
        <w:t xml:space="preserve"> presented in </w:t>
      </w:r>
      <w:r w:rsidR="00FB24A1" w:rsidRPr="00163523">
        <w:rPr>
          <w:lang w:val="en-GB"/>
        </w:rPr>
        <w:fldChar w:fldCharType="begin"/>
      </w:r>
      <w:r w:rsidR="00FB24A1" w:rsidRPr="00163523">
        <w:rPr>
          <w:lang w:val="en-GB"/>
        </w:rPr>
        <w:instrText xml:space="preserve"> REF _Ref137719266 \h </w:instrText>
      </w:r>
      <w:r w:rsidR="00FB24A1" w:rsidRPr="00163523">
        <w:rPr>
          <w:lang w:val="en-GB"/>
        </w:rPr>
      </w:r>
      <w:r w:rsidR="00FB24A1" w:rsidRPr="00163523">
        <w:rPr>
          <w:lang w:val="en-GB"/>
        </w:rPr>
        <w:fldChar w:fldCharType="separate"/>
      </w:r>
      <w:r w:rsidR="00FB24A1" w:rsidRPr="00163523">
        <w:rPr>
          <w:lang w:val="en-GB"/>
        </w:rPr>
        <w:t>Table 3</w:t>
      </w:r>
      <w:r w:rsidR="00FB24A1" w:rsidRPr="00163523">
        <w:rPr>
          <w:lang w:val="en-GB"/>
        </w:rPr>
        <w:noBreakHyphen/>
        <w:t>1</w:t>
      </w:r>
      <w:r w:rsidR="00FB24A1" w:rsidRPr="00163523">
        <w:rPr>
          <w:lang w:val="en-GB"/>
        </w:rPr>
        <w:fldChar w:fldCharType="end"/>
      </w:r>
      <w:r w:rsidRPr="00163523">
        <w:rPr>
          <w:lang w:val="en-GB"/>
        </w:rPr>
        <w:t xml:space="preserve"> for key decarbonization technologies</w:t>
      </w:r>
      <w:r w:rsidR="001B685D" w:rsidRPr="00163523">
        <w:rPr>
          <w:lang w:val="en-GB"/>
        </w:rPr>
        <w:t xml:space="preserve">. </w:t>
      </w:r>
      <w:r w:rsidR="008206F4" w:rsidRPr="00163523">
        <w:rPr>
          <w:lang w:val="en-GB"/>
        </w:rPr>
        <w:t>Th</w:t>
      </w:r>
      <w:r w:rsidR="001A317A" w:rsidRPr="00163523">
        <w:rPr>
          <w:lang w:val="en-GB"/>
        </w:rPr>
        <w:t>is table summarizes information from several sources</w:t>
      </w:r>
      <w:r w:rsidR="00AB0446" w:rsidRPr="00163523">
        <w:rPr>
          <w:lang w:val="en-GB"/>
        </w:rPr>
        <w:t>, including</w:t>
      </w:r>
      <w:r w:rsidR="00F15935" w:rsidRPr="00163523">
        <w:rPr>
          <w:lang w:val="en-GB"/>
        </w:rPr>
        <w:t xml:space="preserve"> </w:t>
      </w:r>
      <w:r w:rsidR="00BA2DF8" w:rsidRPr="00163523">
        <w:rPr>
          <w:lang w:val="en-GB"/>
        </w:rPr>
        <w:t xml:space="preserve">previous Deliverables </w:t>
      </w:r>
      <w:r w:rsidR="005654C1" w:rsidRPr="00163523">
        <w:rPr>
          <w:lang w:val="en-GB"/>
        </w:rPr>
        <w:t>of</w:t>
      </w:r>
      <w:r w:rsidR="00BA2DF8" w:rsidRPr="00163523">
        <w:rPr>
          <w:lang w:val="en-GB"/>
        </w:rPr>
        <w:t xml:space="preserve"> this project</w:t>
      </w:r>
      <w:r w:rsidR="005654C1" w:rsidRPr="00163523">
        <w:rPr>
          <w:lang w:val="en-GB"/>
        </w:rPr>
        <w:t xml:space="preserve"> and</w:t>
      </w:r>
      <w:r w:rsidR="00BA2DF8" w:rsidRPr="00163523">
        <w:rPr>
          <w:lang w:val="en-GB"/>
        </w:rPr>
        <w:t xml:space="preserve"> the</w:t>
      </w:r>
      <w:r w:rsidR="008206F4" w:rsidRPr="00163523">
        <w:rPr>
          <w:lang w:val="en-GB"/>
        </w:rPr>
        <w:t xml:space="preserve"> 2022 report of the European Commission on the competitiveness of clean energy technologies </w:t>
      </w:r>
      <w:r w:rsidR="009016FF" w:rsidRPr="00163523">
        <w:rPr>
          <w:lang w:val="en-GB"/>
        </w:rPr>
        <w:t xml:space="preserve">which </w:t>
      </w:r>
      <w:r w:rsidR="008206F4" w:rsidRPr="00163523">
        <w:rPr>
          <w:lang w:val="en-GB"/>
        </w:rPr>
        <w:t>analyses the current and projected status of play of several technologies</w:t>
      </w:r>
      <w:r w:rsidR="0019000D" w:rsidRPr="00163523">
        <w:rPr>
          <w:lang w:val="en-GB"/>
        </w:rPr>
        <w:t>.</w:t>
      </w:r>
      <w:r w:rsidR="008206F4" w:rsidRPr="00163523">
        <w:rPr>
          <w:rStyle w:val="Voetnootmarkering"/>
          <w:lang w:val="en-GB"/>
        </w:rPr>
        <w:footnoteReference w:id="80"/>
      </w:r>
    </w:p>
    <w:p w14:paraId="4E648A6F" w14:textId="77777777" w:rsidR="001D60E1" w:rsidRPr="00163523" w:rsidRDefault="001D60E1" w:rsidP="00F63E15">
      <w:pPr>
        <w:rPr>
          <w:lang w:val="en-GB"/>
        </w:rPr>
      </w:pPr>
    </w:p>
    <w:p w14:paraId="54CDC4AE" w14:textId="6584F0D3" w:rsidR="008962EB" w:rsidRPr="00163523" w:rsidRDefault="008962EB" w:rsidP="00106360">
      <w:pPr>
        <w:pStyle w:val="Bijschrift"/>
        <w:rPr>
          <w:lang w:val="en-GB"/>
        </w:rPr>
      </w:pPr>
      <w:bookmarkStart w:id="81" w:name="_Ref137719266"/>
      <w:r w:rsidRPr="00163523">
        <w:rPr>
          <w:lang w:val="en-GB"/>
        </w:rPr>
        <w:lastRenderedPageBreak/>
        <w:t xml:space="preserve">Table </w:t>
      </w:r>
      <w:r w:rsidRPr="00163523">
        <w:rPr>
          <w:lang w:val="en-GB"/>
        </w:rPr>
        <w:fldChar w:fldCharType="begin"/>
      </w:r>
      <w:r w:rsidRPr="00163523">
        <w:rPr>
          <w:lang w:val="en-GB"/>
        </w:rPr>
        <w:instrText xml:space="preserve"> STYLEREF 1 \s </w:instrText>
      </w:r>
      <w:r w:rsidRPr="00163523">
        <w:rPr>
          <w:lang w:val="en-GB"/>
        </w:rPr>
        <w:fldChar w:fldCharType="separate"/>
      </w:r>
      <w:r w:rsidRPr="00163523">
        <w:rPr>
          <w:lang w:val="en-GB"/>
        </w:rPr>
        <w:t>3</w:t>
      </w:r>
      <w:r w:rsidRPr="00163523">
        <w:rPr>
          <w:lang w:val="en-GB"/>
        </w:rPr>
        <w:fldChar w:fldCharType="end"/>
      </w:r>
      <w:r w:rsidRPr="00163523">
        <w:rPr>
          <w:lang w:val="en-GB"/>
        </w:rPr>
        <w:noBreakHyphen/>
      </w:r>
      <w:r w:rsidRPr="00163523">
        <w:rPr>
          <w:lang w:val="en-GB"/>
        </w:rPr>
        <w:fldChar w:fldCharType="begin"/>
      </w:r>
      <w:r w:rsidRPr="00163523">
        <w:rPr>
          <w:lang w:val="en-GB"/>
        </w:rPr>
        <w:instrText xml:space="preserve"> SEQ Table \* ARABIC \s 1 </w:instrText>
      </w:r>
      <w:r w:rsidRPr="00163523">
        <w:rPr>
          <w:lang w:val="en-GB"/>
        </w:rPr>
        <w:fldChar w:fldCharType="separate"/>
      </w:r>
      <w:r w:rsidRPr="00163523">
        <w:rPr>
          <w:lang w:val="en-GB"/>
        </w:rPr>
        <w:t>1</w:t>
      </w:r>
      <w:r w:rsidRPr="00163523">
        <w:rPr>
          <w:lang w:val="en-GB"/>
        </w:rPr>
        <w:fldChar w:fldCharType="end"/>
      </w:r>
      <w:bookmarkEnd w:id="81"/>
      <w:r w:rsidRPr="00163523">
        <w:rPr>
          <w:lang w:val="en-GB"/>
        </w:rPr>
        <w:t xml:space="preserve"> Cost</w:t>
      </w:r>
      <w:r w:rsidR="00950BD0" w:rsidRPr="00163523">
        <w:rPr>
          <w:lang w:val="en-GB"/>
        </w:rPr>
        <w:t xml:space="preserve"> and</w:t>
      </w:r>
      <w:r w:rsidRPr="00163523">
        <w:rPr>
          <w:lang w:val="en-GB"/>
        </w:rPr>
        <w:t xml:space="preserve"> technology </w:t>
      </w:r>
      <w:r w:rsidR="00950BD0" w:rsidRPr="00163523">
        <w:rPr>
          <w:lang w:val="en-GB"/>
        </w:rPr>
        <w:t xml:space="preserve">maturity </w:t>
      </w:r>
      <w:r w:rsidRPr="00163523">
        <w:rPr>
          <w:lang w:val="en-GB"/>
        </w:rPr>
        <w:t xml:space="preserve">and </w:t>
      </w:r>
      <w:r w:rsidR="00395D2D" w:rsidRPr="00163523">
        <w:rPr>
          <w:lang w:val="en-GB"/>
        </w:rPr>
        <w:t>other</w:t>
      </w:r>
      <w:r w:rsidRPr="00163523">
        <w:rPr>
          <w:lang w:val="en-GB"/>
        </w:rPr>
        <w:t xml:space="preserve"> </w:t>
      </w:r>
      <w:r w:rsidR="00950BD0" w:rsidRPr="00163523">
        <w:rPr>
          <w:lang w:val="en-GB"/>
        </w:rPr>
        <w:t xml:space="preserve">key </w:t>
      </w:r>
      <w:r w:rsidRPr="00163523">
        <w:rPr>
          <w:lang w:val="en-GB"/>
        </w:rPr>
        <w:t xml:space="preserve">considerations of </w:t>
      </w:r>
      <w:r w:rsidR="00C13DAF" w:rsidRPr="00163523">
        <w:rPr>
          <w:lang w:val="en-GB"/>
        </w:rPr>
        <w:t xml:space="preserve">key gas </w:t>
      </w:r>
      <w:r w:rsidR="005654C1" w:rsidRPr="00163523">
        <w:rPr>
          <w:lang w:val="en-GB"/>
        </w:rPr>
        <w:t>decarbonization</w:t>
      </w:r>
      <w:r w:rsidRPr="00163523">
        <w:rPr>
          <w:lang w:val="en-GB"/>
        </w:rPr>
        <w:t xml:space="preserve"> technologies</w:t>
      </w:r>
    </w:p>
    <w:tbl>
      <w:tblPr>
        <w:tblStyle w:val="Table1"/>
        <w:tblW w:w="0" w:type="auto"/>
        <w:tblCellMar>
          <w:top w:w="28" w:type="dxa"/>
          <w:bottom w:w="28" w:type="dxa"/>
        </w:tblCellMar>
        <w:tblLook w:val="04A0" w:firstRow="1" w:lastRow="0" w:firstColumn="1" w:lastColumn="0" w:noHBand="0" w:noVBand="1"/>
      </w:tblPr>
      <w:tblGrid>
        <w:gridCol w:w="1555"/>
        <w:gridCol w:w="6894"/>
      </w:tblGrid>
      <w:tr w:rsidR="005E4596" w14:paraId="22EEE7DD" w14:textId="77777777" w:rsidTr="0010636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55" w:type="dxa"/>
          </w:tcPr>
          <w:p w14:paraId="6A244B63" w14:textId="1E78EB43" w:rsidR="005E4596" w:rsidRPr="00163523" w:rsidRDefault="005E4596" w:rsidP="00106360">
            <w:pPr>
              <w:keepNext/>
              <w:spacing w:line="240" w:lineRule="auto"/>
              <w:ind w:left="0"/>
              <w:jc w:val="left"/>
              <w:rPr>
                <w:lang w:val="en-GB"/>
              </w:rPr>
            </w:pPr>
            <w:r w:rsidRPr="00163523">
              <w:rPr>
                <w:lang w:val="en-GB"/>
              </w:rPr>
              <w:t>Parameters</w:t>
            </w:r>
          </w:p>
        </w:tc>
        <w:tc>
          <w:tcPr>
            <w:tcW w:w="6894" w:type="dxa"/>
          </w:tcPr>
          <w:p w14:paraId="3BF78D27" w14:textId="3F938A9F" w:rsidR="005E4596" w:rsidRPr="00163523" w:rsidRDefault="00AB65EB" w:rsidP="00106360">
            <w:pPr>
              <w:keepNext/>
              <w:spacing w:line="240" w:lineRule="auto"/>
              <w:ind w:left="0"/>
              <w:jc w:val="left"/>
              <w:cnfStyle w:val="100000000000" w:firstRow="1" w:lastRow="0" w:firstColumn="0" w:lastColumn="0" w:oddVBand="0" w:evenVBand="0" w:oddHBand="0" w:evenHBand="0" w:firstRowFirstColumn="0" w:firstRowLastColumn="0" w:lastRowFirstColumn="0" w:lastRowLastColumn="0"/>
              <w:rPr>
                <w:lang w:val="en-GB"/>
              </w:rPr>
            </w:pPr>
            <w:r w:rsidRPr="00163523">
              <w:rPr>
                <w:lang w:val="en-GB"/>
              </w:rPr>
              <w:t>Description</w:t>
            </w:r>
          </w:p>
        </w:tc>
      </w:tr>
      <w:tr w:rsidR="005E4596" w14:paraId="08312C2C" w14:textId="77777777" w:rsidTr="00106360">
        <w:tc>
          <w:tcPr>
            <w:cnfStyle w:val="001000000000" w:firstRow="0" w:lastRow="0" w:firstColumn="1" w:lastColumn="0" w:oddVBand="0" w:evenVBand="0" w:oddHBand="0" w:evenHBand="0" w:firstRowFirstColumn="0" w:firstRowLastColumn="0" w:lastRowFirstColumn="0" w:lastRowLastColumn="0"/>
            <w:tcW w:w="8449" w:type="dxa"/>
            <w:gridSpan w:val="2"/>
            <w:shd w:val="clear" w:color="auto" w:fill="ECEBE1" w:themeFill="accent6"/>
          </w:tcPr>
          <w:p w14:paraId="405496FD" w14:textId="121C3737" w:rsidR="005E4596" w:rsidRPr="00163523" w:rsidRDefault="005E4596" w:rsidP="00106360">
            <w:pPr>
              <w:keepNext/>
              <w:spacing w:line="240" w:lineRule="auto"/>
              <w:ind w:left="0"/>
              <w:rPr>
                <w:b/>
                <w:lang w:val="en-GB"/>
              </w:rPr>
            </w:pPr>
            <w:r w:rsidRPr="00163523">
              <w:rPr>
                <w:b/>
                <w:lang w:val="en-GB"/>
              </w:rPr>
              <w:t>Renewable hydrogen technologies</w:t>
            </w:r>
          </w:p>
        </w:tc>
      </w:tr>
      <w:tr w:rsidR="005636E4" w:rsidRPr="00D13E15" w14:paraId="6C923A1F" w14:textId="77777777" w:rsidTr="00106360">
        <w:tc>
          <w:tcPr>
            <w:cnfStyle w:val="001000000000" w:firstRow="0" w:lastRow="0" w:firstColumn="1" w:lastColumn="0" w:oddVBand="0" w:evenVBand="0" w:oddHBand="0" w:evenHBand="0" w:firstRowFirstColumn="0" w:firstRowLastColumn="0" w:lastRowFirstColumn="0" w:lastRowLastColumn="0"/>
            <w:tcW w:w="1555" w:type="dxa"/>
          </w:tcPr>
          <w:p w14:paraId="4241C2D5" w14:textId="7E625E33" w:rsidR="005636E4" w:rsidRPr="00163523" w:rsidRDefault="005636E4" w:rsidP="00106360">
            <w:pPr>
              <w:spacing w:line="240" w:lineRule="auto"/>
              <w:ind w:left="0"/>
              <w:rPr>
                <w:b/>
                <w:lang w:val="en-GB"/>
              </w:rPr>
            </w:pPr>
            <w:r w:rsidRPr="00163523">
              <w:rPr>
                <w:b/>
                <w:lang w:val="en-GB"/>
              </w:rPr>
              <w:t>Cost</w:t>
            </w:r>
            <w:r w:rsidR="00B42848" w:rsidRPr="00163523">
              <w:rPr>
                <w:b/>
                <w:lang w:val="en-GB"/>
              </w:rPr>
              <w:t xml:space="preserve"> maturity</w:t>
            </w:r>
          </w:p>
        </w:tc>
        <w:tc>
          <w:tcPr>
            <w:tcW w:w="6894" w:type="dxa"/>
          </w:tcPr>
          <w:p w14:paraId="487A2747" w14:textId="028BB357" w:rsidR="004C33AB" w:rsidRPr="00163523" w:rsidRDefault="00755D63" w:rsidP="00106360">
            <w:pPr>
              <w:pStyle w:val="Lijstalinea"/>
              <w:numPr>
                <w:ilvl w:val="0"/>
                <w:numId w:val="23"/>
              </w:numPr>
              <w:spacing w:line="240" w:lineRule="auto"/>
              <w:ind w:left="226" w:hanging="113"/>
              <w:jc w:val="left"/>
              <w:cnfStyle w:val="000000000000" w:firstRow="0" w:lastRow="0" w:firstColumn="0" w:lastColumn="0" w:oddVBand="0" w:evenVBand="0" w:oddHBand="0" w:evenHBand="0" w:firstRowFirstColumn="0" w:firstRowLastColumn="0" w:lastRowFirstColumn="0" w:lastRowLastColumn="0"/>
            </w:pPr>
            <w:r w:rsidRPr="00163523">
              <w:t>C</w:t>
            </w:r>
            <w:r w:rsidR="00C144BF" w:rsidRPr="00163523">
              <w:t>apex c</w:t>
            </w:r>
            <w:r w:rsidRPr="00163523">
              <w:t>ost</w:t>
            </w:r>
            <w:r w:rsidR="00C77B80" w:rsidRPr="00163523">
              <w:t>s</w:t>
            </w:r>
            <w:r w:rsidRPr="00163523">
              <w:t xml:space="preserve"> of </w:t>
            </w:r>
            <w:r w:rsidR="00392E42" w:rsidRPr="00163523">
              <w:t xml:space="preserve">electrolysers are expected to fall </w:t>
            </w:r>
            <w:r w:rsidR="003B49EC" w:rsidRPr="00163523">
              <w:t>for</w:t>
            </w:r>
            <w:r w:rsidR="00392E42" w:rsidRPr="00163523">
              <w:t xml:space="preserve"> high temperature electrolysis</w:t>
            </w:r>
            <w:r w:rsidR="00CD17DB" w:rsidRPr="00163523">
              <w:t>,</w:t>
            </w:r>
            <w:r w:rsidR="00C144BF" w:rsidRPr="00163523">
              <w:t xml:space="preserve"> </w:t>
            </w:r>
            <w:r w:rsidR="00CD17DB" w:rsidRPr="00163523">
              <w:t xml:space="preserve">from 2,130 EUR/kW in 2020 to 520 EUR/kW in 2030. </w:t>
            </w:r>
          </w:p>
          <w:p w14:paraId="3078653D" w14:textId="61BA707C" w:rsidR="00CD17DB" w:rsidRPr="00163523" w:rsidRDefault="000050BF" w:rsidP="00106360">
            <w:pPr>
              <w:pStyle w:val="Lijstalinea"/>
              <w:numPr>
                <w:ilvl w:val="0"/>
                <w:numId w:val="23"/>
              </w:numPr>
              <w:spacing w:line="240" w:lineRule="auto"/>
              <w:ind w:left="226" w:hanging="113"/>
              <w:jc w:val="left"/>
              <w:cnfStyle w:val="000000000000" w:firstRow="0" w:lastRow="0" w:firstColumn="0" w:lastColumn="0" w:oddVBand="0" w:evenVBand="0" w:oddHBand="0" w:evenHBand="0" w:firstRowFirstColumn="0" w:firstRowLastColumn="0" w:lastRowFirstColumn="0" w:lastRowLastColumn="0"/>
            </w:pPr>
            <w:r w:rsidRPr="00163523">
              <w:t xml:space="preserve">Cost targets of </w:t>
            </w:r>
            <w:r w:rsidR="009A5E89" w:rsidRPr="00163523">
              <w:t>A</w:t>
            </w:r>
            <w:r w:rsidRPr="00163523">
              <w:t xml:space="preserve">lkaline </w:t>
            </w:r>
            <w:r w:rsidR="009A5E89" w:rsidRPr="00163523">
              <w:t xml:space="preserve">and PEM </w:t>
            </w:r>
            <w:r w:rsidRPr="00163523">
              <w:t>electrolysers for 2030 are 500 EUR/kW and 300 EUR/kW, respectively.</w:t>
            </w:r>
          </w:p>
          <w:p w14:paraId="3B50CBA7" w14:textId="77777777" w:rsidR="005E2F3B" w:rsidRPr="00163523" w:rsidRDefault="00C34964" w:rsidP="00106360">
            <w:pPr>
              <w:pStyle w:val="Lijstalinea"/>
              <w:numPr>
                <w:ilvl w:val="0"/>
                <w:numId w:val="23"/>
              </w:numPr>
              <w:spacing w:line="240" w:lineRule="auto"/>
              <w:ind w:left="226" w:hanging="113"/>
              <w:jc w:val="left"/>
              <w:cnfStyle w:val="000000000000" w:firstRow="0" w:lastRow="0" w:firstColumn="0" w:lastColumn="0" w:oddVBand="0" w:evenVBand="0" w:oddHBand="0" w:evenHBand="0" w:firstRowFirstColumn="0" w:firstRowLastColumn="0" w:lastRowFirstColumn="0" w:lastRowLastColumn="0"/>
            </w:pPr>
            <w:r w:rsidRPr="00163523">
              <w:t xml:space="preserve">As per Deliverable 3, the average hydrogen LCOE in the Baltic Regional Gas Market is expected to decrease by between </w:t>
            </w:r>
            <w:r w:rsidR="00A11672" w:rsidRPr="00163523">
              <w:t>46</w:t>
            </w:r>
            <w:r w:rsidRPr="00163523">
              <w:t xml:space="preserve">% and </w:t>
            </w:r>
            <w:r w:rsidR="00A11672" w:rsidRPr="00163523">
              <w:t>64</w:t>
            </w:r>
            <w:r w:rsidRPr="00163523">
              <w:t>% (depending on the scenario) from 2030 to 2050.</w:t>
            </w:r>
          </w:p>
          <w:p w14:paraId="6FDC2C09" w14:textId="697FB49E" w:rsidR="00B709F1" w:rsidRPr="00163523" w:rsidRDefault="00B709F1" w:rsidP="00106360">
            <w:pPr>
              <w:pStyle w:val="Lijstalinea"/>
              <w:numPr>
                <w:ilvl w:val="0"/>
                <w:numId w:val="23"/>
              </w:numPr>
              <w:spacing w:line="240" w:lineRule="auto"/>
              <w:ind w:left="226" w:hanging="113"/>
              <w:jc w:val="left"/>
              <w:cnfStyle w:val="000000000000" w:firstRow="0" w:lastRow="0" w:firstColumn="0" w:lastColumn="0" w:oddVBand="0" w:evenVBand="0" w:oddHBand="0" w:evenHBand="0" w:firstRowFirstColumn="0" w:firstRowLastColumn="0" w:lastRowFirstColumn="0" w:lastRowLastColumn="0"/>
            </w:pPr>
            <w:r w:rsidRPr="00163523">
              <w:t xml:space="preserve">Economic viability of electrolysers highly depends on the cost of </w:t>
            </w:r>
            <w:r w:rsidR="00D13E15" w:rsidRPr="00163523">
              <w:t xml:space="preserve">input </w:t>
            </w:r>
            <w:r w:rsidRPr="00163523">
              <w:t xml:space="preserve">electricity. Hence, </w:t>
            </w:r>
            <w:r w:rsidR="001379B0" w:rsidRPr="00163523">
              <w:t>high</w:t>
            </w:r>
            <w:r w:rsidRPr="00163523">
              <w:t xml:space="preserve"> electricity prices </w:t>
            </w:r>
            <w:r w:rsidR="00A91328" w:rsidRPr="00163523">
              <w:t>remain</w:t>
            </w:r>
            <w:r w:rsidRPr="00163523">
              <w:t xml:space="preserve"> a key challenge. </w:t>
            </w:r>
          </w:p>
        </w:tc>
      </w:tr>
      <w:tr w:rsidR="000050BF" w:rsidRPr="009E69A2" w14:paraId="0F4BC89C" w14:textId="77777777" w:rsidTr="00106360">
        <w:tc>
          <w:tcPr>
            <w:cnfStyle w:val="001000000000" w:firstRow="0" w:lastRow="0" w:firstColumn="1" w:lastColumn="0" w:oddVBand="0" w:evenVBand="0" w:oddHBand="0" w:evenHBand="0" w:firstRowFirstColumn="0" w:firstRowLastColumn="0" w:lastRowFirstColumn="0" w:lastRowLastColumn="0"/>
            <w:tcW w:w="1555" w:type="dxa"/>
          </w:tcPr>
          <w:p w14:paraId="40CCA3FC" w14:textId="6BC0C6A6" w:rsidR="000050BF" w:rsidRPr="00163523" w:rsidRDefault="000050BF" w:rsidP="00106360">
            <w:pPr>
              <w:spacing w:line="240" w:lineRule="auto"/>
              <w:ind w:left="0"/>
              <w:rPr>
                <w:b/>
                <w:lang w:val="en-GB"/>
              </w:rPr>
            </w:pPr>
            <w:r w:rsidRPr="00163523">
              <w:rPr>
                <w:b/>
                <w:lang w:val="en-GB"/>
              </w:rPr>
              <w:t>Technology</w:t>
            </w:r>
            <w:r w:rsidR="00B42848" w:rsidRPr="00163523">
              <w:rPr>
                <w:b/>
                <w:lang w:val="en-GB"/>
              </w:rPr>
              <w:t xml:space="preserve"> maturity</w:t>
            </w:r>
          </w:p>
        </w:tc>
        <w:tc>
          <w:tcPr>
            <w:tcW w:w="6894" w:type="dxa"/>
          </w:tcPr>
          <w:p w14:paraId="528467C4" w14:textId="1766392F" w:rsidR="00D34ECE" w:rsidRPr="00163523" w:rsidRDefault="00FC6044" w:rsidP="00106360">
            <w:pPr>
              <w:pStyle w:val="Lijstalinea"/>
              <w:numPr>
                <w:ilvl w:val="0"/>
                <w:numId w:val="23"/>
              </w:numPr>
              <w:spacing w:line="240" w:lineRule="auto"/>
              <w:ind w:left="226" w:hanging="113"/>
              <w:jc w:val="left"/>
              <w:cnfStyle w:val="000000000000" w:firstRow="0" w:lastRow="0" w:firstColumn="0" w:lastColumn="0" w:oddVBand="0" w:evenVBand="0" w:oddHBand="0" w:evenHBand="0" w:firstRowFirstColumn="0" w:firstRowLastColumn="0" w:lastRowFirstColumn="0" w:lastRowLastColumn="0"/>
            </w:pPr>
            <w:r w:rsidRPr="00163523">
              <w:t xml:space="preserve">Two commercial forms of electrolysers </w:t>
            </w:r>
            <w:r w:rsidR="009A5E89" w:rsidRPr="00163523">
              <w:t>(</w:t>
            </w:r>
            <w:r w:rsidRPr="00163523">
              <w:t>Alkaline and PEM</w:t>
            </w:r>
            <w:r w:rsidR="009A5E89" w:rsidRPr="00163523">
              <w:t>)</w:t>
            </w:r>
            <w:r w:rsidRPr="00163523">
              <w:t xml:space="preserve"> are already being deployed worldwide</w:t>
            </w:r>
            <w:r w:rsidR="00D725EB" w:rsidRPr="00163523">
              <w:t xml:space="preserve"> (Deliverable 2)</w:t>
            </w:r>
            <w:r w:rsidRPr="00163523">
              <w:t>.</w:t>
            </w:r>
          </w:p>
          <w:p w14:paraId="73A13AB9" w14:textId="4EBEFEA3" w:rsidR="004139A1" w:rsidRPr="00163523" w:rsidRDefault="00E257C7" w:rsidP="00106360">
            <w:pPr>
              <w:pStyle w:val="Lijstalinea"/>
              <w:numPr>
                <w:ilvl w:val="0"/>
                <w:numId w:val="23"/>
              </w:numPr>
              <w:spacing w:line="240" w:lineRule="auto"/>
              <w:ind w:left="226" w:hanging="113"/>
              <w:jc w:val="left"/>
              <w:cnfStyle w:val="000000000000" w:firstRow="0" w:lastRow="0" w:firstColumn="0" w:lastColumn="0" w:oddVBand="0" w:evenVBand="0" w:oddHBand="0" w:evenHBand="0" w:firstRowFirstColumn="0" w:firstRowLastColumn="0" w:lastRowFirstColumn="0" w:lastRowLastColumn="0"/>
            </w:pPr>
            <w:r w:rsidRPr="00163523">
              <w:t xml:space="preserve">Production of renewable hydrogen highly </w:t>
            </w:r>
            <w:r w:rsidR="00FC6044" w:rsidRPr="00163523">
              <w:t xml:space="preserve">depends </w:t>
            </w:r>
            <w:r w:rsidRPr="00163523">
              <w:t>on the deployment of renewable energy sources.</w:t>
            </w:r>
            <w:r w:rsidR="004139A1" w:rsidRPr="00163523">
              <w:t xml:space="preserve"> As per Deliverable 2, </w:t>
            </w:r>
            <w:r w:rsidR="00A24824" w:rsidRPr="00163523">
              <w:t xml:space="preserve">the </w:t>
            </w:r>
            <w:r w:rsidR="004139A1" w:rsidRPr="00163523">
              <w:t xml:space="preserve">renewable electricity potential in 2050 in the Baltic Regional Gas Market is estimated </w:t>
            </w:r>
            <w:r w:rsidR="00A24824" w:rsidRPr="00163523">
              <w:t>at</w:t>
            </w:r>
            <w:r w:rsidR="004139A1" w:rsidRPr="00163523">
              <w:t xml:space="preserve"> </w:t>
            </w:r>
            <w:r w:rsidR="006B1BBE" w:rsidRPr="00163523">
              <w:t xml:space="preserve">26.4 </w:t>
            </w:r>
            <w:proofErr w:type="spellStart"/>
            <w:r w:rsidR="006B1BBE" w:rsidRPr="00163523">
              <w:t>TWh</w:t>
            </w:r>
            <w:proofErr w:type="spellEnd"/>
            <w:r w:rsidR="006B1BBE" w:rsidRPr="00163523">
              <w:t xml:space="preserve">, 121.8 </w:t>
            </w:r>
            <w:proofErr w:type="spellStart"/>
            <w:r w:rsidR="006B1BBE" w:rsidRPr="00163523">
              <w:t>TWh</w:t>
            </w:r>
            <w:proofErr w:type="spellEnd"/>
            <w:r w:rsidR="006B1BBE" w:rsidRPr="00163523">
              <w:t xml:space="preserve">, 89.3 </w:t>
            </w:r>
            <w:proofErr w:type="spellStart"/>
            <w:r w:rsidR="006B1BBE" w:rsidRPr="00163523">
              <w:t>TWh</w:t>
            </w:r>
            <w:proofErr w:type="spellEnd"/>
            <w:r w:rsidR="006B1BBE" w:rsidRPr="00163523">
              <w:t xml:space="preserve"> and 183.4 </w:t>
            </w:r>
            <w:proofErr w:type="spellStart"/>
            <w:r w:rsidR="006B1BBE" w:rsidRPr="00163523">
              <w:t>TWh</w:t>
            </w:r>
            <w:proofErr w:type="spellEnd"/>
            <w:r w:rsidR="004139A1" w:rsidRPr="00163523">
              <w:t xml:space="preserve"> in Estonia, Lithuania, Latvia and Finland respectively</w:t>
            </w:r>
            <w:r w:rsidR="006B1BBE" w:rsidRPr="00163523">
              <w:t>.</w:t>
            </w:r>
          </w:p>
          <w:p w14:paraId="05BBC39B" w14:textId="1E3F0B4D" w:rsidR="007552B7" w:rsidRPr="00163523" w:rsidRDefault="007552B7" w:rsidP="00106360">
            <w:pPr>
              <w:pStyle w:val="Lijstalinea"/>
              <w:numPr>
                <w:ilvl w:val="0"/>
                <w:numId w:val="23"/>
              </w:numPr>
              <w:spacing w:line="240" w:lineRule="auto"/>
              <w:ind w:left="226" w:hanging="113"/>
              <w:jc w:val="left"/>
              <w:cnfStyle w:val="000000000000" w:firstRow="0" w:lastRow="0" w:firstColumn="0" w:lastColumn="0" w:oddVBand="0" w:evenVBand="0" w:oddHBand="0" w:evenHBand="0" w:firstRowFirstColumn="0" w:firstRowLastColumn="0" w:lastRowFirstColumn="0" w:lastRowLastColumn="0"/>
            </w:pPr>
            <w:r w:rsidRPr="00163523">
              <w:t xml:space="preserve">Storage, transport, distribution and use of hydrogen will require adaptation/repurposing/retrofitting of natural gas infrastructure/technologies or construction and development of new infrastructure/technologies to accommodate hydrogen. </w:t>
            </w:r>
          </w:p>
        </w:tc>
      </w:tr>
      <w:tr w:rsidR="000050BF" w:rsidRPr="009E69A2" w14:paraId="1A4415DF" w14:textId="77777777" w:rsidTr="00106360">
        <w:tc>
          <w:tcPr>
            <w:cnfStyle w:val="001000000000" w:firstRow="0" w:lastRow="0" w:firstColumn="1" w:lastColumn="0" w:oddVBand="0" w:evenVBand="0" w:oddHBand="0" w:evenHBand="0" w:firstRowFirstColumn="0" w:firstRowLastColumn="0" w:lastRowFirstColumn="0" w:lastRowLastColumn="0"/>
            <w:tcW w:w="1555" w:type="dxa"/>
          </w:tcPr>
          <w:p w14:paraId="695BBE18" w14:textId="22FA4255" w:rsidR="000050BF" w:rsidRPr="00163523" w:rsidRDefault="00395D2D" w:rsidP="00106360">
            <w:pPr>
              <w:spacing w:line="240" w:lineRule="auto"/>
              <w:ind w:left="0"/>
              <w:rPr>
                <w:b/>
                <w:lang w:val="en-GB"/>
              </w:rPr>
            </w:pPr>
            <w:r w:rsidRPr="00163523">
              <w:rPr>
                <w:b/>
                <w:lang w:val="en-GB"/>
              </w:rPr>
              <w:t>Other</w:t>
            </w:r>
            <w:r w:rsidR="000050BF" w:rsidRPr="00163523">
              <w:rPr>
                <w:b/>
                <w:lang w:val="en-GB"/>
              </w:rPr>
              <w:t xml:space="preserve"> considerations</w:t>
            </w:r>
          </w:p>
        </w:tc>
        <w:tc>
          <w:tcPr>
            <w:tcW w:w="6894" w:type="dxa"/>
          </w:tcPr>
          <w:p w14:paraId="67B41297" w14:textId="6972D0E1" w:rsidR="000050BF" w:rsidRPr="00163523" w:rsidRDefault="000050BF" w:rsidP="00106360">
            <w:pPr>
              <w:pStyle w:val="Lijstalinea"/>
              <w:numPr>
                <w:ilvl w:val="0"/>
                <w:numId w:val="23"/>
              </w:numPr>
              <w:spacing w:line="240" w:lineRule="auto"/>
              <w:ind w:left="226" w:hanging="113"/>
              <w:jc w:val="left"/>
              <w:cnfStyle w:val="000000000000" w:firstRow="0" w:lastRow="0" w:firstColumn="0" w:lastColumn="0" w:oddVBand="0" w:evenVBand="0" w:oddHBand="0" w:evenHBand="0" w:firstRowFirstColumn="0" w:firstRowLastColumn="0" w:lastRowFirstColumn="0" w:lastRowLastColumn="0"/>
            </w:pPr>
            <w:r w:rsidRPr="00163523">
              <w:t xml:space="preserve">Water consumption associated with rollout of renewable hydrogen will increase </w:t>
            </w:r>
            <w:r w:rsidR="002B500F" w:rsidRPr="00163523">
              <w:t xml:space="preserve">the </w:t>
            </w:r>
            <w:r w:rsidRPr="00163523">
              <w:t>stress on freshwater resources.</w:t>
            </w:r>
          </w:p>
          <w:p w14:paraId="7F988C1C" w14:textId="4EE7833D" w:rsidR="000050BF" w:rsidRPr="00163523" w:rsidRDefault="00E257C7" w:rsidP="00106360">
            <w:pPr>
              <w:pStyle w:val="Lijstalinea"/>
              <w:numPr>
                <w:ilvl w:val="0"/>
                <w:numId w:val="23"/>
              </w:numPr>
              <w:spacing w:line="240" w:lineRule="auto"/>
              <w:ind w:left="226" w:hanging="113"/>
              <w:jc w:val="left"/>
              <w:cnfStyle w:val="000000000000" w:firstRow="0" w:lastRow="0" w:firstColumn="0" w:lastColumn="0" w:oddVBand="0" w:evenVBand="0" w:oddHBand="0" w:evenHBand="0" w:firstRowFirstColumn="0" w:firstRowLastColumn="0" w:lastRowFirstColumn="0" w:lastRowLastColumn="0"/>
            </w:pPr>
            <w:r w:rsidRPr="00163523">
              <w:t>Reliance on imports of critical raw material needed for the production of hydrogen with electrolysers is concentrated in a few suppliers.</w:t>
            </w:r>
          </w:p>
        </w:tc>
      </w:tr>
      <w:tr w:rsidR="001B559E" w:rsidRPr="001B559E" w14:paraId="5B9291C4" w14:textId="77777777" w:rsidTr="00106360">
        <w:tc>
          <w:tcPr>
            <w:cnfStyle w:val="001000000000" w:firstRow="0" w:lastRow="0" w:firstColumn="1" w:lastColumn="0" w:oddVBand="0" w:evenVBand="0" w:oddHBand="0" w:evenHBand="0" w:firstRowFirstColumn="0" w:firstRowLastColumn="0" w:lastRowFirstColumn="0" w:lastRowLastColumn="0"/>
            <w:tcW w:w="8449" w:type="dxa"/>
            <w:gridSpan w:val="2"/>
            <w:shd w:val="clear" w:color="auto" w:fill="ECEBE1" w:themeFill="accent6"/>
          </w:tcPr>
          <w:p w14:paraId="7E0D340B" w14:textId="7B46F3A4" w:rsidR="001B559E" w:rsidRPr="00163523" w:rsidRDefault="001B559E" w:rsidP="00106360">
            <w:pPr>
              <w:spacing w:line="240" w:lineRule="auto"/>
              <w:ind w:left="0"/>
              <w:rPr>
                <w:b/>
                <w:lang w:val="en-GB"/>
              </w:rPr>
            </w:pPr>
            <w:r w:rsidRPr="00163523">
              <w:rPr>
                <w:b/>
                <w:lang w:val="en-GB"/>
              </w:rPr>
              <w:t>Biomethane technologies</w:t>
            </w:r>
          </w:p>
        </w:tc>
      </w:tr>
      <w:tr w:rsidR="00B42848" w:rsidRPr="009E69A2" w14:paraId="3385BFC5" w14:textId="77777777" w:rsidTr="00106360">
        <w:tc>
          <w:tcPr>
            <w:cnfStyle w:val="001000000000" w:firstRow="0" w:lastRow="0" w:firstColumn="1" w:lastColumn="0" w:oddVBand="0" w:evenVBand="0" w:oddHBand="0" w:evenHBand="0" w:firstRowFirstColumn="0" w:firstRowLastColumn="0" w:lastRowFirstColumn="0" w:lastRowLastColumn="0"/>
            <w:tcW w:w="1555" w:type="dxa"/>
          </w:tcPr>
          <w:p w14:paraId="20EEEB24" w14:textId="401C79E4" w:rsidR="00B42848" w:rsidRPr="00163523" w:rsidRDefault="00B42848" w:rsidP="00106360">
            <w:pPr>
              <w:spacing w:line="240" w:lineRule="auto"/>
              <w:ind w:left="0"/>
              <w:rPr>
                <w:b/>
                <w:lang w:val="en-GB"/>
              </w:rPr>
            </w:pPr>
            <w:r w:rsidRPr="00163523">
              <w:rPr>
                <w:b/>
                <w:lang w:val="en-GB"/>
              </w:rPr>
              <w:t>Cost maturity</w:t>
            </w:r>
          </w:p>
        </w:tc>
        <w:tc>
          <w:tcPr>
            <w:tcW w:w="6894" w:type="dxa"/>
          </w:tcPr>
          <w:p w14:paraId="43715541" w14:textId="48493AC0" w:rsidR="00B42848" w:rsidRPr="00163523" w:rsidRDefault="00B42848" w:rsidP="00106360">
            <w:pPr>
              <w:pStyle w:val="Lijstalinea"/>
              <w:numPr>
                <w:ilvl w:val="0"/>
                <w:numId w:val="23"/>
              </w:numPr>
              <w:spacing w:line="240" w:lineRule="auto"/>
              <w:ind w:left="226" w:hanging="113"/>
              <w:jc w:val="left"/>
              <w:cnfStyle w:val="000000000000" w:firstRow="0" w:lastRow="0" w:firstColumn="0" w:lastColumn="0" w:oddVBand="0" w:evenVBand="0" w:oddHBand="0" w:evenHBand="0" w:firstRowFirstColumn="0" w:firstRowLastColumn="0" w:lastRowFirstColumn="0" w:lastRowLastColumn="0"/>
            </w:pPr>
            <w:r w:rsidRPr="00163523">
              <w:t>Cost of advanced biofuels is currently around 1.5 to 3 times higher than the market price of traditional fuels.</w:t>
            </w:r>
          </w:p>
          <w:p w14:paraId="4143BC45" w14:textId="77777777" w:rsidR="00B42848" w:rsidRPr="00163523" w:rsidRDefault="00B42848" w:rsidP="00106360">
            <w:pPr>
              <w:pStyle w:val="Lijstalinea"/>
              <w:numPr>
                <w:ilvl w:val="0"/>
                <w:numId w:val="23"/>
              </w:numPr>
              <w:spacing w:line="240" w:lineRule="auto"/>
              <w:ind w:left="226" w:hanging="113"/>
              <w:jc w:val="left"/>
              <w:cnfStyle w:val="000000000000" w:firstRow="0" w:lastRow="0" w:firstColumn="0" w:lastColumn="0" w:oddVBand="0" w:evenVBand="0" w:oddHBand="0" w:evenHBand="0" w:firstRowFirstColumn="0" w:firstRowLastColumn="0" w:lastRowFirstColumn="0" w:lastRowLastColumn="0"/>
            </w:pPr>
            <w:r w:rsidRPr="00163523">
              <w:t xml:space="preserve">There is significant potential to cut capital costs by 25 to 50% and feedstock costs by 10 to 20% via R&amp;D&amp;I, large scale deployment and co-processing in existing plants. </w:t>
            </w:r>
          </w:p>
          <w:p w14:paraId="1DE69F9B" w14:textId="13FE5F22" w:rsidR="00B42848" w:rsidRPr="00163523" w:rsidRDefault="00B42848" w:rsidP="00106360">
            <w:pPr>
              <w:pStyle w:val="Lijstalinea"/>
              <w:numPr>
                <w:ilvl w:val="0"/>
                <w:numId w:val="23"/>
              </w:numPr>
              <w:spacing w:line="240" w:lineRule="auto"/>
              <w:ind w:left="226" w:hanging="113"/>
              <w:jc w:val="left"/>
              <w:cnfStyle w:val="000000000000" w:firstRow="0" w:lastRow="0" w:firstColumn="0" w:lastColumn="0" w:oddVBand="0" w:evenVBand="0" w:oddHBand="0" w:evenHBand="0" w:firstRowFirstColumn="0" w:firstRowLastColumn="0" w:lastRowFirstColumn="0" w:lastRowLastColumn="0"/>
            </w:pPr>
            <w:r w:rsidRPr="00163523">
              <w:t>As per Deliverable 3, the average biomethane LCOE in the Baltic Regional Gas Market is expected to decrease by between 19% and 30% (depending on the scenario) from 2030 to 2050.</w:t>
            </w:r>
          </w:p>
        </w:tc>
      </w:tr>
      <w:tr w:rsidR="00B42848" w:rsidRPr="009E69A2" w14:paraId="7DE2C397" w14:textId="77777777" w:rsidTr="00106360">
        <w:tc>
          <w:tcPr>
            <w:cnfStyle w:val="001000000000" w:firstRow="0" w:lastRow="0" w:firstColumn="1" w:lastColumn="0" w:oddVBand="0" w:evenVBand="0" w:oddHBand="0" w:evenHBand="0" w:firstRowFirstColumn="0" w:firstRowLastColumn="0" w:lastRowFirstColumn="0" w:lastRowLastColumn="0"/>
            <w:tcW w:w="1555" w:type="dxa"/>
          </w:tcPr>
          <w:p w14:paraId="2D1AC6D4" w14:textId="1538ACB0" w:rsidR="00B42848" w:rsidRPr="00163523" w:rsidRDefault="00B42848" w:rsidP="00106360">
            <w:pPr>
              <w:spacing w:line="240" w:lineRule="auto"/>
              <w:ind w:left="0"/>
              <w:rPr>
                <w:b/>
                <w:lang w:val="en-GB"/>
              </w:rPr>
            </w:pPr>
            <w:r w:rsidRPr="00163523">
              <w:rPr>
                <w:b/>
                <w:lang w:val="en-GB"/>
              </w:rPr>
              <w:t>Technology maturity</w:t>
            </w:r>
          </w:p>
        </w:tc>
        <w:tc>
          <w:tcPr>
            <w:tcW w:w="6894" w:type="dxa"/>
          </w:tcPr>
          <w:p w14:paraId="64BDCDB0" w14:textId="55F77FE5" w:rsidR="00B42848" w:rsidRPr="00163523" w:rsidRDefault="00B42848" w:rsidP="00106360">
            <w:pPr>
              <w:pStyle w:val="Lijstalinea"/>
              <w:numPr>
                <w:ilvl w:val="0"/>
                <w:numId w:val="23"/>
              </w:numPr>
              <w:spacing w:line="240" w:lineRule="auto"/>
              <w:ind w:left="226" w:hanging="113"/>
              <w:jc w:val="left"/>
              <w:cnfStyle w:val="000000000000" w:firstRow="0" w:lastRow="0" w:firstColumn="0" w:lastColumn="0" w:oddVBand="0" w:evenVBand="0" w:oddHBand="0" w:evenHBand="0" w:firstRowFirstColumn="0" w:firstRowLastColumn="0" w:lastRowFirstColumn="0" w:lastRowLastColumn="0"/>
            </w:pPr>
            <w:r w:rsidRPr="00163523">
              <w:t xml:space="preserve">Anaerobic digestion technology is in operation at large scale worldwide (Deliverable 2). Innovative versions of digesters are also developing and closely arriving at market maturity. </w:t>
            </w:r>
          </w:p>
          <w:p w14:paraId="7F306013" w14:textId="76D164D9" w:rsidR="00B42848" w:rsidRPr="00163523" w:rsidRDefault="00B42848" w:rsidP="00106360">
            <w:pPr>
              <w:pStyle w:val="Lijstalinea"/>
              <w:numPr>
                <w:ilvl w:val="0"/>
                <w:numId w:val="23"/>
              </w:numPr>
              <w:spacing w:line="240" w:lineRule="auto"/>
              <w:ind w:left="226" w:hanging="113"/>
              <w:jc w:val="left"/>
              <w:cnfStyle w:val="000000000000" w:firstRow="0" w:lastRow="0" w:firstColumn="0" w:lastColumn="0" w:oddVBand="0" w:evenVBand="0" w:oddHBand="0" w:evenHBand="0" w:firstRowFirstColumn="0" w:firstRowLastColumn="0" w:lastRowFirstColumn="0" w:lastRowLastColumn="0"/>
            </w:pPr>
            <w:r w:rsidRPr="00163523">
              <w:t xml:space="preserve">As per Deliverable 2, </w:t>
            </w:r>
            <w:r w:rsidR="00861C13" w:rsidRPr="00163523">
              <w:t xml:space="preserve">the </w:t>
            </w:r>
            <w:r w:rsidRPr="00163523">
              <w:t xml:space="preserve">biomethane potential in 2050 in the Baltic Regional Gas Market is estimated </w:t>
            </w:r>
            <w:r w:rsidR="008444B8" w:rsidRPr="00163523">
              <w:t>at</w:t>
            </w:r>
            <w:r w:rsidRPr="00163523">
              <w:t xml:space="preserve"> 2.4 </w:t>
            </w:r>
            <w:proofErr w:type="spellStart"/>
            <w:r w:rsidRPr="00163523">
              <w:t>TWh</w:t>
            </w:r>
            <w:proofErr w:type="spellEnd"/>
            <w:r w:rsidRPr="00163523">
              <w:t xml:space="preserve">, 8 </w:t>
            </w:r>
            <w:proofErr w:type="spellStart"/>
            <w:r w:rsidRPr="00163523">
              <w:t>TWh</w:t>
            </w:r>
            <w:proofErr w:type="spellEnd"/>
            <w:r w:rsidRPr="00163523">
              <w:t xml:space="preserve">, 2.7 </w:t>
            </w:r>
            <w:proofErr w:type="spellStart"/>
            <w:r w:rsidRPr="00163523">
              <w:t>TWh</w:t>
            </w:r>
            <w:proofErr w:type="spellEnd"/>
            <w:r w:rsidRPr="00163523">
              <w:t xml:space="preserve"> and 11 </w:t>
            </w:r>
            <w:proofErr w:type="spellStart"/>
            <w:r w:rsidRPr="00163523">
              <w:t>TWh</w:t>
            </w:r>
            <w:proofErr w:type="spellEnd"/>
            <w:r w:rsidRPr="00163523">
              <w:t xml:space="preserve"> in Estonia, Lithuania, Latvia and Finland respectively. </w:t>
            </w:r>
          </w:p>
        </w:tc>
      </w:tr>
      <w:tr w:rsidR="001B559E" w:rsidRPr="009E69A2" w14:paraId="6952AC5D" w14:textId="77777777" w:rsidTr="00106360">
        <w:tc>
          <w:tcPr>
            <w:cnfStyle w:val="001000000000" w:firstRow="0" w:lastRow="0" w:firstColumn="1" w:lastColumn="0" w:oddVBand="0" w:evenVBand="0" w:oddHBand="0" w:evenHBand="0" w:firstRowFirstColumn="0" w:firstRowLastColumn="0" w:lastRowFirstColumn="0" w:lastRowLastColumn="0"/>
            <w:tcW w:w="1555" w:type="dxa"/>
          </w:tcPr>
          <w:p w14:paraId="7F768072" w14:textId="4A6008B1" w:rsidR="001B559E" w:rsidRPr="00163523" w:rsidRDefault="00395D2D" w:rsidP="00106360">
            <w:pPr>
              <w:spacing w:line="240" w:lineRule="auto"/>
              <w:ind w:left="0"/>
              <w:rPr>
                <w:b/>
                <w:lang w:val="en-GB"/>
              </w:rPr>
            </w:pPr>
            <w:r w:rsidRPr="00163523">
              <w:rPr>
                <w:b/>
                <w:lang w:val="en-GB"/>
              </w:rPr>
              <w:t>Other</w:t>
            </w:r>
            <w:r w:rsidR="001B559E" w:rsidRPr="00163523">
              <w:rPr>
                <w:b/>
                <w:lang w:val="en-GB"/>
              </w:rPr>
              <w:t xml:space="preserve"> considerations</w:t>
            </w:r>
          </w:p>
        </w:tc>
        <w:tc>
          <w:tcPr>
            <w:tcW w:w="6894" w:type="dxa"/>
          </w:tcPr>
          <w:p w14:paraId="7D7E1759" w14:textId="3CABF925" w:rsidR="00285754" w:rsidRPr="00163523" w:rsidRDefault="000E7EF6" w:rsidP="00106360">
            <w:pPr>
              <w:pStyle w:val="Lijstalinea"/>
              <w:numPr>
                <w:ilvl w:val="0"/>
                <w:numId w:val="23"/>
              </w:numPr>
              <w:spacing w:line="240" w:lineRule="auto"/>
              <w:ind w:left="226" w:hanging="113"/>
              <w:jc w:val="left"/>
              <w:cnfStyle w:val="000000000000" w:firstRow="0" w:lastRow="0" w:firstColumn="0" w:lastColumn="0" w:oddVBand="0" w:evenVBand="0" w:oddHBand="0" w:evenHBand="0" w:firstRowFirstColumn="0" w:firstRowLastColumn="0" w:lastRowFirstColumn="0" w:lastRowLastColumn="0"/>
            </w:pPr>
            <w:r w:rsidRPr="00163523">
              <w:t>Biomethane production is l</w:t>
            </w:r>
            <w:r w:rsidR="00893E91" w:rsidRPr="00163523">
              <w:t>inked to the availability of sustainable feedstock</w:t>
            </w:r>
            <w:r w:rsidR="00417D00" w:rsidRPr="00163523">
              <w:t>.</w:t>
            </w:r>
          </w:p>
        </w:tc>
      </w:tr>
      <w:tr w:rsidR="00785368" w:rsidRPr="001B559E" w14:paraId="595E7BDD" w14:textId="77777777" w:rsidTr="00106360">
        <w:tc>
          <w:tcPr>
            <w:cnfStyle w:val="001000000000" w:firstRow="0" w:lastRow="0" w:firstColumn="1" w:lastColumn="0" w:oddVBand="0" w:evenVBand="0" w:oddHBand="0" w:evenHBand="0" w:firstRowFirstColumn="0" w:firstRowLastColumn="0" w:lastRowFirstColumn="0" w:lastRowLastColumn="0"/>
            <w:tcW w:w="8449" w:type="dxa"/>
            <w:gridSpan w:val="2"/>
            <w:shd w:val="clear" w:color="auto" w:fill="ECEBE1" w:themeFill="accent6"/>
          </w:tcPr>
          <w:p w14:paraId="1A841D23" w14:textId="5DC91532" w:rsidR="00785368" w:rsidRPr="00163523" w:rsidRDefault="00785368" w:rsidP="00106360">
            <w:pPr>
              <w:spacing w:line="240" w:lineRule="auto"/>
              <w:ind w:left="0"/>
              <w:rPr>
                <w:b/>
                <w:lang w:val="en-GB"/>
              </w:rPr>
            </w:pPr>
            <w:r w:rsidRPr="00163523">
              <w:rPr>
                <w:b/>
                <w:lang w:val="en-GB"/>
              </w:rPr>
              <w:t>SNG technologies</w:t>
            </w:r>
          </w:p>
        </w:tc>
      </w:tr>
      <w:tr w:rsidR="00B42848" w:rsidRPr="009E69A2" w14:paraId="343262FE" w14:textId="77777777" w:rsidTr="00106360">
        <w:tc>
          <w:tcPr>
            <w:cnfStyle w:val="001000000000" w:firstRow="0" w:lastRow="0" w:firstColumn="1" w:lastColumn="0" w:oddVBand="0" w:evenVBand="0" w:oddHBand="0" w:evenHBand="0" w:firstRowFirstColumn="0" w:firstRowLastColumn="0" w:lastRowFirstColumn="0" w:lastRowLastColumn="0"/>
            <w:tcW w:w="1555" w:type="dxa"/>
          </w:tcPr>
          <w:p w14:paraId="18C2B750" w14:textId="60D3BE9B" w:rsidR="00B42848" w:rsidRPr="00163523" w:rsidRDefault="00B42848" w:rsidP="00106360">
            <w:pPr>
              <w:spacing w:line="240" w:lineRule="auto"/>
              <w:ind w:left="0"/>
              <w:rPr>
                <w:b/>
                <w:lang w:val="en-GB"/>
              </w:rPr>
            </w:pPr>
            <w:r w:rsidRPr="00163523">
              <w:rPr>
                <w:b/>
                <w:lang w:val="en-GB"/>
              </w:rPr>
              <w:t>Cost maturity</w:t>
            </w:r>
          </w:p>
        </w:tc>
        <w:tc>
          <w:tcPr>
            <w:tcW w:w="6894" w:type="dxa"/>
          </w:tcPr>
          <w:p w14:paraId="480B9D0E" w14:textId="77777777" w:rsidR="00B42848" w:rsidRPr="00163523" w:rsidRDefault="00B42848" w:rsidP="00106360">
            <w:pPr>
              <w:pStyle w:val="Lijstalinea"/>
              <w:numPr>
                <w:ilvl w:val="0"/>
                <w:numId w:val="23"/>
              </w:numPr>
              <w:spacing w:line="240" w:lineRule="auto"/>
              <w:ind w:left="226" w:hanging="113"/>
              <w:jc w:val="left"/>
              <w:cnfStyle w:val="000000000000" w:firstRow="0" w:lastRow="0" w:firstColumn="0" w:lastColumn="0" w:oddVBand="0" w:evenVBand="0" w:oddHBand="0" w:evenHBand="0" w:firstRowFirstColumn="0" w:firstRowLastColumn="0" w:lastRowFirstColumn="0" w:lastRowLastColumn="0"/>
            </w:pPr>
            <w:r w:rsidRPr="00163523">
              <w:t>Different options of SNG production reactors have different investment costs and hence different cost learning curves (Deliverable 2).</w:t>
            </w:r>
          </w:p>
          <w:p w14:paraId="6C4F2B05" w14:textId="5794F3E9" w:rsidR="00B42848" w:rsidRPr="00163523" w:rsidRDefault="00B42848" w:rsidP="00106360">
            <w:pPr>
              <w:pStyle w:val="Lijstalinea"/>
              <w:numPr>
                <w:ilvl w:val="0"/>
                <w:numId w:val="23"/>
              </w:numPr>
              <w:spacing w:line="240" w:lineRule="auto"/>
              <w:ind w:left="226" w:hanging="113"/>
              <w:jc w:val="left"/>
              <w:cnfStyle w:val="000000000000" w:firstRow="0" w:lastRow="0" w:firstColumn="0" w:lastColumn="0" w:oddVBand="0" w:evenVBand="0" w:oddHBand="0" w:evenHBand="0" w:firstRowFirstColumn="0" w:firstRowLastColumn="0" w:lastRowFirstColumn="0" w:lastRowLastColumn="0"/>
            </w:pPr>
            <w:r w:rsidRPr="00163523">
              <w:t xml:space="preserve">As per Deliverable 3, the average SNG LCOE in the Baltic Regional Gas Market is expected to decrease by 80% (in the scenarios which consider the </w:t>
            </w:r>
            <w:r w:rsidR="004B3ACE" w:rsidRPr="00163523">
              <w:t>produc</w:t>
            </w:r>
            <w:r w:rsidR="00A231E1" w:rsidRPr="00163523">
              <w:t xml:space="preserve">tion </w:t>
            </w:r>
            <w:r w:rsidRPr="00163523">
              <w:t xml:space="preserve">of SNG – REN-Methane and Cost minimal) from 2030 to 2050. The SNG LCOE is very high compared to biomethane and hydrogen LCOEs. </w:t>
            </w:r>
          </w:p>
        </w:tc>
      </w:tr>
      <w:tr w:rsidR="00B42848" w:rsidRPr="009E69A2" w14:paraId="3C1B7B56" w14:textId="77777777" w:rsidTr="00106360">
        <w:tc>
          <w:tcPr>
            <w:cnfStyle w:val="001000000000" w:firstRow="0" w:lastRow="0" w:firstColumn="1" w:lastColumn="0" w:oddVBand="0" w:evenVBand="0" w:oddHBand="0" w:evenHBand="0" w:firstRowFirstColumn="0" w:firstRowLastColumn="0" w:lastRowFirstColumn="0" w:lastRowLastColumn="0"/>
            <w:tcW w:w="1555" w:type="dxa"/>
          </w:tcPr>
          <w:p w14:paraId="0C0C6DA3" w14:textId="7185E91D" w:rsidR="00B42848" w:rsidRPr="00163523" w:rsidRDefault="00B42848" w:rsidP="00106360">
            <w:pPr>
              <w:spacing w:line="240" w:lineRule="auto"/>
              <w:ind w:left="0"/>
              <w:rPr>
                <w:b/>
                <w:lang w:val="en-GB"/>
              </w:rPr>
            </w:pPr>
            <w:r w:rsidRPr="00163523">
              <w:rPr>
                <w:b/>
                <w:lang w:val="en-GB"/>
              </w:rPr>
              <w:t>Technology maturity</w:t>
            </w:r>
          </w:p>
        </w:tc>
        <w:tc>
          <w:tcPr>
            <w:tcW w:w="6894" w:type="dxa"/>
          </w:tcPr>
          <w:p w14:paraId="71509971" w14:textId="3322BE3C" w:rsidR="00B42848" w:rsidRPr="00163523" w:rsidRDefault="00B42848" w:rsidP="00106360">
            <w:pPr>
              <w:pStyle w:val="Lijstalinea"/>
              <w:numPr>
                <w:ilvl w:val="0"/>
                <w:numId w:val="23"/>
              </w:numPr>
              <w:spacing w:line="240" w:lineRule="auto"/>
              <w:ind w:left="226" w:hanging="113"/>
              <w:jc w:val="left"/>
              <w:cnfStyle w:val="000000000000" w:firstRow="0" w:lastRow="0" w:firstColumn="0" w:lastColumn="0" w:oddVBand="0" w:evenVBand="0" w:oddHBand="0" w:evenHBand="0" w:firstRowFirstColumn="0" w:firstRowLastColumn="0" w:lastRowFirstColumn="0" w:lastRowLastColumn="0"/>
            </w:pPr>
            <w:r w:rsidRPr="00163523">
              <w:t>Methanation technology is available but not yet proven for large scale application (Deliverable 2).</w:t>
            </w:r>
            <w:r>
              <w:t xml:space="preserve"> </w:t>
            </w:r>
            <w:r w:rsidRPr="00163523">
              <w:t>Although the technology is still in demonstration phase, the fixed-bed reactor has a high readiness level of TRL 8/9.</w:t>
            </w:r>
          </w:p>
        </w:tc>
      </w:tr>
    </w:tbl>
    <w:p w14:paraId="11234D05" w14:textId="77777777" w:rsidR="001D60E1" w:rsidRPr="00163523" w:rsidRDefault="001D60E1" w:rsidP="00F63E15">
      <w:pPr>
        <w:rPr>
          <w:lang w:val="en-GB"/>
        </w:rPr>
      </w:pPr>
    </w:p>
    <w:p w14:paraId="36346871" w14:textId="4A7CC80D" w:rsidR="00F63E15" w:rsidRPr="00163523" w:rsidRDefault="00AB17A7" w:rsidP="00F63E15">
      <w:pPr>
        <w:pStyle w:val="Kop4"/>
        <w:rPr>
          <w:lang w:val="en-GB"/>
        </w:rPr>
      </w:pPr>
      <w:r w:rsidRPr="00163523">
        <w:rPr>
          <w:lang w:val="en-GB"/>
        </w:rPr>
        <w:t>Rating</w:t>
      </w:r>
      <w:r w:rsidR="00F63E15" w:rsidRPr="00163523">
        <w:rPr>
          <w:lang w:val="en-GB"/>
        </w:rPr>
        <w:t xml:space="preserve"> of the </w:t>
      </w:r>
      <w:r w:rsidRPr="00163523">
        <w:rPr>
          <w:lang w:val="en-GB"/>
        </w:rPr>
        <w:t xml:space="preserve">risk </w:t>
      </w:r>
      <w:r w:rsidR="00F63E15" w:rsidRPr="00163523">
        <w:rPr>
          <w:lang w:val="en-GB"/>
        </w:rPr>
        <w:t>based on likelihood and severity</w:t>
      </w:r>
    </w:p>
    <w:p w14:paraId="31BFE12F" w14:textId="01125FE5" w:rsidR="007C185D" w:rsidRPr="00163523" w:rsidRDefault="007C185D" w:rsidP="007C185D">
      <w:pPr>
        <w:rPr>
          <w:lang w:val="en-GB"/>
        </w:rPr>
      </w:pPr>
      <w:r w:rsidRPr="00163523">
        <w:rPr>
          <w:lang w:val="en-GB"/>
        </w:rPr>
        <w:t xml:space="preserve">The </w:t>
      </w:r>
      <w:r w:rsidRPr="00163523">
        <w:rPr>
          <w:b/>
          <w:lang w:val="en-GB"/>
        </w:rPr>
        <w:t>severity of this risk can be rated as ‘high’</w:t>
      </w:r>
      <w:r w:rsidRPr="00163523">
        <w:rPr>
          <w:lang w:val="en-GB"/>
        </w:rPr>
        <w:t xml:space="preserve"> as the</w:t>
      </w:r>
      <w:r w:rsidR="004A1BAC" w:rsidRPr="00163523">
        <w:rPr>
          <w:lang w:val="en-GB"/>
        </w:rPr>
        <w:t xml:space="preserve"> decarbonisation of the gas sector in the Baltic Regional Gas Market is very reliant on the</w:t>
      </w:r>
      <w:r w:rsidRPr="00163523">
        <w:rPr>
          <w:lang w:val="en-GB"/>
        </w:rPr>
        <w:t xml:space="preserve"> development of key gas decarbonisation technologies and improvement of their cost and performance</w:t>
      </w:r>
      <w:r w:rsidR="004A1BAC" w:rsidRPr="00163523">
        <w:rPr>
          <w:lang w:val="en-GB"/>
        </w:rPr>
        <w:t xml:space="preserve">. </w:t>
      </w:r>
      <w:r w:rsidRPr="00163523">
        <w:rPr>
          <w:lang w:val="en-GB"/>
        </w:rPr>
        <w:t xml:space="preserve"> </w:t>
      </w:r>
    </w:p>
    <w:p w14:paraId="492AF8FF" w14:textId="77777777" w:rsidR="007C185D" w:rsidRPr="00163523" w:rsidRDefault="007C185D" w:rsidP="007C185D">
      <w:pPr>
        <w:rPr>
          <w:lang w:val="en-GB"/>
        </w:rPr>
      </w:pPr>
    </w:p>
    <w:p w14:paraId="1397868E" w14:textId="1AD1EC31" w:rsidR="00F63E15" w:rsidRPr="00163523" w:rsidRDefault="00E16584" w:rsidP="00F63E15">
      <w:pPr>
        <w:rPr>
          <w:lang w:val="en-GB"/>
        </w:rPr>
      </w:pPr>
      <w:r w:rsidRPr="00163523">
        <w:rPr>
          <w:lang w:val="en-GB"/>
        </w:rPr>
        <w:t xml:space="preserve">The </w:t>
      </w:r>
      <w:r w:rsidRPr="00163523">
        <w:rPr>
          <w:b/>
          <w:lang w:val="en-GB"/>
        </w:rPr>
        <w:t xml:space="preserve">likelihood that </w:t>
      </w:r>
      <w:r w:rsidR="00F00DC5" w:rsidRPr="00163523">
        <w:rPr>
          <w:b/>
          <w:lang w:val="en-GB"/>
        </w:rPr>
        <w:t xml:space="preserve">this risk </w:t>
      </w:r>
      <w:r w:rsidR="000800A2" w:rsidRPr="00163523">
        <w:rPr>
          <w:b/>
          <w:lang w:val="en-GB"/>
        </w:rPr>
        <w:t xml:space="preserve">will </w:t>
      </w:r>
      <w:r w:rsidR="00F00DC5" w:rsidRPr="00163523">
        <w:rPr>
          <w:b/>
          <w:lang w:val="en-GB"/>
        </w:rPr>
        <w:t xml:space="preserve">materialize is </w:t>
      </w:r>
      <w:r w:rsidR="00863F33" w:rsidRPr="00163523">
        <w:rPr>
          <w:b/>
          <w:lang w:val="en-GB"/>
        </w:rPr>
        <w:t>‘medium’</w:t>
      </w:r>
      <w:r w:rsidR="00444300" w:rsidRPr="00163523">
        <w:rPr>
          <w:b/>
          <w:lang w:val="en-GB"/>
        </w:rPr>
        <w:t>.</w:t>
      </w:r>
      <w:r w:rsidR="00863F33" w:rsidRPr="00163523">
        <w:rPr>
          <w:lang w:val="en-GB"/>
        </w:rPr>
        <w:t xml:space="preserve"> </w:t>
      </w:r>
      <w:r w:rsidR="00444300" w:rsidRPr="00163523">
        <w:rPr>
          <w:lang w:val="en-GB"/>
        </w:rPr>
        <w:t>Although b</w:t>
      </w:r>
      <w:r w:rsidR="00F00DC5" w:rsidRPr="00163523">
        <w:rPr>
          <w:lang w:val="en-GB"/>
        </w:rPr>
        <w:t>iomethane and hydrogen technologies</w:t>
      </w:r>
      <w:r w:rsidR="00444300" w:rsidRPr="00163523">
        <w:rPr>
          <w:lang w:val="en-GB"/>
        </w:rPr>
        <w:t xml:space="preserve"> </w:t>
      </w:r>
      <w:r w:rsidR="00F00DC5" w:rsidRPr="00163523">
        <w:rPr>
          <w:lang w:val="en-GB"/>
        </w:rPr>
        <w:t xml:space="preserve">are already </w:t>
      </w:r>
      <w:r w:rsidR="00EE0E1F" w:rsidRPr="00163523">
        <w:rPr>
          <w:lang w:val="en-GB"/>
        </w:rPr>
        <w:t xml:space="preserve">reaching </w:t>
      </w:r>
      <w:r w:rsidR="00C21E74" w:rsidRPr="00163523">
        <w:rPr>
          <w:lang w:val="en-GB"/>
        </w:rPr>
        <w:t>sufficient technological maturity, cost</w:t>
      </w:r>
      <w:r w:rsidR="00A81C91" w:rsidRPr="00163523">
        <w:rPr>
          <w:lang w:val="en-GB"/>
        </w:rPr>
        <w:t>s</w:t>
      </w:r>
      <w:r w:rsidR="00C21E74" w:rsidRPr="00163523">
        <w:rPr>
          <w:lang w:val="en-GB"/>
        </w:rPr>
        <w:t xml:space="preserve"> </w:t>
      </w:r>
      <w:r w:rsidR="00FB536B" w:rsidRPr="00163523">
        <w:rPr>
          <w:lang w:val="en-GB"/>
        </w:rPr>
        <w:t xml:space="preserve">are still </w:t>
      </w:r>
      <w:r w:rsidR="00A81C91" w:rsidRPr="00163523">
        <w:rPr>
          <w:lang w:val="en-GB"/>
        </w:rPr>
        <w:t>high</w:t>
      </w:r>
      <w:r w:rsidR="00FB536B" w:rsidRPr="00163523">
        <w:rPr>
          <w:lang w:val="en-GB"/>
        </w:rPr>
        <w:t xml:space="preserve"> </w:t>
      </w:r>
      <w:r w:rsidR="00C2745E" w:rsidRPr="00163523">
        <w:rPr>
          <w:lang w:val="en-GB"/>
        </w:rPr>
        <w:t>but</w:t>
      </w:r>
      <w:r w:rsidR="00FB536B" w:rsidRPr="00163523">
        <w:rPr>
          <w:lang w:val="en-GB"/>
        </w:rPr>
        <w:t xml:space="preserve"> could</w:t>
      </w:r>
      <w:r w:rsidR="00C21E74" w:rsidRPr="00163523">
        <w:rPr>
          <w:lang w:val="en-GB"/>
        </w:rPr>
        <w:t xml:space="preserve"> be improved</w:t>
      </w:r>
      <w:r w:rsidR="00EE0E1F" w:rsidRPr="00163523">
        <w:rPr>
          <w:lang w:val="en-GB"/>
        </w:rPr>
        <w:t xml:space="preserve">. </w:t>
      </w:r>
      <w:r w:rsidR="00FB536B" w:rsidRPr="00163523">
        <w:rPr>
          <w:lang w:val="en-GB"/>
        </w:rPr>
        <w:t xml:space="preserve">In addition, there are several other considerations that may hinder the development of </w:t>
      </w:r>
      <w:r w:rsidR="00146210" w:rsidRPr="00163523">
        <w:rPr>
          <w:lang w:val="en-GB"/>
        </w:rPr>
        <w:t>these technologies. Hydrogen production highly depends on the deployment of renewable e</w:t>
      </w:r>
      <w:r w:rsidR="0035023B" w:rsidRPr="00163523">
        <w:rPr>
          <w:lang w:val="en-GB"/>
        </w:rPr>
        <w:t>lectricity</w:t>
      </w:r>
      <w:r w:rsidR="00146210" w:rsidRPr="00163523">
        <w:rPr>
          <w:lang w:val="en-GB"/>
        </w:rPr>
        <w:t xml:space="preserve">. It also relies on critical raw material imports and water availability. </w:t>
      </w:r>
      <w:r w:rsidR="00764379" w:rsidRPr="00163523">
        <w:rPr>
          <w:lang w:val="en-GB"/>
        </w:rPr>
        <w:t xml:space="preserve">Biomethane </w:t>
      </w:r>
      <w:r w:rsidR="00124AC0" w:rsidRPr="00163523">
        <w:rPr>
          <w:lang w:val="en-GB"/>
        </w:rPr>
        <w:t>relies on the availability of sustainable feedstock.</w:t>
      </w:r>
      <w:r w:rsidR="0044117F" w:rsidRPr="00163523">
        <w:rPr>
          <w:lang w:val="en-GB"/>
        </w:rPr>
        <w:t xml:space="preserve"> Both cost and technology maturity of SNG are not yet sufficient</w:t>
      </w:r>
      <w:r w:rsidR="006811A9" w:rsidRPr="00163523">
        <w:rPr>
          <w:lang w:val="en-GB"/>
        </w:rPr>
        <w:t>, and the cost is expected to remain high as per the decarbonization scenarios presented in Deliverable 3</w:t>
      </w:r>
      <w:r w:rsidR="0044117F" w:rsidRPr="00163523">
        <w:rPr>
          <w:lang w:val="en-GB"/>
        </w:rPr>
        <w:t>.</w:t>
      </w:r>
    </w:p>
    <w:p w14:paraId="650291C4" w14:textId="77777777" w:rsidR="00E16584" w:rsidRPr="00163523" w:rsidRDefault="00E16584" w:rsidP="00F63E15">
      <w:pPr>
        <w:rPr>
          <w:lang w:val="en-GB"/>
        </w:rPr>
      </w:pPr>
    </w:p>
    <w:p w14:paraId="29A761EE" w14:textId="1BDDE190" w:rsidR="00FC3CDD" w:rsidRPr="00163523" w:rsidRDefault="009F6CCB" w:rsidP="00F63E15">
      <w:pPr>
        <w:rPr>
          <w:lang w:val="en-GB"/>
        </w:rPr>
      </w:pPr>
      <w:r w:rsidRPr="00163523">
        <w:rPr>
          <w:lang w:val="en-GB"/>
        </w:rPr>
        <w:t xml:space="preserve">The maturity </w:t>
      </w:r>
      <w:r w:rsidR="008D3956" w:rsidRPr="00163523">
        <w:rPr>
          <w:lang w:val="en-GB"/>
        </w:rPr>
        <w:t xml:space="preserve">in terms of cost and performance </w:t>
      </w:r>
      <w:r w:rsidRPr="00163523">
        <w:rPr>
          <w:lang w:val="en-GB"/>
        </w:rPr>
        <w:t xml:space="preserve">of all decarbonization technologies cannot be ensured at this moment. Hence all decarbonization scenarios will be similarly impacted. </w:t>
      </w:r>
    </w:p>
    <w:p w14:paraId="50E90BBA" w14:textId="77777777" w:rsidR="00FC3CDD" w:rsidRPr="00163523" w:rsidRDefault="00FC3CDD" w:rsidP="00F63E15">
      <w:pPr>
        <w:rPr>
          <w:lang w:val="en-GB"/>
        </w:rPr>
      </w:pPr>
    </w:p>
    <w:tbl>
      <w:tblPr>
        <w:tblStyle w:val="Table1"/>
        <w:tblW w:w="8449" w:type="dxa"/>
        <w:tblLayout w:type="fixed"/>
        <w:tblLook w:val="04A0" w:firstRow="1" w:lastRow="0" w:firstColumn="1" w:lastColumn="0" w:noHBand="0" w:noVBand="1"/>
      </w:tblPr>
      <w:tblGrid>
        <w:gridCol w:w="2689"/>
        <w:gridCol w:w="864"/>
        <w:gridCol w:w="864"/>
        <w:gridCol w:w="865"/>
        <w:gridCol w:w="1731"/>
        <w:gridCol w:w="1436"/>
      </w:tblGrid>
      <w:tr w:rsidR="006E18C3" w:rsidRPr="00AD6D9C" w14:paraId="3202E697" w14:textId="77777777" w:rsidTr="0076227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89" w:type="dxa"/>
            <w:vMerge w:val="restart"/>
            <w:noWrap/>
          </w:tcPr>
          <w:p w14:paraId="5EBD0146" w14:textId="77777777" w:rsidR="006E18C3" w:rsidRPr="00163523" w:rsidRDefault="006E18C3" w:rsidP="0076227C">
            <w:pPr>
              <w:keepNext/>
              <w:spacing w:line="240" w:lineRule="auto"/>
              <w:ind w:left="0"/>
              <w:rPr>
                <w:rFonts w:eastAsia="Times New Roman"/>
                <w:sz w:val="16"/>
                <w:szCs w:val="16"/>
                <w:lang w:val="en-GB" w:eastAsia="en-GB"/>
              </w:rPr>
            </w:pPr>
            <w:r w:rsidRPr="00163523">
              <w:rPr>
                <w:rFonts w:eastAsia="Arial"/>
                <w:sz w:val="16"/>
                <w:szCs w:val="16"/>
                <w:lang w:val="en-GB"/>
              </w:rPr>
              <w:t>Risk</w:t>
            </w:r>
          </w:p>
        </w:tc>
        <w:tc>
          <w:tcPr>
            <w:tcW w:w="2593" w:type="dxa"/>
            <w:gridSpan w:val="3"/>
          </w:tcPr>
          <w:p w14:paraId="13E6CB0D" w14:textId="77777777" w:rsidR="006E18C3" w:rsidRPr="00163523" w:rsidRDefault="006E18C3" w:rsidP="0076227C">
            <w:pPr>
              <w:keepNext/>
              <w:spacing w:line="240" w:lineRule="auto"/>
              <w:ind w:left="0"/>
              <w:cnfStyle w:val="100000000000" w:firstRow="1" w:lastRow="0" w:firstColumn="0" w:lastColumn="0" w:oddVBand="0" w:evenVBand="0" w:oddHBand="0" w:evenHBand="0" w:firstRowFirstColumn="0" w:firstRowLastColumn="0" w:lastRowFirstColumn="0" w:lastRowLastColumn="0"/>
              <w:rPr>
                <w:rFonts w:eastAsia="Arial"/>
                <w:sz w:val="16"/>
                <w:szCs w:val="16"/>
                <w:lang w:val="en-GB"/>
              </w:rPr>
            </w:pPr>
            <w:r w:rsidRPr="00AD6D9C">
              <w:rPr>
                <w:rFonts w:eastAsia="Arial"/>
                <w:sz w:val="16"/>
                <w:szCs w:val="16"/>
                <w:lang w:val="en-GB"/>
              </w:rPr>
              <w:t>Applicable scenarios</w:t>
            </w:r>
          </w:p>
        </w:tc>
        <w:tc>
          <w:tcPr>
            <w:tcW w:w="1731" w:type="dxa"/>
            <w:vMerge w:val="restart"/>
            <w:noWrap/>
          </w:tcPr>
          <w:p w14:paraId="1808656D" w14:textId="77777777" w:rsidR="006E18C3" w:rsidRPr="00163523" w:rsidRDefault="006E18C3" w:rsidP="0076227C">
            <w:pPr>
              <w:keepNext/>
              <w:spacing w:line="240" w:lineRule="auto"/>
              <w:ind w:left="0"/>
              <w:cnfStyle w:val="100000000000" w:firstRow="1" w:lastRow="0" w:firstColumn="0" w:lastColumn="0" w:oddVBand="0" w:evenVBand="0" w:oddHBand="0" w:evenHBand="0" w:firstRowFirstColumn="0" w:firstRowLastColumn="0" w:lastRowFirstColumn="0" w:lastRowLastColumn="0"/>
              <w:rPr>
                <w:rFonts w:eastAsia="Times New Roman"/>
                <w:i/>
                <w:sz w:val="16"/>
                <w:szCs w:val="16"/>
                <w:lang w:val="en-GB" w:eastAsia="en-GB"/>
              </w:rPr>
            </w:pPr>
            <w:r w:rsidRPr="00163523">
              <w:rPr>
                <w:rFonts w:eastAsia="Arial"/>
                <w:sz w:val="16"/>
                <w:szCs w:val="16"/>
                <w:lang w:val="en-GB"/>
              </w:rPr>
              <w:t>Likelihood</w:t>
            </w:r>
          </w:p>
        </w:tc>
        <w:tc>
          <w:tcPr>
            <w:tcW w:w="1436" w:type="dxa"/>
            <w:vMerge w:val="restart"/>
            <w:noWrap/>
          </w:tcPr>
          <w:p w14:paraId="1527C6D0" w14:textId="77777777" w:rsidR="006E18C3" w:rsidRPr="00163523" w:rsidRDefault="006E18C3" w:rsidP="0076227C">
            <w:pPr>
              <w:keepNext/>
              <w:spacing w:line="240" w:lineRule="auto"/>
              <w:ind w:left="0"/>
              <w:cnfStyle w:val="100000000000" w:firstRow="1" w:lastRow="0" w:firstColumn="0" w:lastColumn="0" w:oddVBand="0" w:evenVBand="0" w:oddHBand="0" w:evenHBand="0" w:firstRowFirstColumn="0" w:firstRowLastColumn="0" w:lastRowFirstColumn="0" w:lastRowLastColumn="0"/>
              <w:rPr>
                <w:rFonts w:eastAsia="Times New Roman"/>
                <w:i/>
                <w:sz w:val="16"/>
                <w:szCs w:val="16"/>
                <w:lang w:val="en-GB" w:eastAsia="en-GB"/>
              </w:rPr>
            </w:pPr>
            <w:r w:rsidRPr="00163523">
              <w:rPr>
                <w:rFonts w:eastAsia="Arial"/>
                <w:sz w:val="16"/>
                <w:szCs w:val="16"/>
                <w:lang w:val="en-GB"/>
              </w:rPr>
              <w:t>Severity</w:t>
            </w:r>
          </w:p>
        </w:tc>
      </w:tr>
      <w:tr w:rsidR="006E18C3" w:rsidRPr="00AD6D9C" w14:paraId="1F4CAAAA" w14:textId="77777777" w:rsidTr="001C1440">
        <w:trPr>
          <w:trHeight w:val="20"/>
        </w:trPr>
        <w:tc>
          <w:tcPr>
            <w:cnfStyle w:val="001000000000" w:firstRow="0" w:lastRow="0" w:firstColumn="1" w:lastColumn="0" w:oddVBand="0" w:evenVBand="0" w:oddHBand="0" w:evenHBand="0" w:firstRowFirstColumn="0" w:firstRowLastColumn="0" w:lastRowFirstColumn="0" w:lastRowLastColumn="0"/>
            <w:tcW w:w="2689" w:type="dxa"/>
            <w:vMerge/>
            <w:noWrap/>
          </w:tcPr>
          <w:p w14:paraId="3454FE35" w14:textId="77777777" w:rsidR="006E18C3" w:rsidRPr="00AD6D9C" w:rsidRDefault="006E18C3" w:rsidP="0076227C">
            <w:pPr>
              <w:spacing w:line="240" w:lineRule="auto"/>
              <w:ind w:left="0"/>
              <w:jc w:val="center"/>
              <w:rPr>
                <w:rFonts w:eastAsia="Arial"/>
                <w:sz w:val="16"/>
                <w:szCs w:val="16"/>
                <w:lang w:val="en-GB"/>
              </w:rPr>
            </w:pPr>
          </w:p>
        </w:tc>
        <w:tc>
          <w:tcPr>
            <w:tcW w:w="864" w:type="dxa"/>
          </w:tcPr>
          <w:p w14:paraId="5C4FE1F0" w14:textId="77777777" w:rsidR="006E18C3" w:rsidRPr="00163523" w:rsidRDefault="006E18C3" w:rsidP="0076227C">
            <w:pPr>
              <w:spacing w:line="240" w:lineRule="auto"/>
              <w:ind w:left="0"/>
              <w:cnfStyle w:val="000000000000" w:firstRow="0" w:lastRow="0" w:firstColumn="0" w:lastColumn="0" w:oddVBand="0" w:evenVBand="0" w:oddHBand="0" w:evenHBand="0" w:firstRowFirstColumn="0" w:firstRowLastColumn="0" w:lastRowFirstColumn="0" w:lastRowLastColumn="0"/>
              <w:rPr>
                <w:rFonts w:eastAsia="Times New Roman"/>
                <w:b/>
                <w:color w:val="000000"/>
                <w:sz w:val="14"/>
                <w:szCs w:val="14"/>
                <w:lang w:val="en-GB" w:eastAsia="en-GB"/>
              </w:rPr>
            </w:pPr>
            <w:r w:rsidRPr="00163523">
              <w:rPr>
                <w:rFonts w:eastAsia="Arial"/>
                <w:sz w:val="14"/>
                <w:szCs w:val="14"/>
                <w:lang w:val="en-GB"/>
              </w:rPr>
              <w:t>REN-M</w:t>
            </w:r>
          </w:p>
        </w:tc>
        <w:tc>
          <w:tcPr>
            <w:tcW w:w="864" w:type="dxa"/>
          </w:tcPr>
          <w:p w14:paraId="7F9B9AB0" w14:textId="77777777" w:rsidR="006E18C3" w:rsidRPr="00163523" w:rsidRDefault="006E18C3" w:rsidP="0076227C">
            <w:pPr>
              <w:spacing w:line="240" w:lineRule="auto"/>
              <w:ind w:left="0"/>
              <w:cnfStyle w:val="000000000000" w:firstRow="0" w:lastRow="0" w:firstColumn="0" w:lastColumn="0" w:oddVBand="0" w:evenVBand="0" w:oddHBand="0" w:evenHBand="0" w:firstRowFirstColumn="0" w:firstRowLastColumn="0" w:lastRowFirstColumn="0" w:lastRowLastColumn="0"/>
              <w:rPr>
                <w:rFonts w:eastAsia="Times New Roman"/>
                <w:b/>
                <w:color w:val="000000"/>
                <w:sz w:val="14"/>
                <w:szCs w:val="14"/>
                <w:lang w:val="en-GB" w:eastAsia="en-GB"/>
              </w:rPr>
            </w:pPr>
            <w:r w:rsidRPr="00163523">
              <w:rPr>
                <w:rFonts w:eastAsia="Arial"/>
                <w:sz w:val="14"/>
                <w:szCs w:val="14"/>
                <w:lang w:val="en-GB"/>
              </w:rPr>
              <w:t>REN-H</w:t>
            </w:r>
          </w:p>
        </w:tc>
        <w:tc>
          <w:tcPr>
            <w:tcW w:w="865" w:type="dxa"/>
          </w:tcPr>
          <w:p w14:paraId="0F8A3E5D" w14:textId="77777777" w:rsidR="006E18C3" w:rsidRPr="00163523" w:rsidRDefault="006E18C3" w:rsidP="0076227C">
            <w:pPr>
              <w:spacing w:line="240" w:lineRule="auto"/>
              <w:ind w:left="0"/>
              <w:cnfStyle w:val="000000000000" w:firstRow="0" w:lastRow="0" w:firstColumn="0" w:lastColumn="0" w:oddVBand="0" w:evenVBand="0" w:oddHBand="0" w:evenHBand="0" w:firstRowFirstColumn="0" w:firstRowLastColumn="0" w:lastRowFirstColumn="0" w:lastRowLastColumn="0"/>
              <w:rPr>
                <w:rFonts w:eastAsia="Times New Roman"/>
                <w:b/>
                <w:color w:val="000000"/>
                <w:sz w:val="14"/>
                <w:szCs w:val="14"/>
                <w:lang w:val="en-GB" w:eastAsia="en-GB"/>
              </w:rPr>
            </w:pPr>
            <w:r w:rsidRPr="00163523">
              <w:rPr>
                <w:rFonts w:eastAsia="Arial"/>
                <w:sz w:val="14"/>
                <w:szCs w:val="14"/>
                <w:lang w:val="en-GB"/>
              </w:rPr>
              <w:t>CM</w:t>
            </w:r>
          </w:p>
        </w:tc>
        <w:tc>
          <w:tcPr>
            <w:tcW w:w="1731" w:type="dxa"/>
            <w:vMerge/>
            <w:shd w:val="clear" w:color="auto" w:fill="F9B7AC" w:themeFill="accent2" w:themeFillTint="66"/>
            <w:noWrap/>
          </w:tcPr>
          <w:p w14:paraId="458722F8" w14:textId="77777777" w:rsidR="006E18C3" w:rsidRPr="00163523" w:rsidRDefault="006E18C3" w:rsidP="0076227C">
            <w:pPr>
              <w:spacing w:line="240" w:lineRule="auto"/>
              <w:ind w:left="0"/>
              <w:cnfStyle w:val="000000000000" w:firstRow="0" w:lastRow="0" w:firstColumn="0" w:lastColumn="0" w:oddVBand="0" w:evenVBand="0" w:oddHBand="0" w:evenHBand="0" w:firstRowFirstColumn="0" w:firstRowLastColumn="0" w:lastRowFirstColumn="0" w:lastRowLastColumn="0"/>
              <w:rPr>
                <w:rFonts w:eastAsia="Times New Roman"/>
                <w:b/>
                <w:color w:val="000000"/>
                <w:sz w:val="16"/>
                <w:szCs w:val="16"/>
                <w:lang w:val="en-GB" w:eastAsia="en-GB"/>
              </w:rPr>
            </w:pPr>
          </w:p>
        </w:tc>
        <w:tc>
          <w:tcPr>
            <w:tcW w:w="1436" w:type="dxa"/>
            <w:vMerge/>
            <w:shd w:val="clear" w:color="auto" w:fill="FFD57B" w:themeFill="accent4" w:themeFillShade="E6"/>
            <w:noWrap/>
          </w:tcPr>
          <w:p w14:paraId="6C554BDF" w14:textId="77777777" w:rsidR="006E18C3" w:rsidRPr="00163523" w:rsidRDefault="006E18C3" w:rsidP="0076227C">
            <w:pPr>
              <w:spacing w:line="240" w:lineRule="auto"/>
              <w:ind w:left="0"/>
              <w:cnfStyle w:val="000000000000" w:firstRow="0" w:lastRow="0" w:firstColumn="0" w:lastColumn="0" w:oddVBand="0" w:evenVBand="0" w:oddHBand="0" w:evenHBand="0" w:firstRowFirstColumn="0" w:firstRowLastColumn="0" w:lastRowFirstColumn="0" w:lastRowLastColumn="0"/>
              <w:rPr>
                <w:rFonts w:eastAsia="Arial"/>
                <w:b/>
                <w:sz w:val="16"/>
                <w:szCs w:val="16"/>
                <w:lang w:val="en-GB"/>
              </w:rPr>
            </w:pPr>
          </w:p>
        </w:tc>
      </w:tr>
      <w:tr w:rsidR="006E18C3" w:rsidRPr="00AD6D9C" w14:paraId="003C48CE" w14:textId="77777777" w:rsidTr="001C1440">
        <w:trPr>
          <w:trHeight w:val="20"/>
        </w:trPr>
        <w:tc>
          <w:tcPr>
            <w:cnfStyle w:val="001000000000" w:firstRow="0" w:lastRow="0" w:firstColumn="1" w:lastColumn="0" w:oddVBand="0" w:evenVBand="0" w:oddHBand="0" w:evenHBand="0" w:firstRowFirstColumn="0" w:firstRowLastColumn="0" w:lastRowFirstColumn="0" w:lastRowLastColumn="0"/>
            <w:tcW w:w="2689" w:type="dxa"/>
            <w:noWrap/>
          </w:tcPr>
          <w:p w14:paraId="5B3C10F3" w14:textId="7FFD0BD5" w:rsidR="006E18C3" w:rsidRPr="00AD6D9C" w:rsidRDefault="00FC3CDD" w:rsidP="0076227C">
            <w:pPr>
              <w:spacing w:line="240" w:lineRule="auto"/>
              <w:ind w:left="0"/>
              <w:jc w:val="center"/>
              <w:rPr>
                <w:rFonts w:eastAsia="Times New Roman"/>
                <w:color w:val="000000"/>
                <w:sz w:val="16"/>
                <w:szCs w:val="16"/>
                <w:highlight w:val="yellow"/>
                <w:lang w:val="en-GB" w:eastAsia="en-GB"/>
              </w:rPr>
            </w:pPr>
            <w:r w:rsidRPr="00AD6D9C">
              <w:rPr>
                <w:rFonts w:eastAsia="Times New Roman"/>
                <w:color w:val="000000"/>
                <w:sz w:val="16"/>
                <w:szCs w:val="16"/>
                <w:lang w:val="en-GB" w:eastAsia="en-GB"/>
              </w:rPr>
              <w:t>Key gas decarbonisation technologies may not reach sufficient cost or performance improvements</w:t>
            </w:r>
          </w:p>
        </w:tc>
        <w:tc>
          <w:tcPr>
            <w:tcW w:w="864" w:type="dxa"/>
          </w:tcPr>
          <w:p w14:paraId="390CD1C8" w14:textId="1C9988F9" w:rsidR="006E18C3" w:rsidRPr="00163523" w:rsidRDefault="006E18C3" w:rsidP="0076227C">
            <w:pPr>
              <w:spacing w:line="240" w:lineRule="auto"/>
              <w:ind w:left="0"/>
              <w:cnfStyle w:val="000000000000" w:firstRow="0" w:lastRow="0" w:firstColumn="0" w:lastColumn="0" w:oddVBand="0" w:evenVBand="0" w:oddHBand="0" w:evenHBand="0" w:firstRowFirstColumn="0" w:firstRowLastColumn="0" w:lastRowFirstColumn="0" w:lastRowLastColumn="0"/>
              <w:rPr>
                <w:rFonts w:eastAsia="Times New Roman"/>
                <w:b/>
                <w:color w:val="000000"/>
                <w:sz w:val="16"/>
                <w:szCs w:val="16"/>
                <w:lang w:val="en-GB" w:eastAsia="en-GB"/>
              </w:rPr>
            </w:pPr>
            <w:r w:rsidRPr="00163523">
              <w:rPr>
                <w:rFonts w:ascii="Wingdings" w:eastAsia="Wingdings" w:hAnsi="Wingdings" w:cs="Wingdings"/>
                <w:b/>
                <w:color w:val="000000"/>
                <w:sz w:val="16"/>
                <w:szCs w:val="16"/>
                <w:lang w:val="en-GB" w:eastAsia="en-GB"/>
              </w:rPr>
              <w:t>ü</w:t>
            </w:r>
            <w:r w:rsidR="001152B5" w:rsidRPr="00163523">
              <w:rPr>
                <w:rFonts w:ascii="Wingdings" w:eastAsia="Wingdings" w:hAnsi="Wingdings" w:cs="Wingdings"/>
                <w:b/>
                <w:color w:val="000000"/>
                <w:sz w:val="16"/>
                <w:szCs w:val="16"/>
                <w:lang w:val="en-GB" w:eastAsia="en-GB"/>
              </w:rPr>
              <w:t>ü</w:t>
            </w:r>
          </w:p>
        </w:tc>
        <w:tc>
          <w:tcPr>
            <w:tcW w:w="864" w:type="dxa"/>
            <w:shd w:val="clear" w:color="auto" w:fill="FFFFFF" w:themeFill="background1"/>
          </w:tcPr>
          <w:p w14:paraId="3BD8C304" w14:textId="586384B3" w:rsidR="006E18C3" w:rsidRPr="00163523" w:rsidRDefault="006E18C3" w:rsidP="0076227C">
            <w:pPr>
              <w:spacing w:line="240" w:lineRule="auto"/>
              <w:ind w:left="0"/>
              <w:cnfStyle w:val="000000000000" w:firstRow="0" w:lastRow="0" w:firstColumn="0" w:lastColumn="0" w:oddVBand="0" w:evenVBand="0" w:oddHBand="0" w:evenHBand="0" w:firstRowFirstColumn="0" w:firstRowLastColumn="0" w:lastRowFirstColumn="0" w:lastRowLastColumn="0"/>
              <w:rPr>
                <w:rFonts w:eastAsia="Times New Roman"/>
                <w:b/>
                <w:color w:val="000000"/>
                <w:sz w:val="16"/>
                <w:szCs w:val="16"/>
                <w:lang w:val="en-GB" w:eastAsia="en-GB"/>
              </w:rPr>
            </w:pPr>
            <w:r w:rsidRPr="00163523">
              <w:rPr>
                <w:rFonts w:ascii="Wingdings" w:eastAsia="Wingdings" w:hAnsi="Wingdings" w:cs="Wingdings"/>
                <w:b/>
                <w:color w:val="000000"/>
                <w:sz w:val="16"/>
                <w:szCs w:val="16"/>
                <w:lang w:val="en-GB" w:eastAsia="en-GB"/>
              </w:rPr>
              <w:t>ü</w:t>
            </w:r>
            <w:r w:rsidR="0036596E" w:rsidRPr="00163523">
              <w:rPr>
                <w:rFonts w:ascii="Wingdings" w:eastAsia="Wingdings" w:hAnsi="Wingdings" w:cs="Wingdings"/>
                <w:b/>
                <w:color w:val="000000"/>
                <w:sz w:val="16"/>
                <w:szCs w:val="16"/>
                <w:lang w:val="en-GB" w:eastAsia="en-GB"/>
              </w:rPr>
              <w:t>ü</w:t>
            </w:r>
          </w:p>
        </w:tc>
        <w:tc>
          <w:tcPr>
            <w:tcW w:w="865" w:type="dxa"/>
            <w:shd w:val="clear" w:color="auto" w:fill="FFFFFF" w:themeFill="background1"/>
          </w:tcPr>
          <w:p w14:paraId="05BE56BC" w14:textId="492886C2" w:rsidR="006E18C3" w:rsidRPr="00163523" w:rsidRDefault="006E18C3" w:rsidP="0076227C">
            <w:pPr>
              <w:spacing w:line="240" w:lineRule="auto"/>
              <w:ind w:left="0"/>
              <w:cnfStyle w:val="000000000000" w:firstRow="0" w:lastRow="0" w:firstColumn="0" w:lastColumn="0" w:oddVBand="0" w:evenVBand="0" w:oddHBand="0" w:evenHBand="0" w:firstRowFirstColumn="0" w:firstRowLastColumn="0" w:lastRowFirstColumn="0" w:lastRowLastColumn="0"/>
              <w:rPr>
                <w:rFonts w:eastAsia="Times New Roman"/>
                <w:b/>
                <w:color w:val="000000"/>
                <w:sz w:val="16"/>
                <w:szCs w:val="16"/>
                <w:lang w:val="en-GB" w:eastAsia="en-GB"/>
              </w:rPr>
            </w:pPr>
            <w:r w:rsidRPr="00163523">
              <w:rPr>
                <w:rFonts w:ascii="Wingdings" w:eastAsia="Wingdings" w:hAnsi="Wingdings" w:cs="Wingdings"/>
                <w:b/>
                <w:color w:val="000000"/>
                <w:sz w:val="16"/>
                <w:szCs w:val="16"/>
                <w:lang w:val="en-GB" w:eastAsia="en-GB"/>
              </w:rPr>
              <w:t>ü</w:t>
            </w:r>
            <w:r w:rsidR="001152B5" w:rsidRPr="00163523">
              <w:rPr>
                <w:rFonts w:ascii="Wingdings" w:eastAsia="Wingdings" w:hAnsi="Wingdings" w:cs="Wingdings"/>
                <w:b/>
                <w:color w:val="000000"/>
                <w:sz w:val="16"/>
                <w:szCs w:val="16"/>
                <w:lang w:val="en-GB" w:eastAsia="en-GB"/>
              </w:rPr>
              <w:t>ü</w:t>
            </w:r>
          </w:p>
        </w:tc>
        <w:tc>
          <w:tcPr>
            <w:tcW w:w="1731" w:type="dxa"/>
            <w:shd w:val="clear" w:color="auto" w:fill="FFD57B" w:themeFill="accent4" w:themeFillShade="E6"/>
            <w:noWrap/>
          </w:tcPr>
          <w:p w14:paraId="72121B72" w14:textId="1667FDCB" w:rsidR="006E18C3" w:rsidRPr="00163523" w:rsidRDefault="00863F33" w:rsidP="0076227C">
            <w:pPr>
              <w:spacing w:line="240" w:lineRule="auto"/>
              <w:ind w:left="0"/>
              <w:cnfStyle w:val="000000000000" w:firstRow="0" w:lastRow="0" w:firstColumn="0" w:lastColumn="0" w:oddVBand="0" w:evenVBand="0" w:oddHBand="0" w:evenHBand="0" w:firstRowFirstColumn="0" w:firstRowLastColumn="0" w:lastRowFirstColumn="0" w:lastRowLastColumn="0"/>
              <w:rPr>
                <w:rFonts w:eastAsia="Times New Roman"/>
                <w:b/>
                <w:color w:val="000000"/>
                <w:sz w:val="16"/>
                <w:szCs w:val="16"/>
                <w:lang w:val="en-GB" w:eastAsia="en-GB"/>
              </w:rPr>
            </w:pPr>
            <w:r w:rsidRPr="00163523">
              <w:rPr>
                <w:rFonts w:eastAsia="Times New Roman"/>
                <w:b/>
                <w:color w:val="000000"/>
                <w:sz w:val="16"/>
                <w:szCs w:val="16"/>
                <w:lang w:val="en-GB" w:eastAsia="en-GB"/>
              </w:rPr>
              <w:t>Medium</w:t>
            </w:r>
            <w:r w:rsidR="002C0E5C" w:rsidRPr="00163523">
              <w:rPr>
                <w:rStyle w:val="Voetnootmarkering"/>
                <w:rFonts w:eastAsia="Times New Roman"/>
                <w:b/>
                <w:color w:val="000000"/>
                <w:sz w:val="16"/>
                <w:szCs w:val="16"/>
                <w:lang w:val="en-GB" w:eastAsia="en-GB"/>
              </w:rPr>
              <w:footnoteReference w:id="81"/>
            </w:r>
          </w:p>
        </w:tc>
        <w:tc>
          <w:tcPr>
            <w:tcW w:w="1436" w:type="dxa"/>
            <w:shd w:val="clear" w:color="auto" w:fill="F9B7AC" w:themeFill="accent2" w:themeFillTint="66"/>
            <w:noWrap/>
          </w:tcPr>
          <w:p w14:paraId="3BB3EA9C" w14:textId="7D0EA16C" w:rsidR="006E18C3" w:rsidRPr="00163523" w:rsidRDefault="00191426" w:rsidP="0076227C">
            <w:pPr>
              <w:spacing w:line="240" w:lineRule="auto"/>
              <w:ind w:left="0"/>
              <w:cnfStyle w:val="000000000000" w:firstRow="0" w:lastRow="0" w:firstColumn="0" w:lastColumn="0" w:oddVBand="0" w:evenVBand="0" w:oddHBand="0" w:evenHBand="0" w:firstRowFirstColumn="0" w:firstRowLastColumn="0" w:lastRowFirstColumn="0" w:lastRowLastColumn="0"/>
              <w:rPr>
                <w:rFonts w:eastAsia="Times New Roman"/>
                <w:b/>
                <w:i/>
                <w:color w:val="000000"/>
                <w:sz w:val="16"/>
                <w:szCs w:val="16"/>
                <w:lang w:val="en-GB" w:eastAsia="en-GB"/>
              </w:rPr>
            </w:pPr>
            <w:r w:rsidRPr="00163523">
              <w:rPr>
                <w:rFonts w:eastAsia="Arial"/>
                <w:b/>
                <w:sz w:val="16"/>
                <w:szCs w:val="16"/>
                <w:lang w:val="en-GB"/>
              </w:rPr>
              <w:t>High</w:t>
            </w:r>
          </w:p>
        </w:tc>
      </w:tr>
    </w:tbl>
    <w:p w14:paraId="73855FE6" w14:textId="77777777" w:rsidR="006E18C3" w:rsidRPr="00163523" w:rsidRDefault="006E18C3" w:rsidP="00F63E15">
      <w:pPr>
        <w:rPr>
          <w:lang w:val="en-GB"/>
        </w:rPr>
      </w:pPr>
    </w:p>
    <w:p w14:paraId="5A10874D" w14:textId="77777777" w:rsidR="00F63E15" w:rsidRPr="00163523" w:rsidRDefault="00F63E15" w:rsidP="00F63E15">
      <w:pPr>
        <w:pStyle w:val="Kop4"/>
        <w:rPr>
          <w:lang w:val="en-GB"/>
        </w:rPr>
      </w:pPr>
      <w:r>
        <w:rPr>
          <w:lang w:val="en-GB"/>
        </w:rPr>
        <w:t xml:space="preserve">Potential </w:t>
      </w:r>
      <w:r w:rsidRPr="00163523">
        <w:rPr>
          <w:lang w:val="en-GB"/>
        </w:rPr>
        <w:t>mitigation measures</w:t>
      </w:r>
    </w:p>
    <w:p w14:paraId="686204CE" w14:textId="77777777" w:rsidR="008B63DD" w:rsidRPr="00163523" w:rsidRDefault="008B63DD" w:rsidP="008B63DD">
      <w:pPr>
        <w:rPr>
          <w:lang w:val="en-GB"/>
        </w:rPr>
      </w:pPr>
      <w:r w:rsidRPr="00163523">
        <w:rPr>
          <w:lang w:val="en-GB"/>
        </w:rPr>
        <w:t>The following measures can be considered to reduce the likelihood and/or severity of this risk:</w:t>
      </w:r>
    </w:p>
    <w:p w14:paraId="135F4268" w14:textId="73B0078D" w:rsidR="008B63DD" w:rsidRPr="009F6CCB" w:rsidRDefault="003C1F73" w:rsidP="008B63DD">
      <w:pPr>
        <w:pStyle w:val="Bulletpoint"/>
      </w:pPr>
      <w:r>
        <w:t>Public</w:t>
      </w:r>
      <w:r w:rsidR="00E8742B">
        <w:t>ly fund</w:t>
      </w:r>
      <w:r w:rsidR="00014FBA">
        <w:t>ed</w:t>
      </w:r>
      <w:r w:rsidR="009F6CCB">
        <w:t xml:space="preserve"> R&amp;D&amp;I </w:t>
      </w:r>
      <w:r w:rsidR="00E8742B">
        <w:t xml:space="preserve">programs </w:t>
      </w:r>
      <w:r w:rsidR="00B53629">
        <w:t xml:space="preserve">focused on </w:t>
      </w:r>
      <w:r w:rsidR="008D3956">
        <w:t xml:space="preserve">the </w:t>
      </w:r>
      <w:r w:rsidR="00E8742B">
        <w:t>development and improvement</w:t>
      </w:r>
      <w:r w:rsidR="008D3956">
        <w:t xml:space="preserve"> of </w:t>
      </w:r>
      <w:r w:rsidR="005549D5">
        <w:t xml:space="preserve">gas </w:t>
      </w:r>
      <w:r w:rsidR="008D3956">
        <w:t>decarbonisation technologies</w:t>
      </w:r>
      <w:r w:rsidR="00014FBA">
        <w:t>, renewable energy technologies, energy storage and biomass conversion processes</w:t>
      </w:r>
      <w:r w:rsidR="008D3956">
        <w:t>.</w:t>
      </w:r>
      <w:r w:rsidR="00014FBA" w:rsidRPr="00014FBA">
        <w:t xml:space="preserve"> This will enhance the efficiency and scalability of both hydrogen and biomethane production methods, making them more cost-effective and commercially viable</w:t>
      </w:r>
      <w:r w:rsidR="008D3956">
        <w:t>.</w:t>
      </w:r>
    </w:p>
    <w:bookmarkEnd w:id="79"/>
    <w:p w14:paraId="7EF34B17" w14:textId="3F9CF274" w:rsidR="005549D5" w:rsidRPr="005549D5" w:rsidRDefault="00E8742B" w:rsidP="005549D5">
      <w:pPr>
        <w:pStyle w:val="Lijstalinea"/>
      </w:pPr>
      <w:r>
        <w:t>Reducing subsidies to fossil fuel-based technologies to increase the competitiveness of gas decarbonisation technologies.</w:t>
      </w:r>
    </w:p>
    <w:p w14:paraId="50CE201D" w14:textId="3C8B96A2" w:rsidR="00557B80" w:rsidRPr="005549D5" w:rsidRDefault="00FE24D3" w:rsidP="005549D5">
      <w:pPr>
        <w:pStyle w:val="Lijstalinea"/>
      </w:pPr>
      <w:r>
        <w:t>T</w:t>
      </w:r>
      <w:r w:rsidR="00557B80">
        <w:t>ransparent ambitions</w:t>
      </w:r>
      <w:r>
        <w:t xml:space="preserve"> and clear planning</w:t>
      </w:r>
      <w:r w:rsidR="00557B80">
        <w:t xml:space="preserve"> at national level to reduce the uncertainty and risks for investing in gas decarbonization technologies. </w:t>
      </w:r>
    </w:p>
    <w:p w14:paraId="7BB14063" w14:textId="77777777" w:rsidR="00F63E15" w:rsidRDefault="00F63E15" w:rsidP="000C0A9C">
      <w:pPr>
        <w:rPr>
          <w:lang w:val="en-GB"/>
        </w:rPr>
      </w:pPr>
    </w:p>
    <w:p w14:paraId="6EBC517C" w14:textId="16194D35" w:rsidR="00F63E15" w:rsidRDefault="00F63E15" w:rsidP="00F63E15">
      <w:pPr>
        <w:pStyle w:val="Kop2"/>
      </w:pPr>
      <w:bookmarkStart w:id="82" w:name="_Ref137116861"/>
      <w:bookmarkStart w:id="83" w:name="_Ref137116876"/>
      <w:bookmarkStart w:id="84" w:name="_Ref137116879"/>
      <w:bookmarkStart w:id="85" w:name="_Toc138492614"/>
      <w:bookmarkStart w:id="86" w:name="_Toc144803021"/>
      <w:r>
        <w:t xml:space="preserve">Risk </w:t>
      </w:r>
      <w:r w:rsidR="005303B6">
        <w:t>1</w:t>
      </w:r>
      <w:r w:rsidR="00E00BD4">
        <w:t>5</w:t>
      </w:r>
      <w:r>
        <w:t xml:space="preserve">: </w:t>
      </w:r>
      <w:r w:rsidR="005303B6" w:rsidRPr="005303B6">
        <w:t>Safety risks or their perception restrict infrastructure development or certain supply/demand solutions</w:t>
      </w:r>
      <w:bookmarkEnd w:id="82"/>
      <w:bookmarkEnd w:id="83"/>
      <w:bookmarkEnd w:id="84"/>
      <w:bookmarkEnd w:id="85"/>
      <w:bookmarkEnd w:id="86"/>
    </w:p>
    <w:p w14:paraId="0BBE20CD" w14:textId="229BC1CD" w:rsidR="00F63E15" w:rsidRPr="00163523" w:rsidRDefault="00F63E15" w:rsidP="00F63E15">
      <w:pPr>
        <w:pStyle w:val="Kop4"/>
        <w:rPr>
          <w:lang w:val="en-GB"/>
        </w:rPr>
      </w:pPr>
      <w:r>
        <w:rPr>
          <w:lang w:val="en-GB"/>
        </w:rPr>
        <w:t>D</w:t>
      </w:r>
      <w:r w:rsidRPr="00163523">
        <w:rPr>
          <w:lang w:val="en-GB"/>
        </w:rPr>
        <w:t xml:space="preserve">escription of the risk, </w:t>
      </w:r>
      <w:r w:rsidR="00803ADE" w:rsidRPr="00163523">
        <w:rPr>
          <w:lang w:val="en-GB"/>
        </w:rPr>
        <w:t>covering the Baltic Regional Gas Market</w:t>
      </w:r>
    </w:p>
    <w:p w14:paraId="33DA456E" w14:textId="7CA31B5B" w:rsidR="006C0CCD" w:rsidRPr="00163523" w:rsidRDefault="001C2DDC" w:rsidP="00391AA4">
      <w:pPr>
        <w:rPr>
          <w:lang w:val="en-GB"/>
        </w:rPr>
      </w:pPr>
      <w:r w:rsidRPr="00163523">
        <w:rPr>
          <w:lang w:val="en-GB"/>
        </w:rPr>
        <w:t>This is c</w:t>
      </w:r>
      <w:r w:rsidR="006961A8" w:rsidRPr="00163523">
        <w:rPr>
          <w:lang w:val="en-GB"/>
        </w:rPr>
        <w:t>urrently</w:t>
      </w:r>
      <w:r w:rsidRPr="00163523">
        <w:rPr>
          <w:lang w:val="en-GB"/>
        </w:rPr>
        <w:t xml:space="preserve"> a </w:t>
      </w:r>
      <w:r w:rsidR="004E6EE3" w:rsidRPr="00163523">
        <w:rPr>
          <w:lang w:val="en-GB"/>
        </w:rPr>
        <w:t>major</w:t>
      </w:r>
      <w:r w:rsidR="006961A8" w:rsidRPr="00163523">
        <w:rPr>
          <w:lang w:val="en-GB"/>
        </w:rPr>
        <w:t xml:space="preserve"> </w:t>
      </w:r>
      <w:r w:rsidR="004E6EE3" w:rsidRPr="00163523">
        <w:rPr>
          <w:lang w:val="en-GB"/>
        </w:rPr>
        <w:t xml:space="preserve">(perceived) </w:t>
      </w:r>
      <w:r w:rsidR="006E4009" w:rsidRPr="00163523">
        <w:rPr>
          <w:lang w:val="en-GB"/>
        </w:rPr>
        <w:t xml:space="preserve">risk related to </w:t>
      </w:r>
      <w:r w:rsidR="00AB7DD3" w:rsidRPr="00163523">
        <w:rPr>
          <w:lang w:val="en-GB"/>
        </w:rPr>
        <w:t xml:space="preserve">the deployment of </w:t>
      </w:r>
      <w:r w:rsidR="006E4009" w:rsidRPr="00163523">
        <w:rPr>
          <w:lang w:val="en-GB"/>
        </w:rPr>
        <w:t xml:space="preserve">hydrogen and hydrogen derivatives. While </w:t>
      </w:r>
      <w:r w:rsidR="002D4249" w:rsidRPr="00163523">
        <w:rPr>
          <w:lang w:val="en-GB"/>
        </w:rPr>
        <w:t xml:space="preserve">the use of these fuels in industry is very mature, the upscaling of production and demand, transportation </w:t>
      </w:r>
      <w:r w:rsidR="00A870C5" w:rsidRPr="00163523">
        <w:rPr>
          <w:lang w:val="en-GB"/>
        </w:rPr>
        <w:t>over</w:t>
      </w:r>
      <w:r w:rsidR="002D4249" w:rsidRPr="00163523">
        <w:rPr>
          <w:lang w:val="en-GB"/>
        </w:rPr>
        <w:t xml:space="preserve"> large distances and use in new applications </w:t>
      </w:r>
      <w:r w:rsidR="00995B59" w:rsidRPr="00163523">
        <w:rPr>
          <w:lang w:val="en-GB"/>
        </w:rPr>
        <w:t xml:space="preserve">raise the need for new </w:t>
      </w:r>
      <w:r w:rsidR="003865BE" w:rsidRPr="00163523">
        <w:rPr>
          <w:lang w:val="en-GB"/>
        </w:rPr>
        <w:t xml:space="preserve">risk </w:t>
      </w:r>
      <w:r w:rsidR="00995B59" w:rsidRPr="00163523">
        <w:rPr>
          <w:lang w:val="en-GB"/>
        </w:rPr>
        <w:t xml:space="preserve">studies and </w:t>
      </w:r>
      <w:r w:rsidR="003865BE" w:rsidRPr="00163523">
        <w:rPr>
          <w:lang w:val="en-GB"/>
        </w:rPr>
        <w:t xml:space="preserve">adequate </w:t>
      </w:r>
      <w:r w:rsidR="00995B59" w:rsidRPr="00163523">
        <w:rPr>
          <w:lang w:val="en-GB"/>
        </w:rPr>
        <w:t>safety standards</w:t>
      </w:r>
      <w:r w:rsidR="0091152B" w:rsidRPr="00163523">
        <w:rPr>
          <w:lang w:val="en-GB"/>
        </w:rPr>
        <w:t xml:space="preserve">. The European Commission and other stakeholders have </w:t>
      </w:r>
      <w:r w:rsidR="008C6137" w:rsidRPr="00163523">
        <w:rPr>
          <w:lang w:val="en-GB"/>
        </w:rPr>
        <w:t>taken measures to increase the knowledge regarding hydrogen safety for years now.</w:t>
      </w:r>
      <w:r w:rsidR="006C0CCD" w:rsidRPr="00163523">
        <w:rPr>
          <w:rStyle w:val="Voetnootmarkering"/>
          <w:lang w:val="en-GB"/>
        </w:rPr>
        <w:footnoteReference w:id="82"/>
      </w:r>
    </w:p>
    <w:p w14:paraId="530F83CC" w14:textId="77777777" w:rsidR="00391AA4" w:rsidRPr="00163523" w:rsidRDefault="00391AA4" w:rsidP="00391AA4">
      <w:pPr>
        <w:rPr>
          <w:lang w:val="en-GB"/>
        </w:rPr>
      </w:pPr>
    </w:p>
    <w:p w14:paraId="1F886E83" w14:textId="6B2393F0" w:rsidR="00405F4F" w:rsidRPr="00163523" w:rsidRDefault="00405F4F" w:rsidP="00391AA4">
      <w:pPr>
        <w:rPr>
          <w:lang w:val="en-GB"/>
        </w:rPr>
      </w:pPr>
      <w:r w:rsidRPr="00163523">
        <w:rPr>
          <w:lang w:val="en-GB"/>
        </w:rPr>
        <w:t>The European Hydrogen Safety Panel was set up in 2017</w:t>
      </w:r>
      <w:r w:rsidR="00B502EE" w:rsidRPr="00163523">
        <w:rPr>
          <w:lang w:val="en-GB"/>
        </w:rPr>
        <w:t xml:space="preserve"> to: </w:t>
      </w:r>
    </w:p>
    <w:p w14:paraId="2E79762E" w14:textId="3668868E" w:rsidR="00B502EE" w:rsidRDefault="00B502EE" w:rsidP="00391AA4">
      <w:pPr>
        <w:pStyle w:val="Lijstalinea"/>
      </w:pPr>
      <w:r>
        <w:t>“Assist the JU at programme and project levels, and beyond, in assuring that hydrogen safety is adequately addressed and managed;</w:t>
      </w:r>
    </w:p>
    <w:p w14:paraId="7A679C63" w14:textId="19F88D92" w:rsidR="00B502EE" w:rsidRDefault="00B502EE" w:rsidP="00391AA4">
      <w:pPr>
        <w:pStyle w:val="Lijstalinea"/>
      </w:pPr>
      <w:r>
        <w:lastRenderedPageBreak/>
        <w:t>Promote and disseminate hydrogen safety knowledge and culture within and outside of the JU's programme”</w:t>
      </w:r>
      <w:r w:rsidRPr="00B502EE">
        <w:rPr>
          <w:rStyle w:val="Voetnootmarkering"/>
        </w:rPr>
        <w:t xml:space="preserve"> </w:t>
      </w:r>
      <w:r>
        <w:rPr>
          <w:rStyle w:val="Voetnootmarkering"/>
        </w:rPr>
        <w:footnoteReference w:id="83"/>
      </w:r>
    </w:p>
    <w:p w14:paraId="0698A574" w14:textId="77777777" w:rsidR="00391AA4" w:rsidRPr="00163523" w:rsidRDefault="00391AA4" w:rsidP="00391AA4">
      <w:pPr>
        <w:rPr>
          <w:lang w:val="en-GB"/>
        </w:rPr>
      </w:pPr>
    </w:p>
    <w:p w14:paraId="17FD0462" w14:textId="1B016861" w:rsidR="00F63E15" w:rsidRDefault="005B4A84" w:rsidP="00391AA4">
      <w:pPr>
        <w:rPr>
          <w:lang w:val="en-GB"/>
        </w:rPr>
      </w:pPr>
      <w:r w:rsidRPr="00391AA4">
        <w:rPr>
          <w:lang w:val="en-GB"/>
        </w:rPr>
        <w:t>H</w:t>
      </w:r>
      <w:r w:rsidR="00B33971" w:rsidRPr="00391AA4">
        <w:rPr>
          <w:lang w:val="en-GB"/>
        </w:rPr>
        <w:t xml:space="preserve">ydrogen </w:t>
      </w:r>
      <w:r w:rsidRPr="00391AA4">
        <w:rPr>
          <w:lang w:val="en-GB"/>
        </w:rPr>
        <w:t>safety risks c</w:t>
      </w:r>
      <w:r w:rsidR="00954781">
        <w:rPr>
          <w:lang w:val="en-GB"/>
        </w:rPr>
        <w:t>an</w:t>
      </w:r>
      <w:r w:rsidRPr="00391AA4">
        <w:rPr>
          <w:lang w:val="en-GB"/>
        </w:rPr>
        <w:t xml:space="preserve"> be considered higher than for other fuels such as gasoline or natural gas due to </w:t>
      </w:r>
      <w:r w:rsidR="003164D1">
        <w:rPr>
          <w:lang w:val="en-GB"/>
        </w:rPr>
        <w:t xml:space="preserve">the </w:t>
      </w:r>
      <w:r w:rsidR="005B7017" w:rsidRPr="00391AA4">
        <w:rPr>
          <w:lang w:val="en-GB"/>
        </w:rPr>
        <w:t>low ignition energy required, flammable range, high storage pressures and containment issue</w:t>
      </w:r>
      <w:r w:rsidR="00D51A4E" w:rsidRPr="00391AA4">
        <w:rPr>
          <w:lang w:val="en-GB"/>
        </w:rPr>
        <w:t>s</w:t>
      </w:r>
      <w:r w:rsidR="00391AA4">
        <w:rPr>
          <w:lang w:val="en-GB"/>
        </w:rPr>
        <w:t>.</w:t>
      </w:r>
      <w:r w:rsidR="005B7017" w:rsidRPr="00163523">
        <w:rPr>
          <w:rStyle w:val="Voetnootmarkering"/>
          <w:lang w:val="en-GB"/>
        </w:rPr>
        <w:footnoteReference w:id="84"/>
      </w:r>
      <w:r w:rsidR="00391AA4">
        <w:rPr>
          <w:lang w:val="en-GB"/>
        </w:rPr>
        <w:t xml:space="preserve"> </w:t>
      </w:r>
      <w:r w:rsidR="006F62C1" w:rsidRPr="00391AA4">
        <w:rPr>
          <w:lang w:val="en-GB"/>
        </w:rPr>
        <w:t>However, t</w:t>
      </w:r>
      <w:r w:rsidR="00557807" w:rsidRPr="00391AA4">
        <w:rPr>
          <w:lang w:val="en-GB"/>
        </w:rPr>
        <w:t xml:space="preserve">he Clean Hydrogen Joint Undertaking </w:t>
      </w:r>
      <w:r w:rsidR="006F62C1" w:rsidRPr="00391AA4">
        <w:rPr>
          <w:lang w:val="en-GB"/>
        </w:rPr>
        <w:t xml:space="preserve">and experts </w:t>
      </w:r>
      <w:r w:rsidR="00557807" w:rsidRPr="00391AA4">
        <w:rPr>
          <w:lang w:val="en-GB"/>
        </w:rPr>
        <w:t>indicate that “Hydrogen systems can be as safe as systems based on conventional energy carriers, provided the specific properties of hydrogen and the hydrogen system are properly addressed”</w:t>
      </w:r>
      <w:r w:rsidR="00391AA4">
        <w:rPr>
          <w:lang w:val="en-GB"/>
        </w:rPr>
        <w:t>.</w:t>
      </w:r>
      <w:r w:rsidR="00557807" w:rsidRPr="00163523">
        <w:rPr>
          <w:rStyle w:val="Voetnootmarkering"/>
          <w:lang w:val="en-GB"/>
        </w:rPr>
        <w:footnoteReference w:id="85"/>
      </w:r>
    </w:p>
    <w:p w14:paraId="7153CC69" w14:textId="77777777" w:rsidR="00391AA4" w:rsidRPr="00391AA4" w:rsidRDefault="00391AA4" w:rsidP="00391AA4">
      <w:pPr>
        <w:rPr>
          <w:lang w:val="en-GB"/>
        </w:rPr>
      </w:pPr>
    </w:p>
    <w:p w14:paraId="47C12B16" w14:textId="6B216E8F" w:rsidR="00BB7800" w:rsidRPr="00163523" w:rsidRDefault="006F62C1" w:rsidP="00391AA4">
      <w:pPr>
        <w:rPr>
          <w:lang w:val="en-GB"/>
        </w:rPr>
      </w:pPr>
      <w:r w:rsidRPr="00163523">
        <w:rPr>
          <w:lang w:val="en-GB"/>
        </w:rPr>
        <w:t>Still</w:t>
      </w:r>
      <w:r w:rsidR="008C6137" w:rsidRPr="00163523">
        <w:rPr>
          <w:lang w:val="en-GB"/>
        </w:rPr>
        <w:t>, the expected changes in the hydrogen industry</w:t>
      </w:r>
      <w:r w:rsidR="003F0124" w:rsidRPr="00163523">
        <w:rPr>
          <w:lang w:val="en-GB"/>
        </w:rPr>
        <w:t xml:space="preserve"> (particularly the use in consumer-facing applications)</w:t>
      </w:r>
      <w:r w:rsidR="008C6137" w:rsidRPr="00163523">
        <w:rPr>
          <w:lang w:val="en-GB"/>
        </w:rPr>
        <w:t xml:space="preserve"> combined with the lack of familiarity of consumers until now can lead to a perception of safety risks by the general public</w:t>
      </w:r>
      <w:r w:rsidR="003F0124" w:rsidRPr="00163523">
        <w:rPr>
          <w:lang w:val="en-GB"/>
        </w:rPr>
        <w:t>.</w:t>
      </w:r>
      <w:r w:rsidR="00842388" w:rsidRPr="00163523">
        <w:rPr>
          <w:rStyle w:val="Voetnootmarkering"/>
          <w:lang w:val="en-GB"/>
        </w:rPr>
        <w:footnoteReference w:id="86"/>
      </w:r>
      <w:r w:rsidR="003F0124" w:rsidRPr="00163523">
        <w:rPr>
          <w:lang w:val="en-GB"/>
        </w:rPr>
        <w:t xml:space="preserve"> There is, </w:t>
      </w:r>
      <w:r w:rsidR="001A022B" w:rsidRPr="00163523">
        <w:rPr>
          <w:lang w:val="en-GB"/>
        </w:rPr>
        <w:t>despite this</w:t>
      </w:r>
      <w:r w:rsidR="003F0124" w:rsidRPr="00163523">
        <w:rPr>
          <w:lang w:val="en-GB"/>
        </w:rPr>
        <w:t xml:space="preserve">, </w:t>
      </w:r>
      <w:r w:rsidR="001A022B" w:rsidRPr="00163523">
        <w:rPr>
          <w:lang w:val="en-GB"/>
        </w:rPr>
        <w:t xml:space="preserve">still </w:t>
      </w:r>
      <w:r w:rsidR="003F0124" w:rsidRPr="00163523">
        <w:rPr>
          <w:lang w:val="en-GB"/>
        </w:rPr>
        <w:t xml:space="preserve">limited research on the </w:t>
      </w:r>
      <w:r w:rsidR="007804D8" w:rsidRPr="00163523">
        <w:rPr>
          <w:lang w:val="en-GB"/>
        </w:rPr>
        <w:t>public perception of the hydrogen economy</w:t>
      </w:r>
      <w:r w:rsidR="00317D8C" w:rsidRPr="00163523">
        <w:rPr>
          <w:lang w:val="en-GB"/>
        </w:rPr>
        <w:t>,</w:t>
      </w:r>
      <w:r w:rsidR="007804D8" w:rsidRPr="00163523">
        <w:rPr>
          <w:rStyle w:val="Voetnootmarkering"/>
          <w:lang w:val="en-GB"/>
        </w:rPr>
        <w:footnoteReference w:id="87"/>
      </w:r>
      <w:r w:rsidR="00317D8C" w:rsidRPr="00163523">
        <w:rPr>
          <w:lang w:val="en-GB"/>
        </w:rPr>
        <w:t xml:space="preserve"> although more recent programs are addressing this</w:t>
      </w:r>
      <w:r w:rsidR="00BB7800" w:rsidRPr="00163523">
        <w:rPr>
          <w:lang w:val="en-GB"/>
        </w:rPr>
        <w:t>.</w:t>
      </w:r>
      <w:r w:rsidR="00317D8C" w:rsidRPr="00163523">
        <w:rPr>
          <w:rStyle w:val="Voetnootmarkering"/>
          <w:lang w:val="en-GB"/>
        </w:rPr>
        <w:footnoteReference w:id="88"/>
      </w:r>
      <w:r w:rsidR="00BB7800" w:rsidRPr="00163523">
        <w:rPr>
          <w:lang w:val="en-GB"/>
        </w:rPr>
        <w:t xml:space="preserve"> One must consider that in any case the use of hydrogen and derivatives for hard-to-decarbonise applications, such as in industry, </w:t>
      </w:r>
      <w:r w:rsidR="00BA30D5" w:rsidRPr="00163523">
        <w:rPr>
          <w:lang w:val="en-GB"/>
        </w:rPr>
        <w:t xml:space="preserve">heavy-duty transport and potentially power </w:t>
      </w:r>
      <w:r w:rsidR="00DC6403" w:rsidRPr="00163523">
        <w:rPr>
          <w:lang w:val="en-GB"/>
        </w:rPr>
        <w:t xml:space="preserve">generation </w:t>
      </w:r>
      <w:r w:rsidR="00BA30D5" w:rsidRPr="00163523">
        <w:rPr>
          <w:lang w:val="en-GB"/>
        </w:rPr>
        <w:t xml:space="preserve">system </w:t>
      </w:r>
      <w:r w:rsidR="00656BBF" w:rsidRPr="00163523">
        <w:rPr>
          <w:lang w:val="en-GB"/>
        </w:rPr>
        <w:t xml:space="preserve">(as back-up) </w:t>
      </w:r>
      <w:r w:rsidR="00BA30D5" w:rsidRPr="00163523">
        <w:rPr>
          <w:lang w:val="en-GB"/>
        </w:rPr>
        <w:t xml:space="preserve">means that the general public should in most cases not be </w:t>
      </w:r>
      <w:r w:rsidR="006D1FA0" w:rsidRPr="00163523">
        <w:rPr>
          <w:lang w:val="en-GB"/>
        </w:rPr>
        <w:t>in frequent contact with hydrogen applications.</w:t>
      </w:r>
    </w:p>
    <w:p w14:paraId="354A9DFD" w14:textId="77777777" w:rsidR="00391AA4" w:rsidRPr="00163523" w:rsidRDefault="00391AA4" w:rsidP="00391AA4">
      <w:pPr>
        <w:rPr>
          <w:lang w:val="en-GB"/>
        </w:rPr>
      </w:pPr>
    </w:p>
    <w:p w14:paraId="19CBC52A" w14:textId="31BB2CB1" w:rsidR="00557807" w:rsidRPr="00163523" w:rsidRDefault="002A02F4" w:rsidP="00391AA4">
      <w:pPr>
        <w:rPr>
          <w:lang w:val="en-GB"/>
        </w:rPr>
      </w:pPr>
      <w:r w:rsidRPr="00163523">
        <w:rPr>
          <w:lang w:val="en-GB"/>
        </w:rPr>
        <w:t xml:space="preserve">As for biogas/biomethane technologies, </w:t>
      </w:r>
      <w:r w:rsidR="00E06BF6" w:rsidRPr="00163523">
        <w:rPr>
          <w:lang w:val="en-GB"/>
        </w:rPr>
        <w:t xml:space="preserve">risks exist requiring appropriate </w:t>
      </w:r>
      <w:r w:rsidR="006B079F" w:rsidRPr="00163523">
        <w:rPr>
          <w:lang w:val="en-GB"/>
        </w:rPr>
        <w:t>handling</w:t>
      </w:r>
      <w:r w:rsidR="00E06BF6" w:rsidRPr="00163523">
        <w:rPr>
          <w:lang w:val="en-GB"/>
        </w:rPr>
        <w:t xml:space="preserve"> practices.</w:t>
      </w:r>
      <w:r w:rsidR="00090C3E" w:rsidRPr="00163523">
        <w:rPr>
          <w:rStyle w:val="Voetnootmarkering"/>
          <w:lang w:val="en-GB"/>
        </w:rPr>
        <w:footnoteReference w:id="89"/>
      </w:r>
      <w:r w:rsidR="00090C3E" w:rsidRPr="00163523">
        <w:rPr>
          <w:lang w:val="en-GB"/>
        </w:rPr>
        <w:t xml:space="preserve"> </w:t>
      </w:r>
      <w:r w:rsidR="00E06BF6" w:rsidRPr="00163523">
        <w:rPr>
          <w:lang w:val="en-GB"/>
        </w:rPr>
        <w:t xml:space="preserve">Nonetheless, </w:t>
      </w:r>
      <w:r w:rsidR="006B079F" w:rsidRPr="00163523">
        <w:rPr>
          <w:lang w:val="en-GB"/>
        </w:rPr>
        <w:t xml:space="preserve">technologies for </w:t>
      </w:r>
      <w:r w:rsidR="00E06BF6" w:rsidRPr="00163523">
        <w:rPr>
          <w:lang w:val="en-GB"/>
        </w:rPr>
        <w:t>biogas and biomethane production</w:t>
      </w:r>
      <w:r w:rsidR="006B079F" w:rsidRPr="00163523">
        <w:rPr>
          <w:lang w:val="en-GB"/>
        </w:rPr>
        <w:t xml:space="preserve"> as well as the transport, storage and use of methane gases</w:t>
      </w:r>
      <w:r w:rsidR="00E06BF6" w:rsidRPr="00163523">
        <w:rPr>
          <w:lang w:val="en-GB"/>
        </w:rPr>
        <w:t xml:space="preserve"> are </w:t>
      </w:r>
      <w:r w:rsidR="006B079F" w:rsidRPr="00163523">
        <w:rPr>
          <w:lang w:val="en-GB"/>
        </w:rPr>
        <w:t>mature</w:t>
      </w:r>
      <w:r w:rsidR="003712C2" w:rsidRPr="00163523">
        <w:rPr>
          <w:lang w:val="en-GB"/>
        </w:rPr>
        <w:t xml:space="preserve">. Concerning public perception, </w:t>
      </w:r>
      <w:r w:rsidRPr="00163523">
        <w:rPr>
          <w:lang w:val="en-GB"/>
        </w:rPr>
        <w:t>a study</w:t>
      </w:r>
      <w:r w:rsidR="00EC5067" w:rsidRPr="00163523">
        <w:rPr>
          <w:rStyle w:val="Voetnootmarkering"/>
          <w:lang w:val="en-GB"/>
        </w:rPr>
        <w:footnoteReference w:id="90"/>
      </w:r>
      <w:r w:rsidRPr="00163523">
        <w:rPr>
          <w:lang w:val="en-GB"/>
        </w:rPr>
        <w:t xml:space="preserve"> compared the general and local acceptance of </w:t>
      </w:r>
      <w:r w:rsidR="000A2B50" w:rsidRPr="00163523">
        <w:rPr>
          <w:lang w:val="en-GB"/>
        </w:rPr>
        <w:t xml:space="preserve">biofuels (liquid and gaseous), hydrogen refuelling stations and </w:t>
      </w:r>
      <w:r w:rsidR="00A05DA9" w:rsidRPr="00163523">
        <w:rPr>
          <w:lang w:val="en-GB"/>
        </w:rPr>
        <w:t>batteries in Germany. It indicates that public</w:t>
      </w:r>
      <w:r w:rsidR="00887951" w:rsidRPr="00163523">
        <w:rPr>
          <w:lang w:val="en-GB"/>
        </w:rPr>
        <w:t>ly</w:t>
      </w:r>
      <w:r w:rsidR="00A05DA9" w:rsidRPr="00163523">
        <w:rPr>
          <w:lang w:val="en-GB"/>
        </w:rPr>
        <w:t xml:space="preserve"> perce</w:t>
      </w:r>
      <w:r w:rsidR="00E44EA2" w:rsidRPr="00163523">
        <w:rPr>
          <w:lang w:val="en-GB"/>
        </w:rPr>
        <w:t>ived</w:t>
      </w:r>
      <w:r w:rsidR="00A05DA9" w:rsidRPr="00163523">
        <w:rPr>
          <w:lang w:val="en-GB"/>
        </w:rPr>
        <w:t xml:space="preserve"> safety-related risks for hydrogen refuelling stations and batteries are significantly higher than </w:t>
      </w:r>
      <w:r w:rsidR="00EC5067" w:rsidRPr="00163523">
        <w:rPr>
          <w:lang w:val="en-GB"/>
        </w:rPr>
        <w:t>for biofuels (although public perception of biofuels is strongly affected by other non-safety factors).</w:t>
      </w:r>
    </w:p>
    <w:p w14:paraId="13BA8A15" w14:textId="77777777" w:rsidR="00557807" w:rsidRPr="00163523" w:rsidRDefault="00557807" w:rsidP="00F63E15">
      <w:pPr>
        <w:rPr>
          <w:lang w:val="en-GB"/>
        </w:rPr>
      </w:pPr>
    </w:p>
    <w:p w14:paraId="609DE802" w14:textId="7568AA1C" w:rsidR="00F63E15" w:rsidRPr="00163523" w:rsidRDefault="00AB17A7" w:rsidP="00F63E15">
      <w:pPr>
        <w:pStyle w:val="Kop4"/>
        <w:rPr>
          <w:lang w:val="en-GB"/>
        </w:rPr>
      </w:pPr>
      <w:r w:rsidRPr="00163523">
        <w:rPr>
          <w:lang w:val="en-GB"/>
        </w:rPr>
        <w:t>Rating</w:t>
      </w:r>
      <w:r w:rsidR="00F63E15" w:rsidRPr="00163523">
        <w:rPr>
          <w:lang w:val="en-GB"/>
        </w:rPr>
        <w:t xml:space="preserve"> of the </w:t>
      </w:r>
      <w:r w:rsidRPr="00163523">
        <w:rPr>
          <w:lang w:val="en-GB"/>
        </w:rPr>
        <w:t xml:space="preserve">risk </w:t>
      </w:r>
      <w:r w:rsidR="00F63E15" w:rsidRPr="00163523">
        <w:rPr>
          <w:lang w:val="en-GB"/>
        </w:rPr>
        <w:t>based on likelihood and severity</w:t>
      </w:r>
    </w:p>
    <w:p w14:paraId="1C7170B0" w14:textId="781E1991" w:rsidR="0016411F" w:rsidRDefault="0016411F" w:rsidP="0016411F">
      <w:pPr>
        <w:rPr>
          <w:lang w:val="en-GB"/>
        </w:rPr>
      </w:pPr>
      <w:r w:rsidRPr="00163523">
        <w:rPr>
          <w:lang w:val="en-GB"/>
        </w:rPr>
        <w:t xml:space="preserve">Considering the analysis above, </w:t>
      </w:r>
      <w:r w:rsidR="001E7894" w:rsidRPr="00163523">
        <w:rPr>
          <w:lang w:val="en-GB"/>
        </w:rPr>
        <w:t xml:space="preserve">we rank the </w:t>
      </w:r>
      <w:r w:rsidR="001E7894" w:rsidRPr="00BC6954">
        <w:rPr>
          <w:b/>
          <w:bCs/>
          <w:lang w:val="en-GB"/>
        </w:rPr>
        <w:t>severity of th</w:t>
      </w:r>
      <w:r w:rsidR="005572E7">
        <w:rPr>
          <w:b/>
          <w:bCs/>
          <w:lang w:val="en-GB"/>
        </w:rPr>
        <w:t>is</w:t>
      </w:r>
      <w:r w:rsidR="001E7894" w:rsidRPr="00BC6954">
        <w:rPr>
          <w:b/>
          <w:bCs/>
          <w:lang w:val="en-GB"/>
        </w:rPr>
        <w:t xml:space="preserve"> risk as </w:t>
      </w:r>
      <w:r w:rsidR="001E7894">
        <w:rPr>
          <w:b/>
          <w:bCs/>
          <w:lang w:val="en-GB"/>
        </w:rPr>
        <w:t>low</w:t>
      </w:r>
      <w:r w:rsidR="006D1FA0">
        <w:rPr>
          <w:b/>
          <w:bCs/>
          <w:lang w:val="en-GB"/>
        </w:rPr>
        <w:t xml:space="preserve">. </w:t>
      </w:r>
      <w:r w:rsidR="006D1FA0" w:rsidRPr="006D1FA0">
        <w:rPr>
          <w:lang w:val="en-GB"/>
        </w:rPr>
        <w:t xml:space="preserve">While </w:t>
      </w:r>
      <w:r w:rsidR="006D1FA0">
        <w:rPr>
          <w:lang w:val="en-GB"/>
        </w:rPr>
        <w:t xml:space="preserve">safety risks for hydrogen </w:t>
      </w:r>
      <w:r w:rsidR="008F42C0">
        <w:rPr>
          <w:lang w:val="en-GB"/>
        </w:rPr>
        <w:t xml:space="preserve">effectively </w:t>
      </w:r>
      <w:r w:rsidR="006D1FA0">
        <w:rPr>
          <w:lang w:val="en-GB"/>
        </w:rPr>
        <w:t xml:space="preserve">exist as for other fuels, </w:t>
      </w:r>
      <w:r w:rsidR="001E7894">
        <w:rPr>
          <w:lang w:val="en-GB"/>
        </w:rPr>
        <w:t xml:space="preserve">the </w:t>
      </w:r>
      <w:r w:rsidR="006D1FA0">
        <w:rPr>
          <w:lang w:val="en-GB"/>
        </w:rPr>
        <w:t>ongoing actions by public and private actors</w:t>
      </w:r>
      <w:r w:rsidR="000B137B">
        <w:rPr>
          <w:lang w:val="en-GB"/>
        </w:rPr>
        <w:t xml:space="preserve"> should allow to </w:t>
      </w:r>
      <w:r w:rsidR="008F42C0">
        <w:rPr>
          <w:lang w:val="en-GB"/>
        </w:rPr>
        <w:t xml:space="preserve">ensure </w:t>
      </w:r>
      <w:r w:rsidR="000B137B">
        <w:rPr>
          <w:lang w:val="en-GB"/>
        </w:rPr>
        <w:t xml:space="preserve">a sufficient level of safety comparable to the other fuels. While </w:t>
      </w:r>
      <w:r w:rsidR="008B4CD4">
        <w:rPr>
          <w:lang w:val="en-GB"/>
        </w:rPr>
        <w:t>work is required also for i</w:t>
      </w:r>
      <w:r w:rsidR="006E3031">
        <w:rPr>
          <w:lang w:val="en-GB"/>
        </w:rPr>
        <w:t>mproving</w:t>
      </w:r>
      <w:r w:rsidR="008B4CD4">
        <w:rPr>
          <w:lang w:val="en-GB"/>
        </w:rPr>
        <w:t xml:space="preserve"> the public perception of hydrogen technologies, c</w:t>
      </w:r>
      <w:r w:rsidR="00F26F32">
        <w:rPr>
          <w:lang w:val="en-GB"/>
        </w:rPr>
        <w:t>itizens</w:t>
      </w:r>
      <w:r w:rsidR="008B4CD4">
        <w:rPr>
          <w:lang w:val="en-GB"/>
        </w:rPr>
        <w:t xml:space="preserve"> will likely not come in </w:t>
      </w:r>
      <w:r w:rsidR="00F26F32">
        <w:rPr>
          <w:lang w:val="en-GB"/>
        </w:rPr>
        <w:t xml:space="preserve">direct </w:t>
      </w:r>
      <w:r w:rsidR="008B4CD4">
        <w:rPr>
          <w:lang w:val="en-GB"/>
        </w:rPr>
        <w:t>contact on a frequent basis with hydrogen applications</w:t>
      </w:r>
      <w:r w:rsidR="009A15BC">
        <w:rPr>
          <w:lang w:val="en-GB"/>
        </w:rPr>
        <w:t>, except where it is employed for e.g. urban public transport</w:t>
      </w:r>
      <w:r w:rsidR="00F14EA8">
        <w:rPr>
          <w:lang w:val="en-GB"/>
        </w:rPr>
        <w:t xml:space="preserve">. In any case, awareness campaigns and other engagement activities could provide assurance to the public and reduce opposition </w:t>
      </w:r>
      <w:r w:rsidR="00DA6C75">
        <w:rPr>
          <w:lang w:val="en-GB"/>
        </w:rPr>
        <w:t>based on</w:t>
      </w:r>
      <w:r w:rsidR="00F14EA8">
        <w:rPr>
          <w:lang w:val="en-GB"/>
        </w:rPr>
        <w:t xml:space="preserve"> safety concerns. As for biogas/biomethane </w:t>
      </w:r>
      <w:r w:rsidR="007A78CA">
        <w:rPr>
          <w:lang w:val="en-GB"/>
        </w:rPr>
        <w:t xml:space="preserve">technologies, safety risks are also manageable </w:t>
      </w:r>
      <w:r w:rsidR="001E6F37">
        <w:rPr>
          <w:lang w:val="en-GB"/>
        </w:rPr>
        <w:t xml:space="preserve">which may </w:t>
      </w:r>
      <w:r w:rsidR="003A481A">
        <w:rPr>
          <w:lang w:val="en-GB"/>
        </w:rPr>
        <w:t xml:space="preserve">reduce the </w:t>
      </w:r>
      <w:r w:rsidR="007A78CA">
        <w:rPr>
          <w:lang w:val="en-GB"/>
        </w:rPr>
        <w:t xml:space="preserve">safety perception issues. </w:t>
      </w:r>
      <w:r>
        <w:rPr>
          <w:lang w:val="en-GB"/>
        </w:rPr>
        <w:t>T</w:t>
      </w:r>
      <w:r w:rsidRPr="00BC6954">
        <w:rPr>
          <w:lang w:val="en-GB"/>
        </w:rPr>
        <w:t xml:space="preserve">he </w:t>
      </w:r>
      <w:r w:rsidRPr="00BC6954">
        <w:rPr>
          <w:b/>
          <w:bCs/>
          <w:lang w:val="en-GB"/>
        </w:rPr>
        <w:t xml:space="preserve">probability of the risk is </w:t>
      </w:r>
      <w:r w:rsidR="007A78CA">
        <w:rPr>
          <w:b/>
          <w:bCs/>
          <w:lang w:val="en-GB"/>
        </w:rPr>
        <w:t>assessed</w:t>
      </w:r>
      <w:r w:rsidRPr="00BC6954">
        <w:rPr>
          <w:b/>
          <w:bCs/>
          <w:lang w:val="en-GB"/>
        </w:rPr>
        <w:t xml:space="preserve"> as </w:t>
      </w:r>
      <w:r w:rsidR="005A7BE6">
        <w:rPr>
          <w:b/>
          <w:bCs/>
          <w:lang w:val="en-GB"/>
        </w:rPr>
        <w:t>medium</w:t>
      </w:r>
      <w:r w:rsidR="00270C58">
        <w:rPr>
          <w:b/>
          <w:bCs/>
          <w:lang w:val="en-GB"/>
        </w:rPr>
        <w:t xml:space="preserve">: </w:t>
      </w:r>
      <w:r w:rsidR="005A7BE6">
        <w:rPr>
          <w:lang w:val="en-GB"/>
        </w:rPr>
        <w:t xml:space="preserve">as the deployment of hydrogen and biogas/biomethane </w:t>
      </w:r>
      <w:r w:rsidR="00AF3399">
        <w:rPr>
          <w:lang w:val="en-GB"/>
        </w:rPr>
        <w:t xml:space="preserve">technologies </w:t>
      </w:r>
      <w:r w:rsidR="00270C58">
        <w:rPr>
          <w:lang w:val="en-GB"/>
        </w:rPr>
        <w:t xml:space="preserve">will </w:t>
      </w:r>
      <w:r w:rsidR="00AF3399">
        <w:rPr>
          <w:lang w:val="en-GB"/>
        </w:rPr>
        <w:t>increase, th</w:t>
      </w:r>
      <w:r w:rsidR="002525B0">
        <w:rPr>
          <w:lang w:val="en-GB"/>
        </w:rPr>
        <w:t xml:space="preserve">is risk </w:t>
      </w:r>
      <w:r w:rsidR="007046CB">
        <w:rPr>
          <w:lang w:val="en-GB"/>
        </w:rPr>
        <w:t>is expected to</w:t>
      </w:r>
      <w:r w:rsidR="002525B0">
        <w:rPr>
          <w:lang w:val="en-GB"/>
        </w:rPr>
        <w:t xml:space="preserve"> arise more frequ</w:t>
      </w:r>
      <w:r w:rsidR="00FD6D38">
        <w:rPr>
          <w:lang w:val="en-GB"/>
        </w:rPr>
        <w:t>ently and th</w:t>
      </w:r>
      <w:r w:rsidR="00AF3399">
        <w:rPr>
          <w:lang w:val="en-GB"/>
        </w:rPr>
        <w:t>e public will have to be further informed on the</w:t>
      </w:r>
      <w:r w:rsidR="007046CB">
        <w:rPr>
          <w:lang w:val="en-GB"/>
        </w:rPr>
        <w:t xml:space="preserve"> </w:t>
      </w:r>
      <w:r w:rsidR="00AF3399">
        <w:rPr>
          <w:lang w:val="en-GB"/>
        </w:rPr>
        <w:t>safety</w:t>
      </w:r>
      <w:r w:rsidR="007046CB">
        <w:rPr>
          <w:lang w:val="en-GB"/>
        </w:rPr>
        <w:t xml:space="preserve"> issues</w:t>
      </w:r>
      <w:r w:rsidR="00AF3399">
        <w:rPr>
          <w:lang w:val="en-GB"/>
        </w:rPr>
        <w:t>.</w:t>
      </w:r>
    </w:p>
    <w:p w14:paraId="36A5AFD6" w14:textId="77777777" w:rsidR="00AF3399" w:rsidRDefault="00AF3399" w:rsidP="0016411F">
      <w:pPr>
        <w:rPr>
          <w:lang w:val="en-GB"/>
        </w:rPr>
      </w:pPr>
    </w:p>
    <w:p w14:paraId="6D61312C" w14:textId="0A0B5C60" w:rsidR="00AF3399" w:rsidRDefault="00AF3399" w:rsidP="0016411F">
      <w:pPr>
        <w:rPr>
          <w:lang w:val="en-GB"/>
        </w:rPr>
      </w:pPr>
      <w:r>
        <w:rPr>
          <w:lang w:val="en-GB"/>
        </w:rPr>
        <w:lastRenderedPageBreak/>
        <w:t xml:space="preserve">Given these considerations, the risk </w:t>
      </w:r>
      <w:r w:rsidR="004449E6">
        <w:rPr>
          <w:lang w:val="en-GB"/>
        </w:rPr>
        <w:t xml:space="preserve">would </w:t>
      </w:r>
      <w:r>
        <w:rPr>
          <w:lang w:val="en-GB"/>
        </w:rPr>
        <w:t xml:space="preserve">affect particularly the REN-H scenario, given </w:t>
      </w:r>
      <w:r w:rsidR="00AA0CB5">
        <w:rPr>
          <w:lang w:val="en-GB"/>
        </w:rPr>
        <w:t xml:space="preserve">the more significant levels of hydrogen production and consumption, and the development of a dedicated </w:t>
      </w:r>
      <w:r w:rsidR="00260F2A">
        <w:rPr>
          <w:lang w:val="en-GB"/>
        </w:rPr>
        <w:t>cross-border hydrogen network in the Baltic Regional Gas Market. The risk is similarly relevant for all Member States in the region.</w:t>
      </w:r>
    </w:p>
    <w:p w14:paraId="5930D203" w14:textId="77777777" w:rsidR="00F63E15" w:rsidRPr="005869A8" w:rsidRDefault="00F63E15" w:rsidP="00F63E15">
      <w:pPr>
        <w:rPr>
          <w:lang w:val="en-GB"/>
        </w:rPr>
      </w:pPr>
    </w:p>
    <w:tbl>
      <w:tblPr>
        <w:tblStyle w:val="Table1"/>
        <w:tblW w:w="8449" w:type="dxa"/>
        <w:tblLayout w:type="fixed"/>
        <w:tblLook w:val="04A0" w:firstRow="1" w:lastRow="0" w:firstColumn="1" w:lastColumn="0" w:noHBand="0" w:noVBand="1"/>
      </w:tblPr>
      <w:tblGrid>
        <w:gridCol w:w="2972"/>
        <w:gridCol w:w="770"/>
        <w:gridCol w:w="770"/>
        <w:gridCol w:w="770"/>
        <w:gridCol w:w="1731"/>
        <w:gridCol w:w="1436"/>
      </w:tblGrid>
      <w:tr w:rsidR="006E18C3" w:rsidRPr="00801E6C" w14:paraId="40B9DF63" w14:textId="77777777" w:rsidTr="001C1440">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72" w:type="dxa"/>
            <w:vMerge w:val="restart"/>
            <w:noWrap/>
          </w:tcPr>
          <w:p w14:paraId="077D31CD" w14:textId="77777777" w:rsidR="006E18C3" w:rsidRPr="00163523" w:rsidRDefault="006E18C3" w:rsidP="0076227C">
            <w:pPr>
              <w:keepNext/>
              <w:spacing w:line="240" w:lineRule="auto"/>
              <w:ind w:left="0"/>
              <w:rPr>
                <w:rFonts w:eastAsia="Times New Roman"/>
                <w:sz w:val="16"/>
                <w:szCs w:val="16"/>
                <w:lang w:val="en-GB" w:eastAsia="en-GB"/>
              </w:rPr>
            </w:pPr>
            <w:r w:rsidRPr="00163523">
              <w:rPr>
                <w:rFonts w:eastAsia="Arial"/>
                <w:sz w:val="16"/>
                <w:szCs w:val="16"/>
                <w:lang w:val="en-GB"/>
              </w:rPr>
              <w:t>Risk</w:t>
            </w:r>
          </w:p>
        </w:tc>
        <w:tc>
          <w:tcPr>
            <w:tcW w:w="2310" w:type="dxa"/>
            <w:gridSpan w:val="3"/>
          </w:tcPr>
          <w:p w14:paraId="68EC4A54" w14:textId="77777777" w:rsidR="006E18C3" w:rsidRPr="00163523" w:rsidRDefault="006E18C3" w:rsidP="0076227C">
            <w:pPr>
              <w:keepNext/>
              <w:spacing w:line="240" w:lineRule="auto"/>
              <w:ind w:left="0"/>
              <w:cnfStyle w:val="100000000000" w:firstRow="1" w:lastRow="0" w:firstColumn="0" w:lastColumn="0" w:oddVBand="0" w:evenVBand="0" w:oddHBand="0" w:evenHBand="0" w:firstRowFirstColumn="0" w:firstRowLastColumn="0" w:lastRowFirstColumn="0" w:lastRowLastColumn="0"/>
              <w:rPr>
                <w:rFonts w:eastAsia="Arial"/>
                <w:sz w:val="16"/>
                <w:szCs w:val="16"/>
                <w:lang w:val="en-GB"/>
              </w:rPr>
            </w:pPr>
            <w:r w:rsidRPr="00801E6C">
              <w:rPr>
                <w:rFonts w:eastAsia="Arial"/>
                <w:sz w:val="16"/>
                <w:szCs w:val="16"/>
                <w:lang w:val="en-GB"/>
              </w:rPr>
              <w:t>Applicable scenarios</w:t>
            </w:r>
          </w:p>
        </w:tc>
        <w:tc>
          <w:tcPr>
            <w:tcW w:w="1731" w:type="dxa"/>
            <w:vMerge w:val="restart"/>
            <w:noWrap/>
          </w:tcPr>
          <w:p w14:paraId="4BEC75F2" w14:textId="77777777" w:rsidR="006E18C3" w:rsidRPr="00163523" w:rsidRDefault="006E18C3" w:rsidP="0076227C">
            <w:pPr>
              <w:keepNext/>
              <w:spacing w:line="240" w:lineRule="auto"/>
              <w:ind w:left="0"/>
              <w:cnfStyle w:val="100000000000" w:firstRow="1" w:lastRow="0" w:firstColumn="0" w:lastColumn="0" w:oddVBand="0" w:evenVBand="0" w:oddHBand="0" w:evenHBand="0" w:firstRowFirstColumn="0" w:firstRowLastColumn="0" w:lastRowFirstColumn="0" w:lastRowLastColumn="0"/>
              <w:rPr>
                <w:rFonts w:eastAsia="Times New Roman"/>
                <w:i/>
                <w:sz w:val="16"/>
                <w:szCs w:val="16"/>
                <w:lang w:val="en-GB" w:eastAsia="en-GB"/>
              </w:rPr>
            </w:pPr>
            <w:r w:rsidRPr="00163523">
              <w:rPr>
                <w:rFonts w:eastAsia="Arial"/>
                <w:sz w:val="16"/>
                <w:szCs w:val="16"/>
                <w:lang w:val="en-GB"/>
              </w:rPr>
              <w:t>Likelihood</w:t>
            </w:r>
          </w:p>
        </w:tc>
        <w:tc>
          <w:tcPr>
            <w:tcW w:w="1436" w:type="dxa"/>
            <w:vMerge w:val="restart"/>
            <w:noWrap/>
          </w:tcPr>
          <w:p w14:paraId="4975A14D" w14:textId="77777777" w:rsidR="006E18C3" w:rsidRPr="00163523" w:rsidRDefault="006E18C3" w:rsidP="0076227C">
            <w:pPr>
              <w:keepNext/>
              <w:spacing w:line="240" w:lineRule="auto"/>
              <w:ind w:left="0"/>
              <w:cnfStyle w:val="100000000000" w:firstRow="1" w:lastRow="0" w:firstColumn="0" w:lastColumn="0" w:oddVBand="0" w:evenVBand="0" w:oddHBand="0" w:evenHBand="0" w:firstRowFirstColumn="0" w:firstRowLastColumn="0" w:lastRowFirstColumn="0" w:lastRowLastColumn="0"/>
              <w:rPr>
                <w:rFonts w:eastAsia="Times New Roman"/>
                <w:i/>
                <w:sz w:val="16"/>
                <w:szCs w:val="16"/>
                <w:lang w:val="en-GB" w:eastAsia="en-GB"/>
              </w:rPr>
            </w:pPr>
            <w:r w:rsidRPr="00163523">
              <w:rPr>
                <w:rFonts w:eastAsia="Arial"/>
                <w:sz w:val="16"/>
                <w:szCs w:val="16"/>
                <w:lang w:val="en-GB"/>
              </w:rPr>
              <w:t>Severity</w:t>
            </w:r>
          </w:p>
        </w:tc>
      </w:tr>
      <w:tr w:rsidR="006E18C3" w:rsidRPr="00801E6C" w14:paraId="08AC7073" w14:textId="77777777" w:rsidTr="001C1440">
        <w:trPr>
          <w:trHeight w:val="20"/>
        </w:trPr>
        <w:tc>
          <w:tcPr>
            <w:cnfStyle w:val="001000000000" w:firstRow="0" w:lastRow="0" w:firstColumn="1" w:lastColumn="0" w:oddVBand="0" w:evenVBand="0" w:oddHBand="0" w:evenHBand="0" w:firstRowFirstColumn="0" w:firstRowLastColumn="0" w:lastRowFirstColumn="0" w:lastRowLastColumn="0"/>
            <w:tcW w:w="2972" w:type="dxa"/>
            <w:vMerge/>
            <w:noWrap/>
          </w:tcPr>
          <w:p w14:paraId="35BBBFB1" w14:textId="77777777" w:rsidR="006E18C3" w:rsidRPr="00801E6C" w:rsidRDefault="006E18C3" w:rsidP="0076227C">
            <w:pPr>
              <w:spacing w:line="240" w:lineRule="auto"/>
              <w:ind w:left="0"/>
              <w:jc w:val="center"/>
              <w:rPr>
                <w:rFonts w:eastAsia="Arial"/>
                <w:sz w:val="16"/>
                <w:szCs w:val="16"/>
                <w:lang w:val="en-GB"/>
              </w:rPr>
            </w:pPr>
          </w:p>
        </w:tc>
        <w:tc>
          <w:tcPr>
            <w:tcW w:w="770" w:type="dxa"/>
          </w:tcPr>
          <w:p w14:paraId="1E372BD0" w14:textId="77777777" w:rsidR="006E18C3" w:rsidRPr="00163523" w:rsidRDefault="006E18C3" w:rsidP="0076227C">
            <w:pPr>
              <w:spacing w:line="240" w:lineRule="auto"/>
              <w:ind w:left="0"/>
              <w:cnfStyle w:val="000000000000" w:firstRow="0" w:lastRow="0" w:firstColumn="0" w:lastColumn="0" w:oddVBand="0" w:evenVBand="0" w:oddHBand="0" w:evenHBand="0" w:firstRowFirstColumn="0" w:firstRowLastColumn="0" w:lastRowFirstColumn="0" w:lastRowLastColumn="0"/>
              <w:rPr>
                <w:rFonts w:eastAsia="Times New Roman"/>
                <w:b/>
                <w:color w:val="000000"/>
                <w:sz w:val="14"/>
                <w:szCs w:val="14"/>
                <w:lang w:val="en-GB" w:eastAsia="en-GB"/>
              </w:rPr>
            </w:pPr>
            <w:r w:rsidRPr="00163523">
              <w:rPr>
                <w:rFonts w:eastAsia="Arial"/>
                <w:sz w:val="14"/>
                <w:szCs w:val="14"/>
                <w:lang w:val="en-GB"/>
              </w:rPr>
              <w:t>REN-M</w:t>
            </w:r>
          </w:p>
        </w:tc>
        <w:tc>
          <w:tcPr>
            <w:tcW w:w="770" w:type="dxa"/>
          </w:tcPr>
          <w:p w14:paraId="45988C93" w14:textId="77777777" w:rsidR="006E18C3" w:rsidRPr="00163523" w:rsidRDefault="006E18C3" w:rsidP="0076227C">
            <w:pPr>
              <w:spacing w:line="240" w:lineRule="auto"/>
              <w:ind w:left="0"/>
              <w:cnfStyle w:val="000000000000" w:firstRow="0" w:lastRow="0" w:firstColumn="0" w:lastColumn="0" w:oddVBand="0" w:evenVBand="0" w:oddHBand="0" w:evenHBand="0" w:firstRowFirstColumn="0" w:firstRowLastColumn="0" w:lastRowFirstColumn="0" w:lastRowLastColumn="0"/>
              <w:rPr>
                <w:rFonts w:eastAsia="Times New Roman"/>
                <w:b/>
                <w:color w:val="000000"/>
                <w:sz w:val="14"/>
                <w:szCs w:val="14"/>
                <w:lang w:val="en-GB" w:eastAsia="en-GB"/>
              </w:rPr>
            </w:pPr>
            <w:r w:rsidRPr="00163523">
              <w:rPr>
                <w:rFonts w:eastAsia="Arial"/>
                <w:sz w:val="14"/>
                <w:szCs w:val="14"/>
                <w:lang w:val="en-GB"/>
              </w:rPr>
              <w:t>REN-H</w:t>
            </w:r>
          </w:p>
        </w:tc>
        <w:tc>
          <w:tcPr>
            <w:tcW w:w="770" w:type="dxa"/>
          </w:tcPr>
          <w:p w14:paraId="0855BE38" w14:textId="77777777" w:rsidR="006E18C3" w:rsidRPr="00163523" w:rsidRDefault="006E18C3" w:rsidP="0076227C">
            <w:pPr>
              <w:spacing w:line="240" w:lineRule="auto"/>
              <w:ind w:left="0"/>
              <w:cnfStyle w:val="000000000000" w:firstRow="0" w:lastRow="0" w:firstColumn="0" w:lastColumn="0" w:oddVBand="0" w:evenVBand="0" w:oddHBand="0" w:evenHBand="0" w:firstRowFirstColumn="0" w:firstRowLastColumn="0" w:lastRowFirstColumn="0" w:lastRowLastColumn="0"/>
              <w:rPr>
                <w:rFonts w:eastAsia="Times New Roman"/>
                <w:b/>
                <w:color w:val="000000"/>
                <w:sz w:val="14"/>
                <w:szCs w:val="14"/>
                <w:lang w:val="en-GB" w:eastAsia="en-GB"/>
              </w:rPr>
            </w:pPr>
            <w:r w:rsidRPr="00163523">
              <w:rPr>
                <w:rFonts w:eastAsia="Arial"/>
                <w:sz w:val="14"/>
                <w:szCs w:val="14"/>
                <w:lang w:val="en-GB"/>
              </w:rPr>
              <w:t>CM</w:t>
            </w:r>
          </w:p>
        </w:tc>
        <w:tc>
          <w:tcPr>
            <w:tcW w:w="1731" w:type="dxa"/>
            <w:vMerge/>
            <w:shd w:val="clear" w:color="auto" w:fill="F9B7AC" w:themeFill="accent2" w:themeFillTint="66"/>
            <w:noWrap/>
          </w:tcPr>
          <w:p w14:paraId="5C6F2383" w14:textId="77777777" w:rsidR="006E18C3" w:rsidRPr="00163523" w:rsidRDefault="006E18C3" w:rsidP="0076227C">
            <w:pPr>
              <w:spacing w:line="240" w:lineRule="auto"/>
              <w:ind w:left="0"/>
              <w:cnfStyle w:val="000000000000" w:firstRow="0" w:lastRow="0" w:firstColumn="0" w:lastColumn="0" w:oddVBand="0" w:evenVBand="0" w:oddHBand="0" w:evenHBand="0" w:firstRowFirstColumn="0" w:firstRowLastColumn="0" w:lastRowFirstColumn="0" w:lastRowLastColumn="0"/>
              <w:rPr>
                <w:rFonts w:eastAsia="Times New Roman"/>
                <w:b/>
                <w:color w:val="000000"/>
                <w:sz w:val="16"/>
                <w:szCs w:val="16"/>
                <w:lang w:val="en-GB" w:eastAsia="en-GB"/>
              </w:rPr>
            </w:pPr>
          </w:p>
        </w:tc>
        <w:tc>
          <w:tcPr>
            <w:tcW w:w="1436" w:type="dxa"/>
            <w:vMerge/>
            <w:shd w:val="clear" w:color="auto" w:fill="FFD57B" w:themeFill="accent4" w:themeFillShade="E6"/>
            <w:noWrap/>
          </w:tcPr>
          <w:p w14:paraId="2EB24922" w14:textId="77777777" w:rsidR="006E18C3" w:rsidRPr="00163523" w:rsidRDefault="006E18C3" w:rsidP="0076227C">
            <w:pPr>
              <w:spacing w:line="240" w:lineRule="auto"/>
              <w:ind w:left="0"/>
              <w:cnfStyle w:val="000000000000" w:firstRow="0" w:lastRow="0" w:firstColumn="0" w:lastColumn="0" w:oddVBand="0" w:evenVBand="0" w:oddHBand="0" w:evenHBand="0" w:firstRowFirstColumn="0" w:firstRowLastColumn="0" w:lastRowFirstColumn="0" w:lastRowLastColumn="0"/>
              <w:rPr>
                <w:rFonts w:eastAsia="Arial"/>
                <w:b/>
                <w:sz w:val="16"/>
                <w:szCs w:val="16"/>
                <w:lang w:val="en-GB"/>
              </w:rPr>
            </w:pPr>
          </w:p>
        </w:tc>
      </w:tr>
      <w:tr w:rsidR="006E18C3" w:rsidRPr="00801E6C" w14:paraId="35734870" w14:textId="77777777" w:rsidTr="001C1440">
        <w:trPr>
          <w:trHeight w:val="20"/>
        </w:trPr>
        <w:tc>
          <w:tcPr>
            <w:cnfStyle w:val="001000000000" w:firstRow="0" w:lastRow="0" w:firstColumn="1" w:lastColumn="0" w:oddVBand="0" w:evenVBand="0" w:oddHBand="0" w:evenHBand="0" w:firstRowFirstColumn="0" w:firstRowLastColumn="0" w:lastRowFirstColumn="0" w:lastRowLastColumn="0"/>
            <w:tcW w:w="2972" w:type="dxa"/>
            <w:noWrap/>
          </w:tcPr>
          <w:p w14:paraId="5A62B01C" w14:textId="7126F95A" w:rsidR="006E18C3" w:rsidRPr="00801E6C" w:rsidRDefault="00260F2A" w:rsidP="0076227C">
            <w:pPr>
              <w:spacing w:line="240" w:lineRule="auto"/>
              <w:ind w:left="0"/>
              <w:jc w:val="center"/>
              <w:rPr>
                <w:rFonts w:eastAsia="Times New Roman"/>
                <w:color w:val="000000"/>
                <w:sz w:val="16"/>
                <w:szCs w:val="16"/>
                <w:lang w:val="en-GB" w:eastAsia="en-GB"/>
              </w:rPr>
            </w:pPr>
            <w:r w:rsidRPr="00801E6C">
              <w:rPr>
                <w:rFonts w:eastAsia="Times New Roman"/>
                <w:color w:val="000000"/>
                <w:sz w:val="16"/>
                <w:szCs w:val="16"/>
                <w:lang w:val="en-GB" w:eastAsia="en-GB"/>
              </w:rPr>
              <w:t>Safety risks or their perception restrict infrastructure development or certain supply/demand solutions</w:t>
            </w:r>
          </w:p>
        </w:tc>
        <w:tc>
          <w:tcPr>
            <w:tcW w:w="770" w:type="dxa"/>
          </w:tcPr>
          <w:p w14:paraId="1F38A54F" w14:textId="7E4A4C19" w:rsidR="006E18C3" w:rsidRPr="00163523" w:rsidRDefault="006E18C3" w:rsidP="0076227C">
            <w:pPr>
              <w:spacing w:line="240" w:lineRule="auto"/>
              <w:ind w:left="0"/>
              <w:cnfStyle w:val="000000000000" w:firstRow="0" w:lastRow="0" w:firstColumn="0" w:lastColumn="0" w:oddVBand="0" w:evenVBand="0" w:oddHBand="0" w:evenHBand="0" w:firstRowFirstColumn="0" w:firstRowLastColumn="0" w:lastRowFirstColumn="0" w:lastRowLastColumn="0"/>
              <w:rPr>
                <w:rFonts w:eastAsia="Times New Roman"/>
                <w:b/>
                <w:color w:val="000000"/>
                <w:sz w:val="16"/>
                <w:szCs w:val="16"/>
                <w:lang w:val="en-GB" w:eastAsia="en-GB"/>
              </w:rPr>
            </w:pPr>
          </w:p>
        </w:tc>
        <w:tc>
          <w:tcPr>
            <w:tcW w:w="770" w:type="dxa"/>
          </w:tcPr>
          <w:p w14:paraId="5B2A9D7E" w14:textId="7F38DAE4" w:rsidR="006E18C3" w:rsidRPr="00163523" w:rsidRDefault="006E18C3" w:rsidP="0076227C">
            <w:pPr>
              <w:spacing w:line="240" w:lineRule="auto"/>
              <w:ind w:left="0"/>
              <w:cnfStyle w:val="000000000000" w:firstRow="0" w:lastRow="0" w:firstColumn="0" w:lastColumn="0" w:oddVBand="0" w:evenVBand="0" w:oddHBand="0" w:evenHBand="0" w:firstRowFirstColumn="0" w:firstRowLastColumn="0" w:lastRowFirstColumn="0" w:lastRowLastColumn="0"/>
              <w:rPr>
                <w:rFonts w:eastAsia="Times New Roman"/>
                <w:b/>
                <w:color w:val="000000"/>
                <w:sz w:val="16"/>
                <w:szCs w:val="16"/>
                <w:lang w:val="en-GB" w:eastAsia="en-GB"/>
              </w:rPr>
            </w:pPr>
            <w:r w:rsidRPr="00163523">
              <w:rPr>
                <w:rFonts w:ascii="Wingdings" w:eastAsia="Wingdings" w:hAnsi="Wingdings" w:cs="Wingdings"/>
                <w:b/>
                <w:color w:val="000000"/>
                <w:sz w:val="16"/>
                <w:szCs w:val="16"/>
                <w:lang w:val="en-GB" w:eastAsia="en-GB"/>
              </w:rPr>
              <w:sym w:font="Wingdings" w:char="F0FC"/>
            </w:r>
          </w:p>
        </w:tc>
        <w:tc>
          <w:tcPr>
            <w:tcW w:w="770" w:type="dxa"/>
          </w:tcPr>
          <w:p w14:paraId="0CE8C3CB" w14:textId="43325DEE" w:rsidR="006E18C3" w:rsidRPr="00163523" w:rsidRDefault="006E18C3" w:rsidP="0076227C">
            <w:pPr>
              <w:spacing w:line="240" w:lineRule="auto"/>
              <w:ind w:left="0"/>
              <w:cnfStyle w:val="000000000000" w:firstRow="0" w:lastRow="0" w:firstColumn="0" w:lastColumn="0" w:oddVBand="0" w:evenVBand="0" w:oddHBand="0" w:evenHBand="0" w:firstRowFirstColumn="0" w:firstRowLastColumn="0" w:lastRowFirstColumn="0" w:lastRowLastColumn="0"/>
              <w:rPr>
                <w:rFonts w:eastAsia="Times New Roman"/>
                <w:b/>
                <w:color w:val="000000"/>
                <w:sz w:val="16"/>
                <w:szCs w:val="16"/>
                <w:lang w:val="en-GB" w:eastAsia="en-GB"/>
              </w:rPr>
            </w:pPr>
          </w:p>
        </w:tc>
        <w:tc>
          <w:tcPr>
            <w:tcW w:w="1731" w:type="dxa"/>
            <w:shd w:val="clear" w:color="auto" w:fill="FFE3A5" w:themeFill="accent4"/>
            <w:noWrap/>
          </w:tcPr>
          <w:p w14:paraId="58ABEE21" w14:textId="54BEF6D3" w:rsidR="006E18C3" w:rsidRPr="00163523" w:rsidRDefault="00706869" w:rsidP="0076227C">
            <w:pPr>
              <w:spacing w:line="240" w:lineRule="auto"/>
              <w:ind w:left="0"/>
              <w:cnfStyle w:val="000000000000" w:firstRow="0" w:lastRow="0" w:firstColumn="0" w:lastColumn="0" w:oddVBand="0" w:evenVBand="0" w:oddHBand="0" w:evenHBand="0" w:firstRowFirstColumn="0" w:firstRowLastColumn="0" w:lastRowFirstColumn="0" w:lastRowLastColumn="0"/>
              <w:rPr>
                <w:rFonts w:eastAsia="Times New Roman"/>
                <w:b/>
                <w:color w:val="000000"/>
                <w:sz w:val="16"/>
                <w:szCs w:val="16"/>
                <w:lang w:val="en-GB" w:eastAsia="en-GB"/>
              </w:rPr>
            </w:pPr>
            <w:r w:rsidRPr="00163523">
              <w:rPr>
                <w:rFonts w:eastAsia="Times New Roman"/>
                <w:b/>
                <w:color w:val="000000"/>
                <w:sz w:val="16"/>
                <w:szCs w:val="16"/>
                <w:lang w:val="en-GB" w:eastAsia="en-GB"/>
              </w:rPr>
              <w:t>Medium</w:t>
            </w:r>
          </w:p>
        </w:tc>
        <w:tc>
          <w:tcPr>
            <w:tcW w:w="1436" w:type="dxa"/>
            <w:shd w:val="clear" w:color="auto" w:fill="E0EBEB" w:themeFill="accent3" w:themeFillTint="66"/>
            <w:noWrap/>
          </w:tcPr>
          <w:p w14:paraId="56DB4858" w14:textId="58A80711" w:rsidR="006E18C3" w:rsidRPr="00163523" w:rsidRDefault="00706869" w:rsidP="0076227C">
            <w:pPr>
              <w:spacing w:line="240" w:lineRule="auto"/>
              <w:ind w:left="0"/>
              <w:cnfStyle w:val="000000000000" w:firstRow="0" w:lastRow="0" w:firstColumn="0" w:lastColumn="0" w:oddVBand="0" w:evenVBand="0" w:oddHBand="0" w:evenHBand="0" w:firstRowFirstColumn="0" w:firstRowLastColumn="0" w:lastRowFirstColumn="0" w:lastRowLastColumn="0"/>
              <w:rPr>
                <w:rFonts w:eastAsia="Times New Roman"/>
                <w:b/>
                <w:i/>
                <w:color w:val="000000"/>
                <w:sz w:val="16"/>
                <w:szCs w:val="16"/>
                <w:lang w:val="en-GB" w:eastAsia="en-GB"/>
              </w:rPr>
            </w:pPr>
            <w:r w:rsidRPr="00163523">
              <w:rPr>
                <w:rFonts w:eastAsia="Arial"/>
                <w:b/>
                <w:sz w:val="16"/>
                <w:szCs w:val="16"/>
                <w:lang w:val="en-GB"/>
              </w:rPr>
              <w:t>Low</w:t>
            </w:r>
          </w:p>
        </w:tc>
      </w:tr>
    </w:tbl>
    <w:p w14:paraId="57A59CCC" w14:textId="77777777" w:rsidR="006E18C3" w:rsidRPr="00163523" w:rsidRDefault="006E18C3" w:rsidP="00F63E15">
      <w:pPr>
        <w:rPr>
          <w:lang w:val="en-GB"/>
        </w:rPr>
      </w:pPr>
    </w:p>
    <w:p w14:paraId="40F594C2" w14:textId="77777777" w:rsidR="00F63E15" w:rsidRPr="00163523" w:rsidRDefault="00F63E15" w:rsidP="00F63E15">
      <w:pPr>
        <w:pStyle w:val="Kop4"/>
        <w:rPr>
          <w:lang w:val="en-GB"/>
        </w:rPr>
      </w:pPr>
      <w:r>
        <w:rPr>
          <w:lang w:val="en-GB"/>
        </w:rPr>
        <w:t xml:space="preserve">Potential </w:t>
      </w:r>
      <w:r w:rsidRPr="00163523">
        <w:rPr>
          <w:lang w:val="en-GB"/>
        </w:rPr>
        <w:t>mitigation measures</w:t>
      </w:r>
    </w:p>
    <w:p w14:paraId="2768085F" w14:textId="637FB5F5" w:rsidR="00F63E15" w:rsidRPr="000C0A9C" w:rsidRDefault="00391AA4" w:rsidP="00F63E15">
      <w:pPr>
        <w:rPr>
          <w:lang w:val="en-GB"/>
        </w:rPr>
      </w:pPr>
      <w:r w:rsidRPr="00391AA4">
        <w:rPr>
          <w:lang w:val="en-GB"/>
        </w:rPr>
        <w:t>Actions are needed to a</w:t>
      </w:r>
      <w:r>
        <w:rPr>
          <w:lang w:val="en-GB"/>
        </w:rPr>
        <w:t xml:space="preserve">ddress the concrete issues </w:t>
      </w:r>
      <w:r w:rsidR="00E91805">
        <w:rPr>
          <w:lang w:val="en-GB"/>
        </w:rPr>
        <w:t xml:space="preserve">related to the safety of hydrogen </w:t>
      </w:r>
      <w:r w:rsidR="00AB531C">
        <w:rPr>
          <w:lang w:val="en-GB"/>
        </w:rPr>
        <w:t xml:space="preserve">when </w:t>
      </w:r>
      <w:r w:rsidR="00E91805">
        <w:rPr>
          <w:lang w:val="en-GB"/>
        </w:rPr>
        <w:t xml:space="preserve">its production is upscaled and new applications </w:t>
      </w:r>
      <w:r w:rsidR="00AB531C">
        <w:rPr>
          <w:lang w:val="en-GB"/>
        </w:rPr>
        <w:t xml:space="preserve">will be </w:t>
      </w:r>
      <w:r w:rsidR="00E91805">
        <w:rPr>
          <w:lang w:val="en-GB"/>
        </w:rPr>
        <w:t>developed. Nonetheless, such actions are already being undertaken by public and private stakeholders</w:t>
      </w:r>
      <w:r w:rsidR="00BE6ECB">
        <w:rPr>
          <w:lang w:val="en-GB"/>
        </w:rPr>
        <w:t xml:space="preserve"> at EU level and in Member States</w:t>
      </w:r>
      <w:r w:rsidR="00E91805">
        <w:rPr>
          <w:lang w:val="en-GB"/>
        </w:rPr>
        <w:t xml:space="preserve">. </w:t>
      </w:r>
      <w:r w:rsidR="00BE6ECB">
        <w:rPr>
          <w:lang w:val="en-GB"/>
        </w:rPr>
        <w:t>Specific a</w:t>
      </w:r>
      <w:r w:rsidR="00B92CD2">
        <w:rPr>
          <w:lang w:val="en-GB"/>
        </w:rPr>
        <w:t xml:space="preserve">dditional mitigation measures could be focused on addressing any negative public perception issues </w:t>
      </w:r>
      <w:r w:rsidR="008D6263">
        <w:rPr>
          <w:lang w:val="en-GB"/>
        </w:rPr>
        <w:t xml:space="preserve">related </w:t>
      </w:r>
      <w:r w:rsidR="00B92CD2">
        <w:rPr>
          <w:lang w:val="en-GB"/>
        </w:rPr>
        <w:t xml:space="preserve">to hydrogen (due to safety </w:t>
      </w:r>
      <w:r w:rsidR="00DE4BF7">
        <w:rPr>
          <w:lang w:val="en-GB"/>
        </w:rPr>
        <w:t>and env</w:t>
      </w:r>
      <w:r w:rsidR="00112AFF">
        <w:rPr>
          <w:lang w:val="en-GB"/>
        </w:rPr>
        <w:t>i</w:t>
      </w:r>
      <w:r w:rsidR="00DE4BF7">
        <w:rPr>
          <w:lang w:val="en-GB"/>
        </w:rPr>
        <w:t xml:space="preserve">ronmental </w:t>
      </w:r>
      <w:r w:rsidR="00B92CD2">
        <w:rPr>
          <w:lang w:val="en-GB"/>
        </w:rPr>
        <w:t xml:space="preserve">concerns) as well as </w:t>
      </w:r>
      <w:r w:rsidR="008D6263">
        <w:rPr>
          <w:lang w:val="en-GB"/>
        </w:rPr>
        <w:t xml:space="preserve">to </w:t>
      </w:r>
      <w:r w:rsidR="00B92CD2">
        <w:rPr>
          <w:lang w:val="en-GB"/>
        </w:rPr>
        <w:t xml:space="preserve">biomethane/biogas (mainly </w:t>
      </w:r>
      <w:r w:rsidR="00112AFF">
        <w:rPr>
          <w:lang w:val="en-GB"/>
        </w:rPr>
        <w:t xml:space="preserve">due </w:t>
      </w:r>
      <w:r w:rsidR="00B92CD2">
        <w:rPr>
          <w:lang w:val="en-GB"/>
        </w:rPr>
        <w:t xml:space="preserve">to </w:t>
      </w:r>
      <w:r w:rsidR="005E4202">
        <w:rPr>
          <w:lang w:val="en-GB"/>
        </w:rPr>
        <w:t xml:space="preserve">environmental </w:t>
      </w:r>
      <w:r w:rsidR="00B92CD2">
        <w:rPr>
          <w:lang w:val="en-GB"/>
        </w:rPr>
        <w:t>concerns).</w:t>
      </w:r>
    </w:p>
    <w:p w14:paraId="32F9CCC0" w14:textId="77777777" w:rsidR="00F63E15" w:rsidRDefault="00F63E15" w:rsidP="000C0A9C">
      <w:pPr>
        <w:rPr>
          <w:lang w:val="en-GB"/>
        </w:rPr>
      </w:pPr>
    </w:p>
    <w:p w14:paraId="080F77F8" w14:textId="7BBCCBDA" w:rsidR="00F63E15" w:rsidRDefault="00F63E15" w:rsidP="00F63E15">
      <w:pPr>
        <w:pStyle w:val="Kop2"/>
      </w:pPr>
      <w:bookmarkStart w:id="87" w:name="_Ref137116990"/>
      <w:bookmarkStart w:id="88" w:name="_Toc138492615"/>
      <w:bookmarkStart w:id="89" w:name="_Toc144803022"/>
      <w:r>
        <w:t xml:space="preserve">Risk </w:t>
      </w:r>
      <w:r w:rsidR="005303B6">
        <w:t>1</w:t>
      </w:r>
      <w:r w:rsidR="00E00BD4">
        <w:t>6</w:t>
      </w:r>
      <w:r>
        <w:t xml:space="preserve">: </w:t>
      </w:r>
      <w:r w:rsidR="005303B6" w:rsidRPr="005303B6">
        <w:t>Geopolitical events can divert resources and attention from gas decarbonisation measures</w:t>
      </w:r>
      <w:bookmarkEnd w:id="87"/>
      <w:bookmarkEnd w:id="88"/>
      <w:bookmarkEnd w:id="89"/>
    </w:p>
    <w:p w14:paraId="6E210746" w14:textId="1A1B64D7" w:rsidR="00F63E15" w:rsidRPr="00163523" w:rsidRDefault="00F63E15" w:rsidP="00F63E15">
      <w:pPr>
        <w:pStyle w:val="Kop4"/>
        <w:rPr>
          <w:lang w:val="en-GB"/>
        </w:rPr>
      </w:pPr>
      <w:r>
        <w:rPr>
          <w:lang w:val="en-GB"/>
        </w:rPr>
        <w:t>D</w:t>
      </w:r>
      <w:r w:rsidRPr="00163523">
        <w:rPr>
          <w:lang w:val="en-GB"/>
        </w:rPr>
        <w:t xml:space="preserve">escription of the risk, </w:t>
      </w:r>
      <w:r w:rsidR="00803ADE" w:rsidRPr="00163523">
        <w:rPr>
          <w:lang w:val="en-GB"/>
        </w:rPr>
        <w:t>covering the Baltic Regional Gas Market</w:t>
      </w:r>
    </w:p>
    <w:p w14:paraId="1C5758F5" w14:textId="77777777" w:rsidR="00CE0AC5" w:rsidRPr="00163523" w:rsidRDefault="00CE0AC5" w:rsidP="00CE0AC5">
      <w:pPr>
        <w:rPr>
          <w:lang w:val="en-GB"/>
        </w:rPr>
      </w:pPr>
      <w:r w:rsidRPr="00163523">
        <w:rPr>
          <w:lang w:val="en-GB"/>
        </w:rPr>
        <w:t>Different geopolitical events can distract the policymaker’s attention to the gas decarbonisation plans in the Baltic States and Finland by 2050, including but not limited to:</w:t>
      </w:r>
    </w:p>
    <w:p w14:paraId="5DFC7F1A" w14:textId="405A5143" w:rsidR="00CE0AC5" w:rsidRPr="00163523" w:rsidRDefault="00CE0AC5" w:rsidP="00CE0AC5">
      <w:pPr>
        <w:pStyle w:val="Lijstalinea"/>
        <w:numPr>
          <w:ilvl w:val="0"/>
          <w:numId w:val="41"/>
        </w:numPr>
      </w:pPr>
      <w:r w:rsidRPr="00163523">
        <w:t>Rise of Euroscepticism and nationalism: The rise of Eurosceptic sentiments and nationalist movements in the European Union (EU) member states, including the Baltic States and Finland, can hinder cooperation and coordination in gas decarbonisation efforts. This could result in slower decision-making processes, reduced willingness for joint investments, and fragmented policy approaches, impeding the development of a unified and efficient decarbonisation strategy.</w:t>
      </w:r>
    </w:p>
    <w:p w14:paraId="3AA4E8F4" w14:textId="69EB3018" w:rsidR="00CE0AC5" w:rsidRPr="00163523" w:rsidRDefault="00CE0AC5" w:rsidP="00CE0AC5">
      <w:pPr>
        <w:pStyle w:val="Lijstalinea"/>
        <w:numPr>
          <w:ilvl w:val="0"/>
          <w:numId w:val="41"/>
        </w:numPr>
      </w:pPr>
      <w:r w:rsidRPr="00163523">
        <w:t>Geopolitical Tensions and Energy Security Concerns: Ongoing geopolitical tensions, particularly those related to the relationship between the EU and Russia, can have implications for energy security and resource allocation. Disruptions in energy supply chains, political disputes, or trade restrictions can impede the availability and affordability of resources necessary for gas decarbonisation, including hydrogen production infrastructure and biomass feedstock for biomethane production, including because resources are dedicated to immediate reactions (e.g., constructing more natural gas interconnectors and importing pipelines, LNG terminals and other resources like coal</w:t>
      </w:r>
      <w:r w:rsidR="00460D1E" w:rsidRPr="00163523">
        <w:t>,</w:t>
      </w:r>
      <w:r w:rsidRPr="00163523">
        <w:t xml:space="preserve"> as happened in Germany and Poland respectively shortly after </w:t>
      </w:r>
      <w:r w:rsidR="007769D0" w:rsidRPr="00163523">
        <w:t xml:space="preserve">the </w:t>
      </w:r>
      <w:r w:rsidRPr="00163523">
        <w:t xml:space="preserve">Russian invasion of Ukraine). In a broader scene, major geopolitical tensions between global powers, such as territorial disputes or conflicts like the one between Taiwan and China, can have far-reaching consequences for international trade, supply chains, and economic stability. These tensions can impact resource availability, disrupt energy markets, and divert attention and resources away from gas decarbonisation efforts in the Baltic States and Finland, especially considering that Finland has recently joined NATO and may be pushed to contribute </w:t>
      </w:r>
      <w:r w:rsidR="00302B4B" w:rsidRPr="00163523">
        <w:t>to</w:t>
      </w:r>
      <w:r w:rsidRPr="00163523">
        <w:t xml:space="preserve"> transregional missions, in this scenario.</w:t>
      </w:r>
    </w:p>
    <w:p w14:paraId="6389B0AE" w14:textId="26740CC4" w:rsidR="00CE0AC5" w:rsidRPr="00163523" w:rsidRDefault="00CE0AC5" w:rsidP="00CE0AC5">
      <w:pPr>
        <w:pStyle w:val="Lijstalinea"/>
        <w:numPr>
          <w:ilvl w:val="0"/>
          <w:numId w:val="41"/>
        </w:numPr>
      </w:pPr>
      <w:r w:rsidRPr="00163523">
        <w:t xml:space="preserve">Trade Disputes and Tariffs: Heightened trade disputes and the imposition of tariffs between countries or trading blocs can disrupt global supply chains and increase the cost of importing </w:t>
      </w:r>
      <w:r w:rsidRPr="00163523">
        <w:lastRenderedPageBreak/>
        <w:t>necessary technologies and equipment for gas decarbonisation. Higher costs and trade barriers can hinder the deployment of renewable energy infrastructure and slow down the transition to hydrogen and biomethane production.</w:t>
      </w:r>
    </w:p>
    <w:p w14:paraId="0420F78D" w14:textId="09607649" w:rsidR="00F63E15" w:rsidRPr="00163523" w:rsidRDefault="00CE0AC5" w:rsidP="00CE0AC5">
      <w:pPr>
        <w:pStyle w:val="Lijstalinea"/>
        <w:numPr>
          <w:ilvl w:val="0"/>
          <w:numId w:val="41"/>
        </w:numPr>
      </w:pPr>
      <w:r w:rsidRPr="00163523">
        <w:t>Cybersecurity Threats and Disruptions: The increasing reliance on digital infrastructure and interconnected systems in the energy sector makes it vulnerable to cyberattacks and disruptions. Geopolitical events that result in cyber threats or breaches can disrupt energy supply, compromise critical infrastructure, and undermine confidence in the reliability and security of gas decarbonisation technologies and systems, especially with higher digitalisation of energy resources.</w:t>
      </w:r>
    </w:p>
    <w:p w14:paraId="43E4D3C9" w14:textId="77777777" w:rsidR="00CE0AC5" w:rsidRPr="00163523" w:rsidRDefault="00CE0AC5" w:rsidP="00CE0AC5">
      <w:pPr>
        <w:rPr>
          <w:lang w:val="en-GB"/>
        </w:rPr>
      </w:pPr>
    </w:p>
    <w:p w14:paraId="7FC59E15" w14:textId="3CA71D02" w:rsidR="00F63E15" w:rsidRPr="00163523" w:rsidRDefault="00AB17A7" w:rsidP="00F63E15">
      <w:pPr>
        <w:pStyle w:val="Kop4"/>
        <w:rPr>
          <w:lang w:val="en-GB"/>
        </w:rPr>
      </w:pPr>
      <w:r w:rsidRPr="00163523">
        <w:rPr>
          <w:lang w:val="en-GB"/>
        </w:rPr>
        <w:t>Rating</w:t>
      </w:r>
      <w:r w:rsidR="00F63E15" w:rsidRPr="00163523">
        <w:rPr>
          <w:lang w:val="en-GB"/>
        </w:rPr>
        <w:t xml:space="preserve"> of the </w:t>
      </w:r>
      <w:r w:rsidRPr="00163523">
        <w:rPr>
          <w:lang w:val="en-GB"/>
        </w:rPr>
        <w:t xml:space="preserve">risk </w:t>
      </w:r>
      <w:r w:rsidR="00F63E15" w:rsidRPr="00163523">
        <w:rPr>
          <w:lang w:val="en-GB"/>
        </w:rPr>
        <w:t>based on likelihood and severity</w:t>
      </w:r>
    </w:p>
    <w:p w14:paraId="45DFD87C" w14:textId="407A44CD" w:rsidR="00CF5313" w:rsidRPr="00163523" w:rsidRDefault="00CF5313" w:rsidP="00CF5313">
      <w:pPr>
        <w:rPr>
          <w:lang w:val="en-GB"/>
        </w:rPr>
      </w:pPr>
      <w:r w:rsidRPr="00163523">
        <w:rPr>
          <w:lang w:val="en-GB"/>
        </w:rPr>
        <w:t xml:space="preserve">The </w:t>
      </w:r>
      <w:r w:rsidRPr="00163523">
        <w:rPr>
          <w:b/>
          <w:lang w:val="en-GB"/>
        </w:rPr>
        <w:t>likelihood of the risk can be assessed as ‘medium’</w:t>
      </w:r>
      <w:r w:rsidRPr="00163523">
        <w:rPr>
          <w:lang w:val="en-GB"/>
        </w:rPr>
        <w:t>. This is due to the potential for various geopolitical factors, such as rise of Euroscepticism, tensions between Ukraine and Russia, and major transregional geopolitical tensions, to impact the focus and priorities of governments and energy stakeholders. While geopolitical events are inherently unpredictable, the region's proximity to geopolitical hotspots and its interconnectedness with global economies make it susceptible to geopolitical shifts that may divert resources and attention from gas decarbonisation efforts.</w:t>
      </w:r>
      <w:r w:rsidR="00C14938" w:rsidRPr="00163523">
        <w:rPr>
          <w:lang w:val="en-GB"/>
        </w:rPr>
        <w:t xml:space="preserve"> Recent events have however shown that geopolitical issues can also provide </w:t>
      </w:r>
      <w:r w:rsidR="00CA5D32" w:rsidRPr="00163523">
        <w:rPr>
          <w:lang w:val="en-GB"/>
        </w:rPr>
        <w:t>stimuli</w:t>
      </w:r>
      <w:r w:rsidR="00C14938" w:rsidRPr="00163523">
        <w:rPr>
          <w:lang w:val="en-GB"/>
        </w:rPr>
        <w:t xml:space="preserve"> for change</w:t>
      </w:r>
      <w:r w:rsidR="00CA5D32" w:rsidRPr="00163523">
        <w:rPr>
          <w:lang w:val="en-GB"/>
        </w:rPr>
        <w:t>s</w:t>
      </w:r>
      <w:r w:rsidR="00C14938" w:rsidRPr="00163523">
        <w:rPr>
          <w:lang w:val="en-GB"/>
        </w:rPr>
        <w:t xml:space="preserve"> and </w:t>
      </w:r>
      <w:r w:rsidR="00CA5D32" w:rsidRPr="00163523">
        <w:rPr>
          <w:lang w:val="en-GB"/>
        </w:rPr>
        <w:t>accelerate</w:t>
      </w:r>
      <w:r w:rsidR="00C14938" w:rsidRPr="00163523">
        <w:rPr>
          <w:lang w:val="en-GB"/>
        </w:rPr>
        <w:t xml:space="preserve"> the uptake of decarbonisation measures. </w:t>
      </w:r>
    </w:p>
    <w:p w14:paraId="7692BC74" w14:textId="77777777" w:rsidR="00CF5313" w:rsidRPr="00163523" w:rsidRDefault="00CF5313" w:rsidP="00CF5313">
      <w:pPr>
        <w:rPr>
          <w:lang w:val="en-GB"/>
        </w:rPr>
      </w:pPr>
    </w:p>
    <w:p w14:paraId="5B4E7EDE" w14:textId="5320A085" w:rsidR="00F63E15" w:rsidRPr="00163523" w:rsidRDefault="00CF5313" w:rsidP="00CF5313">
      <w:pPr>
        <w:rPr>
          <w:lang w:val="en-GB"/>
        </w:rPr>
      </w:pPr>
      <w:r w:rsidRPr="00163523">
        <w:rPr>
          <w:lang w:val="en-GB"/>
        </w:rPr>
        <w:t xml:space="preserve">We </w:t>
      </w:r>
      <w:r w:rsidRPr="00163523">
        <w:rPr>
          <w:b/>
          <w:lang w:val="en-GB"/>
        </w:rPr>
        <w:t>consider the severity of this risk as ‘medium’</w:t>
      </w:r>
      <w:r w:rsidRPr="00163523">
        <w:rPr>
          <w:lang w:val="en-GB"/>
        </w:rPr>
        <w:t>. The diversion of resources and attention can result in delays, disruptions, and reduced momentum in implementing decarbonisation plans. It can hinder the allocation of necessary investments, slow down policy development and regulatory frameworks, and create uncertainties for investors and industry stakeholders. Furthermore, geopolitical tensions may affect the stability of energy supply routes and trade relationships, potentially impacting the availability and cost of resources required for gas decarbonisation. While the severity may vary depending on the specific geopolitical event, the overall impact is considered medium given the potential disruptions and challenges it can pose to the region's decarbonisation objectives.</w:t>
      </w:r>
    </w:p>
    <w:p w14:paraId="2D84CE42" w14:textId="77777777" w:rsidR="00920786" w:rsidRPr="00920786" w:rsidRDefault="00920786" w:rsidP="00F63E15">
      <w:pPr>
        <w:rPr>
          <w:lang w:val="en-GB"/>
        </w:rPr>
      </w:pPr>
    </w:p>
    <w:tbl>
      <w:tblPr>
        <w:tblStyle w:val="Table1"/>
        <w:tblW w:w="8449" w:type="dxa"/>
        <w:tblLayout w:type="fixed"/>
        <w:tblLook w:val="04A0" w:firstRow="1" w:lastRow="0" w:firstColumn="1" w:lastColumn="0" w:noHBand="0" w:noVBand="1"/>
      </w:tblPr>
      <w:tblGrid>
        <w:gridCol w:w="2689"/>
        <w:gridCol w:w="864"/>
        <w:gridCol w:w="864"/>
        <w:gridCol w:w="865"/>
        <w:gridCol w:w="1731"/>
        <w:gridCol w:w="1436"/>
      </w:tblGrid>
      <w:tr w:rsidR="00191426" w:rsidRPr="00801E6C" w14:paraId="3E370CFF" w14:textId="7777777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89" w:type="dxa"/>
            <w:vMerge w:val="restart"/>
            <w:noWrap/>
          </w:tcPr>
          <w:p w14:paraId="7C7A9619" w14:textId="77777777" w:rsidR="00191426" w:rsidRPr="00163523" w:rsidRDefault="00191426">
            <w:pPr>
              <w:keepNext/>
              <w:spacing w:line="240" w:lineRule="auto"/>
              <w:ind w:left="0"/>
              <w:rPr>
                <w:rFonts w:eastAsia="Times New Roman"/>
                <w:sz w:val="16"/>
                <w:szCs w:val="16"/>
                <w:lang w:val="en-GB" w:eastAsia="en-GB"/>
              </w:rPr>
            </w:pPr>
            <w:r w:rsidRPr="00163523">
              <w:rPr>
                <w:rFonts w:eastAsia="Arial"/>
                <w:sz w:val="16"/>
                <w:szCs w:val="16"/>
                <w:lang w:val="en-GB"/>
              </w:rPr>
              <w:t>Risk</w:t>
            </w:r>
          </w:p>
        </w:tc>
        <w:tc>
          <w:tcPr>
            <w:tcW w:w="2593" w:type="dxa"/>
            <w:gridSpan w:val="3"/>
          </w:tcPr>
          <w:p w14:paraId="05DD2CBB" w14:textId="77777777" w:rsidR="00191426" w:rsidRPr="00163523" w:rsidRDefault="00191426">
            <w:pPr>
              <w:keepNext/>
              <w:spacing w:line="240" w:lineRule="auto"/>
              <w:ind w:left="0"/>
              <w:cnfStyle w:val="100000000000" w:firstRow="1" w:lastRow="0" w:firstColumn="0" w:lastColumn="0" w:oddVBand="0" w:evenVBand="0" w:oddHBand="0" w:evenHBand="0" w:firstRowFirstColumn="0" w:firstRowLastColumn="0" w:lastRowFirstColumn="0" w:lastRowLastColumn="0"/>
              <w:rPr>
                <w:rFonts w:eastAsia="Arial"/>
                <w:sz w:val="16"/>
                <w:szCs w:val="16"/>
                <w:lang w:val="en-GB"/>
              </w:rPr>
            </w:pPr>
            <w:r w:rsidRPr="00801E6C">
              <w:rPr>
                <w:rFonts w:eastAsia="Arial"/>
                <w:sz w:val="16"/>
                <w:szCs w:val="16"/>
                <w:lang w:val="en-GB"/>
              </w:rPr>
              <w:t>Applicable scenarios</w:t>
            </w:r>
          </w:p>
        </w:tc>
        <w:tc>
          <w:tcPr>
            <w:tcW w:w="1731" w:type="dxa"/>
            <w:vMerge w:val="restart"/>
            <w:noWrap/>
          </w:tcPr>
          <w:p w14:paraId="1109A7ED" w14:textId="77777777" w:rsidR="00191426" w:rsidRPr="00163523" w:rsidRDefault="00191426">
            <w:pPr>
              <w:keepNext/>
              <w:spacing w:line="240" w:lineRule="auto"/>
              <w:ind w:left="0"/>
              <w:cnfStyle w:val="100000000000" w:firstRow="1" w:lastRow="0" w:firstColumn="0" w:lastColumn="0" w:oddVBand="0" w:evenVBand="0" w:oddHBand="0" w:evenHBand="0" w:firstRowFirstColumn="0" w:firstRowLastColumn="0" w:lastRowFirstColumn="0" w:lastRowLastColumn="0"/>
              <w:rPr>
                <w:rFonts w:eastAsia="Times New Roman"/>
                <w:i/>
                <w:sz w:val="16"/>
                <w:szCs w:val="16"/>
                <w:lang w:val="en-GB" w:eastAsia="en-GB"/>
              </w:rPr>
            </w:pPr>
            <w:r w:rsidRPr="00163523">
              <w:rPr>
                <w:rFonts w:eastAsia="Arial"/>
                <w:sz w:val="16"/>
                <w:szCs w:val="16"/>
                <w:lang w:val="en-GB"/>
              </w:rPr>
              <w:t>Likelihood</w:t>
            </w:r>
          </w:p>
        </w:tc>
        <w:tc>
          <w:tcPr>
            <w:tcW w:w="1436" w:type="dxa"/>
            <w:vMerge w:val="restart"/>
            <w:noWrap/>
          </w:tcPr>
          <w:p w14:paraId="3A7BE618" w14:textId="77777777" w:rsidR="00191426" w:rsidRPr="00163523" w:rsidRDefault="00191426">
            <w:pPr>
              <w:keepNext/>
              <w:spacing w:line="240" w:lineRule="auto"/>
              <w:ind w:left="0"/>
              <w:cnfStyle w:val="100000000000" w:firstRow="1" w:lastRow="0" w:firstColumn="0" w:lastColumn="0" w:oddVBand="0" w:evenVBand="0" w:oddHBand="0" w:evenHBand="0" w:firstRowFirstColumn="0" w:firstRowLastColumn="0" w:lastRowFirstColumn="0" w:lastRowLastColumn="0"/>
              <w:rPr>
                <w:rFonts w:eastAsia="Times New Roman"/>
                <w:i/>
                <w:sz w:val="16"/>
                <w:szCs w:val="16"/>
                <w:lang w:val="en-GB" w:eastAsia="en-GB"/>
              </w:rPr>
            </w:pPr>
            <w:r w:rsidRPr="00163523">
              <w:rPr>
                <w:rFonts w:eastAsia="Arial"/>
                <w:sz w:val="16"/>
                <w:szCs w:val="16"/>
                <w:lang w:val="en-GB"/>
              </w:rPr>
              <w:t>Severity</w:t>
            </w:r>
          </w:p>
        </w:tc>
      </w:tr>
      <w:tr w:rsidR="00191426" w:rsidRPr="00801E6C" w14:paraId="3A98B6CA" w14:textId="77777777" w:rsidTr="001C1440">
        <w:trPr>
          <w:trHeight w:val="20"/>
        </w:trPr>
        <w:tc>
          <w:tcPr>
            <w:cnfStyle w:val="001000000000" w:firstRow="0" w:lastRow="0" w:firstColumn="1" w:lastColumn="0" w:oddVBand="0" w:evenVBand="0" w:oddHBand="0" w:evenHBand="0" w:firstRowFirstColumn="0" w:firstRowLastColumn="0" w:lastRowFirstColumn="0" w:lastRowLastColumn="0"/>
            <w:tcW w:w="2689" w:type="dxa"/>
            <w:vMerge/>
            <w:noWrap/>
          </w:tcPr>
          <w:p w14:paraId="60FA6A27" w14:textId="77777777" w:rsidR="00191426" w:rsidRPr="00801E6C" w:rsidRDefault="00191426">
            <w:pPr>
              <w:spacing w:line="240" w:lineRule="auto"/>
              <w:ind w:left="0"/>
              <w:jc w:val="center"/>
              <w:rPr>
                <w:rFonts w:eastAsia="Arial"/>
                <w:sz w:val="16"/>
                <w:szCs w:val="16"/>
                <w:lang w:val="en-GB"/>
              </w:rPr>
            </w:pPr>
          </w:p>
        </w:tc>
        <w:tc>
          <w:tcPr>
            <w:tcW w:w="864" w:type="dxa"/>
          </w:tcPr>
          <w:p w14:paraId="5308F80D" w14:textId="77777777" w:rsidR="00191426" w:rsidRPr="00163523" w:rsidRDefault="00191426">
            <w:pPr>
              <w:spacing w:line="240" w:lineRule="auto"/>
              <w:ind w:left="0"/>
              <w:cnfStyle w:val="000000000000" w:firstRow="0" w:lastRow="0" w:firstColumn="0" w:lastColumn="0" w:oddVBand="0" w:evenVBand="0" w:oddHBand="0" w:evenHBand="0" w:firstRowFirstColumn="0" w:firstRowLastColumn="0" w:lastRowFirstColumn="0" w:lastRowLastColumn="0"/>
              <w:rPr>
                <w:rFonts w:eastAsia="Times New Roman"/>
                <w:b/>
                <w:color w:val="000000"/>
                <w:sz w:val="14"/>
                <w:szCs w:val="14"/>
                <w:lang w:val="en-GB" w:eastAsia="en-GB"/>
              </w:rPr>
            </w:pPr>
            <w:r w:rsidRPr="00163523">
              <w:rPr>
                <w:rFonts w:eastAsia="Arial"/>
                <w:sz w:val="14"/>
                <w:szCs w:val="14"/>
                <w:lang w:val="en-GB"/>
              </w:rPr>
              <w:t>REN-M</w:t>
            </w:r>
          </w:p>
        </w:tc>
        <w:tc>
          <w:tcPr>
            <w:tcW w:w="864" w:type="dxa"/>
          </w:tcPr>
          <w:p w14:paraId="1A20F3B4" w14:textId="77777777" w:rsidR="00191426" w:rsidRPr="00163523" w:rsidRDefault="00191426">
            <w:pPr>
              <w:spacing w:line="240" w:lineRule="auto"/>
              <w:ind w:left="0"/>
              <w:cnfStyle w:val="000000000000" w:firstRow="0" w:lastRow="0" w:firstColumn="0" w:lastColumn="0" w:oddVBand="0" w:evenVBand="0" w:oddHBand="0" w:evenHBand="0" w:firstRowFirstColumn="0" w:firstRowLastColumn="0" w:lastRowFirstColumn="0" w:lastRowLastColumn="0"/>
              <w:rPr>
                <w:rFonts w:eastAsia="Times New Roman"/>
                <w:b/>
                <w:color w:val="000000"/>
                <w:sz w:val="14"/>
                <w:szCs w:val="14"/>
                <w:lang w:val="en-GB" w:eastAsia="en-GB"/>
              </w:rPr>
            </w:pPr>
            <w:r w:rsidRPr="00163523">
              <w:rPr>
                <w:rFonts w:eastAsia="Arial"/>
                <w:sz w:val="14"/>
                <w:szCs w:val="14"/>
                <w:lang w:val="en-GB"/>
              </w:rPr>
              <w:t>REN-H</w:t>
            </w:r>
          </w:p>
        </w:tc>
        <w:tc>
          <w:tcPr>
            <w:tcW w:w="865" w:type="dxa"/>
          </w:tcPr>
          <w:p w14:paraId="7D31F6DC" w14:textId="77777777" w:rsidR="00191426" w:rsidRPr="00163523" w:rsidRDefault="00191426">
            <w:pPr>
              <w:spacing w:line="240" w:lineRule="auto"/>
              <w:ind w:left="0"/>
              <w:cnfStyle w:val="000000000000" w:firstRow="0" w:lastRow="0" w:firstColumn="0" w:lastColumn="0" w:oddVBand="0" w:evenVBand="0" w:oddHBand="0" w:evenHBand="0" w:firstRowFirstColumn="0" w:firstRowLastColumn="0" w:lastRowFirstColumn="0" w:lastRowLastColumn="0"/>
              <w:rPr>
                <w:rFonts w:eastAsia="Times New Roman"/>
                <w:b/>
                <w:color w:val="000000"/>
                <w:sz w:val="14"/>
                <w:szCs w:val="14"/>
                <w:lang w:val="en-GB" w:eastAsia="en-GB"/>
              </w:rPr>
            </w:pPr>
            <w:r w:rsidRPr="00163523">
              <w:rPr>
                <w:rFonts w:eastAsia="Arial"/>
                <w:sz w:val="14"/>
                <w:szCs w:val="14"/>
                <w:lang w:val="en-GB"/>
              </w:rPr>
              <w:t>CM</w:t>
            </w:r>
          </w:p>
        </w:tc>
        <w:tc>
          <w:tcPr>
            <w:tcW w:w="1731" w:type="dxa"/>
            <w:vMerge/>
            <w:shd w:val="clear" w:color="auto" w:fill="F9B7AC" w:themeFill="accent2" w:themeFillTint="66"/>
            <w:noWrap/>
          </w:tcPr>
          <w:p w14:paraId="00D85827" w14:textId="77777777" w:rsidR="00191426" w:rsidRPr="00163523" w:rsidRDefault="00191426">
            <w:pPr>
              <w:spacing w:line="240" w:lineRule="auto"/>
              <w:ind w:left="0"/>
              <w:cnfStyle w:val="000000000000" w:firstRow="0" w:lastRow="0" w:firstColumn="0" w:lastColumn="0" w:oddVBand="0" w:evenVBand="0" w:oddHBand="0" w:evenHBand="0" w:firstRowFirstColumn="0" w:firstRowLastColumn="0" w:lastRowFirstColumn="0" w:lastRowLastColumn="0"/>
              <w:rPr>
                <w:rFonts w:eastAsia="Times New Roman"/>
                <w:b/>
                <w:color w:val="000000"/>
                <w:sz w:val="16"/>
                <w:szCs w:val="16"/>
                <w:lang w:val="en-GB" w:eastAsia="en-GB"/>
              </w:rPr>
            </w:pPr>
          </w:p>
        </w:tc>
        <w:tc>
          <w:tcPr>
            <w:tcW w:w="1436" w:type="dxa"/>
            <w:vMerge/>
            <w:shd w:val="clear" w:color="auto" w:fill="FFD57B" w:themeFill="accent4" w:themeFillShade="E6"/>
            <w:noWrap/>
          </w:tcPr>
          <w:p w14:paraId="06BA77F5" w14:textId="77777777" w:rsidR="00191426" w:rsidRPr="00163523" w:rsidRDefault="00191426">
            <w:pPr>
              <w:spacing w:line="240" w:lineRule="auto"/>
              <w:ind w:left="0"/>
              <w:cnfStyle w:val="000000000000" w:firstRow="0" w:lastRow="0" w:firstColumn="0" w:lastColumn="0" w:oddVBand="0" w:evenVBand="0" w:oddHBand="0" w:evenHBand="0" w:firstRowFirstColumn="0" w:firstRowLastColumn="0" w:lastRowFirstColumn="0" w:lastRowLastColumn="0"/>
              <w:rPr>
                <w:rFonts w:eastAsia="Arial"/>
                <w:b/>
                <w:sz w:val="16"/>
                <w:szCs w:val="16"/>
                <w:lang w:val="en-GB"/>
              </w:rPr>
            </w:pPr>
          </w:p>
        </w:tc>
      </w:tr>
      <w:tr w:rsidR="00191426" w:rsidRPr="00801E6C" w14:paraId="05A4712B" w14:textId="77777777" w:rsidTr="00CF5313">
        <w:trPr>
          <w:trHeight w:val="20"/>
        </w:trPr>
        <w:tc>
          <w:tcPr>
            <w:cnfStyle w:val="001000000000" w:firstRow="0" w:lastRow="0" w:firstColumn="1" w:lastColumn="0" w:oddVBand="0" w:evenVBand="0" w:oddHBand="0" w:evenHBand="0" w:firstRowFirstColumn="0" w:firstRowLastColumn="0" w:lastRowFirstColumn="0" w:lastRowLastColumn="0"/>
            <w:tcW w:w="2689" w:type="dxa"/>
            <w:noWrap/>
          </w:tcPr>
          <w:p w14:paraId="0FA93EFC" w14:textId="376099F4" w:rsidR="00191426" w:rsidRPr="00801E6C" w:rsidRDefault="00CF5313">
            <w:pPr>
              <w:spacing w:line="240" w:lineRule="auto"/>
              <w:ind w:left="0"/>
              <w:jc w:val="center"/>
              <w:rPr>
                <w:rFonts w:eastAsia="Times New Roman"/>
                <w:color w:val="000000"/>
                <w:sz w:val="16"/>
                <w:szCs w:val="16"/>
                <w:highlight w:val="yellow"/>
                <w:lang w:val="en-GB" w:eastAsia="en-GB"/>
              </w:rPr>
            </w:pPr>
            <w:r w:rsidRPr="00CF5313">
              <w:rPr>
                <w:rFonts w:eastAsia="Times New Roman"/>
                <w:color w:val="000000"/>
                <w:sz w:val="16"/>
                <w:szCs w:val="16"/>
                <w:lang w:val="en-GB" w:eastAsia="en-GB"/>
              </w:rPr>
              <w:t>Geopolitical events can divert resources and attention from gas decarbonisation measures</w:t>
            </w:r>
          </w:p>
        </w:tc>
        <w:tc>
          <w:tcPr>
            <w:tcW w:w="864" w:type="dxa"/>
          </w:tcPr>
          <w:p w14:paraId="7DE7DBFD" w14:textId="77777777" w:rsidR="00191426" w:rsidRPr="00163523" w:rsidRDefault="00191426">
            <w:pPr>
              <w:spacing w:line="240" w:lineRule="auto"/>
              <w:ind w:left="0"/>
              <w:cnfStyle w:val="000000000000" w:firstRow="0" w:lastRow="0" w:firstColumn="0" w:lastColumn="0" w:oddVBand="0" w:evenVBand="0" w:oddHBand="0" w:evenHBand="0" w:firstRowFirstColumn="0" w:firstRowLastColumn="0" w:lastRowFirstColumn="0" w:lastRowLastColumn="0"/>
              <w:rPr>
                <w:rFonts w:eastAsia="Times New Roman"/>
                <w:b/>
                <w:color w:val="000000"/>
                <w:sz w:val="16"/>
                <w:szCs w:val="16"/>
                <w:lang w:val="en-GB" w:eastAsia="en-GB"/>
              </w:rPr>
            </w:pPr>
            <w:r w:rsidRPr="00163523">
              <w:rPr>
                <w:rFonts w:ascii="Wingdings" w:eastAsia="Wingdings" w:hAnsi="Wingdings" w:cs="Wingdings"/>
                <w:b/>
                <w:color w:val="000000"/>
                <w:sz w:val="16"/>
                <w:szCs w:val="16"/>
                <w:lang w:val="en-GB" w:eastAsia="en-GB"/>
              </w:rPr>
              <w:sym w:font="Wingdings" w:char="F0FC"/>
            </w:r>
          </w:p>
        </w:tc>
        <w:tc>
          <w:tcPr>
            <w:tcW w:w="864" w:type="dxa"/>
          </w:tcPr>
          <w:p w14:paraId="42EF8780" w14:textId="3D391CCE" w:rsidR="00191426" w:rsidRPr="00163523" w:rsidRDefault="00191426">
            <w:pPr>
              <w:spacing w:line="240" w:lineRule="auto"/>
              <w:ind w:left="0"/>
              <w:cnfStyle w:val="000000000000" w:firstRow="0" w:lastRow="0" w:firstColumn="0" w:lastColumn="0" w:oddVBand="0" w:evenVBand="0" w:oddHBand="0" w:evenHBand="0" w:firstRowFirstColumn="0" w:firstRowLastColumn="0" w:lastRowFirstColumn="0" w:lastRowLastColumn="0"/>
              <w:rPr>
                <w:rFonts w:eastAsia="Times New Roman"/>
                <w:b/>
                <w:color w:val="000000"/>
                <w:sz w:val="16"/>
                <w:szCs w:val="16"/>
                <w:lang w:val="en-GB" w:eastAsia="en-GB"/>
              </w:rPr>
            </w:pPr>
            <w:r w:rsidRPr="00163523">
              <w:rPr>
                <w:rFonts w:ascii="Wingdings" w:eastAsia="Wingdings" w:hAnsi="Wingdings" w:cs="Wingdings"/>
                <w:b/>
                <w:color w:val="000000"/>
                <w:sz w:val="16"/>
                <w:szCs w:val="16"/>
                <w:lang w:val="en-GB" w:eastAsia="en-GB"/>
              </w:rPr>
              <w:sym w:font="Wingdings" w:char="F0FC"/>
            </w:r>
          </w:p>
        </w:tc>
        <w:tc>
          <w:tcPr>
            <w:tcW w:w="865" w:type="dxa"/>
          </w:tcPr>
          <w:p w14:paraId="7A2E0673" w14:textId="77777777" w:rsidR="00191426" w:rsidRPr="00163523" w:rsidRDefault="00191426">
            <w:pPr>
              <w:spacing w:line="240" w:lineRule="auto"/>
              <w:ind w:left="0"/>
              <w:cnfStyle w:val="000000000000" w:firstRow="0" w:lastRow="0" w:firstColumn="0" w:lastColumn="0" w:oddVBand="0" w:evenVBand="0" w:oddHBand="0" w:evenHBand="0" w:firstRowFirstColumn="0" w:firstRowLastColumn="0" w:lastRowFirstColumn="0" w:lastRowLastColumn="0"/>
              <w:rPr>
                <w:rFonts w:eastAsia="Times New Roman"/>
                <w:b/>
                <w:color w:val="000000"/>
                <w:sz w:val="16"/>
                <w:szCs w:val="16"/>
                <w:lang w:val="en-GB" w:eastAsia="en-GB"/>
              </w:rPr>
            </w:pPr>
            <w:r w:rsidRPr="00163523">
              <w:rPr>
                <w:rFonts w:ascii="Wingdings" w:eastAsia="Wingdings" w:hAnsi="Wingdings" w:cs="Wingdings"/>
                <w:b/>
                <w:color w:val="000000"/>
                <w:sz w:val="16"/>
                <w:szCs w:val="16"/>
                <w:lang w:val="en-GB" w:eastAsia="en-GB"/>
              </w:rPr>
              <w:sym w:font="Wingdings" w:char="F0FC"/>
            </w:r>
          </w:p>
        </w:tc>
        <w:tc>
          <w:tcPr>
            <w:tcW w:w="1731" w:type="dxa"/>
            <w:shd w:val="clear" w:color="auto" w:fill="FFD57B" w:themeFill="accent4" w:themeFillShade="E6"/>
            <w:noWrap/>
          </w:tcPr>
          <w:p w14:paraId="52BA5885" w14:textId="384A4DBD" w:rsidR="00191426" w:rsidRPr="00163523" w:rsidRDefault="00CF5313">
            <w:pPr>
              <w:spacing w:line="240" w:lineRule="auto"/>
              <w:ind w:left="0"/>
              <w:cnfStyle w:val="000000000000" w:firstRow="0" w:lastRow="0" w:firstColumn="0" w:lastColumn="0" w:oddVBand="0" w:evenVBand="0" w:oddHBand="0" w:evenHBand="0" w:firstRowFirstColumn="0" w:firstRowLastColumn="0" w:lastRowFirstColumn="0" w:lastRowLastColumn="0"/>
              <w:rPr>
                <w:rFonts w:eastAsia="Times New Roman"/>
                <w:b/>
                <w:color w:val="000000"/>
                <w:sz w:val="16"/>
                <w:szCs w:val="16"/>
                <w:lang w:val="en-GB" w:eastAsia="en-GB"/>
              </w:rPr>
            </w:pPr>
            <w:r w:rsidRPr="00163523">
              <w:rPr>
                <w:rFonts w:eastAsia="Times New Roman"/>
                <w:b/>
                <w:color w:val="000000"/>
                <w:sz w:val="16"/>
                <w:szCs w:val="16"/>
                <w:lang w:val="en-GB" w:eastAsia="en-GB"/>
              </w:rPr>
              <w:t>Medium</w:t>
            </w:r>
          </w:p>
        </w:tc>
        <w:tc>
          <w:tcPr>
            <w:tcW w:w="1436" w:type="dxa"/>
            <w:shd w:val="clear" w:color="auto" w:fill="FFD57B" w:themeFill="accent4" w:themeFillShade="E6"/>
            <w:noWrap/>
          </w:tcPr>
          <w:p w14:paraId="51E2D223" w14:textId="77777777" w:rsidR="00191426" w:rsidRPr="00163523" w:rsidRDefault="00191426">
            <w:pPr>
              <w:spacing w:line="240" w:lineRule="auto"/>
              <w:ind w:left="0"/>
              <w:cnfStyle w:val="000000000000" w:firstRow="0" w:lastRow="0" w:firstColumn="0" w:lastColumn="0" w:oddVBand="0" w:evenVBand="0" w:oddHBand="0" w:evenHBand="0" w:firstRowFirstColumn="0" w:firstRowLastColumn="0" w:lastRowFirstColumn="0" w:lastRowLastColumn="0"/>
              <w:rPr>
                <w:rFonts w:eastAsia="Times New Roman"/>
                <w:b/>
                <w:i/>
                <w:color w:val="000000"/>
                <w:sz w:val="16"/>
                <w:szCs w:val="16"/>
                <w:lang w:val="en-GB" w:eastAsia="en-GB"/>
              </w:rPr>
            </w:pPr>
            <w:r w:rsidRPr="00163523">
              <w:rPr>
                <w:rFonts w:eastAsia="Arial"/>
                <w:b/>
                <w:sz w:val="16"/>
                <w:szCs w:val="16"/>
                <w:lang w:val="en-GB"/>
              </w:rPr>
              <w:t>Medium</w:t>
            </w:r>
          </w:p>
        </w:tc>
      </w:tr>
    </w:tbl>
    <w:p w14:paraId="3E077EC8" w14:textId="77777777" w:rsidR="00191426" w:rsidRPr="00163523" w:rsidRDefault="00191426" w:rsidP="00F63E15">
      <w:pPr>
        <w:rPr>
          <w:lang w:val="en-GB"/>
        </w:rPr>
      </w:pPr>
    </w:p>
    <w:p w14:paraId="409786D1" w14:textId="77777777" w:rsidR="00F63E15" w:rsidRPr="00163523" w:rsidRDefault="00F63E15" w:rsidP="00F63E15">
      <w:pPr>
        <w:pStyle w:val="Kop4"/>
        <w:rPr>
          <w:lang w:val="en-GB"/>
        </w:rPr>
      </w:pPr>
      <w:r>
        <w:rPr>
          <w:lang w:val="en-GB"/>
        </w:rPr>
        <w:t xml:space="preserve">Potential </w:t>
      </w:r>
      <w:r w:rsidRPr="00163523">
        <w:rPr>
          <w:lang w:val="en-GB"/>
        </w:rPr>
        <w:t>mitigation measures</w:t>
      </w:r>
    </w:p>
    <w:p w14:paraId="03560E47" w14:textId="77777777" w:rsidR="00964DDF" w:rsidRPr="00163523" w:rsidRDefault="00964DDF" w:rsidP="00964DDF">
      <w:pPr>
        <w:rPr>
          <w:lang w:val="en-GB"/>
        </w:rPr>
      </w:pPr>
      <w:r w:rsidRPr="00163523">
        <w:rPr>
          <w:lang w:val="en-GB"/>
        </w:rPr>
        <w:t>To address the geopolitical challenges and mitigate their impact on gas decarbonisation in the Baltic States and Finland, the following recommendations and solutions can be considered:</w:t>
      </w:r>
    </w:p>
    <w:p w14:paraId="176E5B97" w14:textId="677C2A3B" w:rsidR="00964DDF" w:rsidRPr="00964DDF" w:rsidRDefault="00964DDF" w:rsidP="003653E1">
      <w:pPr>
        <w:pStyle w:val="Bulletpoint"/>
      </w:pPr>
      <w:r w:rsidRPr="00964DDF">
        <w:t>Strengthen Regional Cooperation: Enhancing regional cooperation among the Baltic States and Finland can promote joint efforts in gas decarbonisation. Establishing collaborative platforms, sharing best practices, and coordinating investment strategies can leverage collective resources and expertise, leading to more efficient and effective decarbonisation initiatives.</w:t>
      </w:r>
    </w:p>
    <w:p w14:paraId="7FBC6041" w14:textId="76B599E6" w:rsidR="00964DDF" w:rsidRPr="00964DDF" w:rsidRDefault="00964DDF" w:rsidP="003653E1">
      <w:pPr>
        <w:pStyle w:val="Bulletpoint"/>
      </w:pPr>
      <w:r w:rsidRPr="00964DDF">
        <w:t>Diversify Energy Sources and Supply Routes: Reducing dependence on specific energy sources and diversifying supply routes can enhance energy security and mitigate geopolitical risks. This includes expanding the portfolio of renewable energy sources beyond hydrogen and biomethane, such as wind and solar power, and developing interconnections with neighbouring energy markets for increased resilience.</w:t>
      </w:r>
    </w:p>
    <w:p w14:paraId="78C5AADA" w14:textId="27B00137" w:rsidR="00964DDF" w:rsidRPr="00964DDF" w:rsidRDefault="00964DDF" w:rsidP="003653E1">
      <w:pPr>
        <w:pStyle w:val="Bulletpoint"/>
      </w:pPr>
      <w:r w:rsidRPr="00964DDF">
        <w:lastRenderedPageBreak/>
        <w:t>Develop Domestic Resources: Investing in the development of domestic (regionally integrated) renewable energy resources, such as offshore wind farms, biomass production, and solar installations, can enhance energy self-sufficiency and reduce reliance on imported resources. This reduces vulnerability to geopolitical disruptions and ensures a stable supply for gas decarbonisation efforts.</w:t>
      </w:r>
    </w:p>
    <w:p w14:paraId="5238562B" w14:textId="4179B182" w:rsidR="00964DDF" w:rsidRPr="00964DDF" w:rsidRDefault="00964DDF" w:rsidP="003653E1">
      <w:pPr>
        <w:pStyle w:val="Bulletpoint"/>
      </w:pPr>
      <w:r w:rsidRPr="00964DDF">
        <w:t>Strengthen Resilient Infrastructure: Building resilient energy infrastructure is essential to withstand geopolitical tensions and potential disruptions. This includes upgrading and expanding the power grid, enhancing cybersecurity measures, and ensuring redundancy in energy supply systems. Resilient infrastructure will enhance the reliability and security of gas decarbonisation technologies and maintain continuous operations in the face of geopolitical challenges.</w:t>
      </w:r>
    </w:p>
    <w:p w14:paraId="564E9BE4" w14:textId="3DFF8ECF" w:rsidR="00964DDF" w:rsidRPr="00964DDF" w:rsidRDefault="00964DDF" w:rsidP="003653E1">
      <w:pPr>
        <w:pStyle w:val="Bulletpoint"/>
      </w:pPr>
      <w:r w:rsidRPr="00964DDF">
        <w:t>Foster International Partnerships: Establishing strategic partnerships with other countries and organizations can enhance resource sharing, technological collaboration, and knowledge exchange. Engaging in international agreements and initiatives, such as the European Green Deal or international climate agreements, can provide a supportive framework for gas decarbonisation efforts and help navigate geopolitical challenges collectively.</w:t>
      </w:r>
    </w:p>
    <w:p w14:paraId="20BF65BA" w14:textId="678A52A2" w:rsidR="00964DDF" w:rsidRPr="00964DDF" w:rsidRDefault="00964DDF" w:rsidP="003653E1">
      <w:pPr>
        <w:pStyle w:val="Bulletpoint"/>
      </w:pPr>
      <w:r w:rsidRPr="00964DDF">
        <w:t>Strengthen Energy Diplomacy: Engaging in energy diplomacy can help navigate geopolitical challenges by fostering dialogue, resolving conflicts, and promoting mutual understanding. Strengthening diplomatic relationships with neighbouring countries, energy suppliers, and international organizations can facilitate resource access, address trade disputes, and mitigate potential barriers to gas decarbonisation.</w:t>
      </w:r>
    </w:p>
    <w:p w14:paraId="37ED5470" w14:textId="77777777" w:rsidR="003653E1" w:rsidRPr="00163523" w:rsidRDefault="003653E1" w:rsidP="00964DDF">
      <w:pPr>
        <w:rPr>
          <w:lang w:val="en-GB"/>
        </w:rPr>
      </w:pPr>
    </w:p>
    <w:p w14:paraId="101BC756" w14:textId="39DB94EE" w:rsidR="00F63E15" w:rsidRPr="00163523" w:rsidRDefault="00964DDF" w:rsidP="00964DDF">
      <w:pPr>
        <w:rPr>
          <w:lang w:val="en-GB"/>
        </w:rPr>
      </w:pPr>
      <w:r w:rsidRPr="00163523">
        <w:rPr>
          <w:lang w:val="en-GB"/>
        </w:rPr>
        <w:t>By implementing these recommendations, the Baltic States and Finland can navigate geopolitical challenges more effectively, ensuring a resilient and sustainable transition to a decarbonised gas market. It requires a proactive approach, diplomatic engagement, and long-term planning to overcome barriers and seize the opportunities presented by gas decarbonisation in a rapidly evolving geopolitical landscape.</w:t>
      </w:r>
    </w:p>
    <w:p w14:paraId="47079002" w14:textId="19A0788C" w:rsidR="00B504B5" w:rsidRDefault="00BF7575">
      <w:pPr>
        <w:spacing w:after="200" w:line="276" w:lineRule="auto"/>
        <w:ind w:left="0"/>
        <w:rPr>
          <w:lang w:val="en-GB"/>
        </w:rPr>
      </w:pPr>
      <w:r>
        <w:rPr>
          <w:lang w:val="en-GB"/>
        </w:rPr>
        <w:br w:type="page"/>
      </w:r>
    </w:p>
    <w:p w14:paraId="08533D35" w14:textId="7B32B636" w:rsidR="007D61EA" w:rsidRPr="00CC5DB0" w:rsidRDefault="007D61EA" w:rsidP="00AD1434">
      <w:pPr>
        <w:pStyle w:val="Kop1"/>
      </w:pPr>
      <w:bookmarkStart w:id="90" w:name="_Ref138492524"/>
      <w:bookmarkStart w:id="91" w:name="_Toc138492616"/>
      <w:bookmarkStart w:id="92" w:name="_Toc144803023"/>
      <w:r w:rsidRPr="00CC5DB0">
        <w:lastRenderedPageBreak/>
        <w:t>Risk assessment synthesis</w:t>
      </w:r>
      <w:bookmarkEnd w:id="90"/>
      <w:bookmarkEnd w:id="91"/>
      <w:bookmarkEnd w:id="92"/>
    </w:p>
    <w:p w14:paraId="245B9622" w14:textId="29F9AAC5" w:rsidR="00072B69" w:rsidRDefault="00072B69" w:rsidP="00072B69">
      <w:pPr>
        <w:pStyle w:val="Kop2"/>
      </w:pPr>
      <w:bookmarkStart w:id="93" w:name="_Toc138492617"/>
      <w:bookmarkStart w:id="94" w:name="_Toc144803024"/>
      <w:r w:rsidRPr="00CC5DB0">
        <w:t>Comparison of identified risks</w:t>
      </w:r>
      <w:bookmarkEnd w:id="93"/>
      <w:bookmarkEnd w:id="94"/>
    </w:p>
    <w:p w14:paraId="689B5A3C" w14:textId="5400A70D" w:rsidR="00072B69" w:rsidRDefault="00072B69" w:rsidP="00072B69">
      <w:pPr>
        <w:rPr>
          <w:lang w:val="en-GB"/>
        </w:rPr>
      </w:pPr>
      <w:r>
        <w:rPr>
          <w:lang w:val="en-GB"/>
        </w:rPr>
        <w:fldChar w:fldCharType="begin"/>
      </w:r>
      <w:r>
        <w:rPr>
          <w:lang w:val="en-GB"/>
        </w:rPr>
        <w:instrText xml:space="preserve"> REF _Ref138058459 \h </w:instrText>
      </w:r>
      <w:r>
        <w:rPr>
          <w:lang w:val="en-GB"/>
        </w:rPr>
      </w:r>
      <w:r>
        <w:rPr>
          <w:lang w:val="en-GB"/>
        </w:rPr>
        <w:fldChar w:fldCharType="separate"/>
      </w:r>
      <w:r w:rsidR="00042852" w:rsidRPr="00AE63C4">
        <w:rPr>
          <w:lang w:val="en-GB"/>
        </w:rPr>
        <w:t xml:space="preserve">Table </w:t>
      </w:r>
      <w:r w:rsidR="00042852">
        <w:rPr>
          <w:noProof/>
          <w:lang w:val="en-GB"/>
        </w:rPr>
        <w:t>4</w:t>
      </w:r>
      <w:r w:rsidR="00042852">
        <w:rPr>
          <w:lang w:val="en-GB"/>
        </w:rPr>
        <w:noBreakHyphen/>
      </w:r>
      <w:r w:rsidR="00042852">
        <w:rPr>
          <w:noProof/>
          <w:lang w:val="en-GB"/>
        </w:rPr>
        <w:t>1</w:t>
      </w:r>
      <w:r>
        <w:rPr>
          <w:lang w:val="en-GB"/>
        </w:rPr>
        <w:fldChar w:fldCharType="end"/>
      </w:r>
      <w:r>
        <w:rPr>
          <w:lang w:val="en-GB"/>
        </w:rPr>
        <w:t xml:space="preserve"> presents the assessment for all </w:t>
      </w:r>
      <w:r w:rsidR="007669EF">
        <w:rPr>
          <w:lang w:val="en-GB"/>
        </w:rPr>
        <w:t xml:space="preserve">identified </w:t>
      </w:r>
      <w:r>
        <w:rPr>
          <w:lang w:val="en-GB"/>
        </w:rPr>
        <w:t xml:space="preserve">risks, including the applicable scenarios, the likelihood and the severity (for more details, see the description at the start of chapter </w:t>
      </w:r>
      <w:r>
        <w:rPr>
          <w:lang w:val="en-GB"/>
        </w:rPr>
        <w:fldChar w:fldCharType="begin"/>
      </w:r>
      <w:r>
        <w:rPr>
          <w:lang w:val="en-GB"/>
        </w:rPr>
        <w:instrText xml:space="preserve"> REF _Ref138059360 \r \h </w:instrText>
      </w:r>
      <w:r>
        <w:rPr>
          <w:lang w:val="en-GB"/>
        </w:rPr>
      </w:r>
      <w:r>
        <w:rPr>
          <w:lang w:val="en-GB"/>
        </w:rPr>
        <w:fldChar w:fldCharType="separate"/>
      </w:r>
      <w:r w:rsidR="00042852">
        <w:rPr>
          <w:lang w:val="en-GB"/>
        </w:rPr>
        <w:t>3</w:t>
      </w:r>
      <w:r>
        <w:rPr>
          <w:lang w:val="en-GB"/>
        </w:rPr>
        <w:fldChar w:fldCharType="end"/>
      </w:r>
      <w:r>
        <w:rPr>
          <w:lang w:val="en-GB"/>
        </w:rPr>
        <w:t xml:space="preserve">). </w:t>
      </w:r>
      <w:r w:rsidR="00B63067">
        <w:rPr>
          <w:lang w:val="en-GB"/>
        </w:rPr>
        <w:t xml:space="preserve">This </w:t>
      </w:r>
      <w:r w:rsidR="00F10DB5">
        <w:rPr>
          <w:lang w:val="en-GB"/>
        </w:rPr>
        <w:t xml:space="preserve">section </w:t>
      </w:r>
      <w:r w:rsidR="007003EA">
        <w:rPr>
          <w:lang w:val="en-GB"/>
        </w:rPr>
        <w:t xml:space="preserve">summarizes </w:t>
      </w:r>
      <w:r w:rsidR="006569BB">
        <w:rPr>
          <w:lang w:val="en-GB"/>
        </w:rPr>
        <w:t xml:space="preserve">the </w:t>
      </w:r>
      <w:r w:rsidR="006569BB" w:rsidRPr="00CC6B17">
        <w:rPr>
          <w:b/>
          <w:bCs/>
          <w:lang w:val="en-GB"/>
        </w:rPr>
        <w:t>main risks</w:t>
      </w:r>
      <w:r w:rsidR="006569BB">
        <w:rPr>
          <w:lang w:val="en-GB"/>
        </w:rPr>
        <w:t xml:space="preserve"> potentially impacting </w:t>
      </w:r>
      <w:r w:rsidR="007003EA">
        <w:rPr>
          <w:lang w:val="en-GB"/>
        </w:rPr>
        <w:t>each decarbonisation scenario</w:t>
      </w:r>
      <w:r w:rsidR="00AD35E2">
        <w:rPr>
          <w:lang w:val="en-GB"/>
        </w:rPr>
        <w:t>.</w:t>
      </w:r>
    </w:p>
    <w:p w14:paraId="6B27244D" w14:textId="17BEF155" w:rsidR="00835255" w:rsidRDefault="00835255" w:rsidP="00072B69">
      <w:pPr>
        <w:rPr>
          <w:lang w:val="en-GB"/>
        </w:rPr>
      </w:pPr>
    </w:p>
    <w:p w14:paraId="69C8EAB9" w14:textId="02C12F5C" w:rsidR="00A974F1" w:rsidRDefault="006569BB" w:rsidP="00A974F1">
      <w:pPr>
        <w:rPr>
          <w:lang w:val="en-GB"/>
        </w:rPr>
      </w:pPr>
      <w:r>
        <w:rPr>
          <w:lang w:val="en-GB"/>
        </w:rPr>
        <w:t>Main risks are defined as those w</w:t>
      </w:r>
      <w:r w:rsidR="00B1120B">
        <w:rPr>
          <w:lang w:val="en-GB"/>
        </w:rPr>
        <w:t>hich</w:t>
      </w:r>
      <w:r>
        <w:rPr>
          <w:lang w:val="en-GB"/>
        </w:rPr>
        <w:t xml:space="preserve"> are rated as having a ‘high’ severity or </w:t>
      </w:r>
      <w:r w:rsidR="00E86581">
        <w:rPr>
          <w:lang w:val="en-GB"/>
        </w:rPr>
        <w:t>a ‘high’ like</w:t>
      </w:r>
      <w:r w:rsidR="00740CD8">
        <w:rPr>
          <w:lang w:val="en-GB"/>
        </w:rPr>
        <w:t xml:space="preserve">lihood coupled with </w:t>
      </w:r>
      <w:r w:rsidR="00B1120B">
        <w:rPr>
          <w:lang w:val="en-GB"/>
        </w:rPr>
        <w:t>a ‘medium’ severity rating</w:t>
      </w:r>
      <w:r>
        <w:rPr>
          <w:lang w:val="en-GB"/>
        </w:rPr>
        <w:t xml:space="preserve">. </w:t>
      </w:r>
      <w:r w:rsidR="00A974F1" w:rsidRPr="00C00E32">
        <w:rPr>
          <w:b/>
          <w:lang w:val="en-GB"/>
        </w:rPr>
        <w:t xml:space="preserve">The results indicate that the main risks for the decarbonisation scenarios are related </w:t>
      </w:r>
      <w:r w:rsidR="00A2211E" w:rsidRPr="00C00E32">
        <w:rPr>
          <w:b/>
          <w:lang w:val="en-GB"/>
        </w:rPr>
        <w:t xml:space="preserve">to </w:t>
      </w:r>
      <w:r w:rsidR="00A974F1" w:rsidRPr="00C00E32">
        <w:rPr>
          <w:b/>
          <w:lang w:val="en-GB"/>
        </w:rPr>
        <w:t xml:space="preserve">various economic, </w:t>
      </w:r>
      <w:r w:rsidR="007741EB" w:rsidRPr="00C00E32">
        <w:rPr>
          <w:b/>
          <w:lang w:val="en-GB"/>
        </w:rPr>
        <w:t>regulatory</w:t>
      </w:r>
      <w:r w:rsidR="006A2AE1" w:rsidRPr="00C00E32">
        <w:rPr>
          <w:b/>
          <w:bCs/>
          <w:lang w:val="en-GB"/>
        </w:rPr>
        <w:t xml:space="preserve"> and</w:t>
      </w:r>
      <w:r w:rsidR="007741EB" w:rsidRPr="00C00E32">
        <w:rPr>
          <w:b/>
          <w:bCs/>
          <w:lang w:val="en-GB"/>
        </w:rPr>
        <w:t xml:space="preserve"> </w:t>
      </w:r>
      <w:r w:rsidR="00A974F1" w:rsidRPr="00C00E32">
        <w:rPr>
          <w:b/>
          <w:lang w:val="en-GB"/>
        </w:rPr>
        <w:t>technical factors which may hinder the deployment of decarbonisation assets.</w:t>
      </w:r>
      <w:r w:rsidR="00F610BF" w:rsidRPr="00163523">
        <w:rPr>
          <w:lang w:val="en-GB"/>
        </w:rPr>
        <w:t xml:space="preserve"> </w:t>
      </w:r>
      <w:r w:rsidR="00DD718B" w:rsidRPr="00DD718B">
        <w:rPr>
          <w:lang w:val="en-GB"/>
        </w:rPr>
        <w:t>According to the risk assessment, the main risks potentially impacting the scenarios for the decarbonisation of the Baltic Regional Gas Market are</w:t>
      </w:r>
      <w:r w:rsidR="00DD718B">
        <w:rPr>
          <w:lang w:val="en-GB"/>
        </w:rPr>
        <w:t>:</w:t>
      </w:r>
    </w:p>
    <w:p w14:paraId="4ADDB925" w14:textId="044E150D" w:rsidR="00654323" w:rsidRPr="00651B96" w:rsidRDefault="00654323" w:rsidP="00654323">
      <w:pPr>
        <w:pStyle w:val="ChecklistBulletpoint"/>
        <w:tabs>
          <w:tab w:val="left" w:pos="2552"/>
        </w:tabs>
        <w:rPr>
          <w:b/>
          <w:lang w:val="en-GB"/>
        </w:rPr>
      </w:pPr>
      <w:r w:rsidRPr="00CC3CA2">
        <w:rPr>
          <w:b/>
          <w:bCs/>
          <w:lang w:val="en-GB"/>
        </w:rPr>
        <w:t>Risk 1</w:t>
      </w:r>
      <w:r w:rsidR="00CA23FE" w:rsidRPr="00651B96">
        <w:rPr>
          <w:b/>
          <w:bCs/>
          <w:lang w:val="en-GB"/>
        </w:rPr>
        <w:t xml:space="preserve"> –</w:t>
      </w:r>
      <w:r w:rsidRPr="00651B96">
        <w:rPr>
          <w:b/>
          <w:lang w:val="en-GB"/>
        </w:rPr>
        <w:t xml:space="preserve"> Economic turndown and instability can limit </w:t>
      </w:r>
      <w:r w:rsidR="00BB2DB9">
        <w:rPr>
          <w:b/>
          <w:lang w:val="en-GB"/>
        </w:rPr>
        <w:t xml:space="preserve">the </w:t>
      </w:r>
      <w:r w:rsidRPr="00651B96">
        <w:rPr>
          <w:b/>
          <w:lang w:val="en-GB"/>
        </w:rPr>
        <w:t xml:space="preserve">ability of </w:t>
      </w:r>
      <w:r w:rsidR="00C74127">
        <w:rPr>
          <w:b/>
          <w:lang w:val="en-GB"/>
        </w:rPr>
        <w:t xml:space="preserve">local </w:t>
      </w:r>
      <w:r w:rsidRPr="00651B96">
        <w:rPr>
          <w:b/>
          <w:lang w:val="en-GB"/>
        </w:rPr>
        <w:t>gas producers, users, network operators and authorities to invest in gas decarbonisation measures</w:t>
      </w:r>
    </w:p>
    <w:p w14:paraId="1ED3456C" w14:textId="6E7B60D6" w:rsidR="00BB72CC" w:rsidRDefault="00651B96" w:rsidP="006A2AE1">
      <w:pPr>
        <w:pStyle w:val="ChecklistBulletpoint"/>
        <w:numPr>
          <w:ilvl w:val="0"/>
          <w:numId w:val="0"/>
        </w:numPr>
        <w:tabs>
          <w:tab w:val="left" w:pos="2552"/>
        </w:tabs>
        <w:ind w:left="1247"/>
        <w:rPr>
          <w:lang w:val="en-GB"/>
        </w:rPr>
      </w:pPr>
      <w:r w:rsidRPr="00651B96">
        <w:rPr>
          <w:lang w:val="en-GB"/>
        </w:rPr>
        <w:t>Economic turndown and instability</w:t>
      </w:r>
      <w:r>
        <w:rPr>
          <w:lang w:val="en-GB"/>
        </w:rPr>
        <w:t xml:space="preserve"> </w:t>
      </w:r>
      <w:r w:rsidR="004D0BA8">
        <w:rPr>
          <w:lang w:val="en-GB"/>
        </w:rPr>
        <w:t xml:space="preserve">can </w:t>
      </w:r>
      <w:r>
        <w:rPr>
          <w:lang w:val="en-GB"/>
        </w:rPr>
        <w:t xml:space="preserve">occur as a consequence of economic, environmental or social shocks, which </w:t>
      </w:r>
      <w:r w:rsidRPr="00651B96">
        <w:rPr>
          <w:lang w:val="en-GB"/>
        </w:rPr>
        <w:t xml:space="preserve">can </w:t>
      </w:r>
      <w:r>
        <w:rPr>
          <w:lang w:val="en-GB"/>
        </w:rPr>
        <w:t xml:space="preserve">be increasingly </w:t>
      </w:r>
      <w:r w:rsidRPr="00651B96">
        <w:rPr>
          <w:lang w:val="en-GB"/>
        </w:rPr>
        <w:t xml:space="preserve">expected </w:t>
      </w:r>
      <w:r>
        <w:rPr>
          <w:lang w:val="en-GB"/>
        </w:rPr>
        <w:t>due to</w:t>
      </w:r>
      <w:r w:rsidRPr="00651B96">
        <w:rPr>
          <w:lang w:val="en-GB"/>
        </w:rPr>
        <w:t xml:space="preserve"> climate change</w:t>
      </w:r>
      <w:r>
        <w:rPr>
          <w:lang w:val="en-GB"/>
        </w:rPr>
        <w:t>. This will in turn decrease the ability and willingness of stakeholders to invest because of higher prices (e.g. due to inflation), lower available financial resources (e.g. due to economic recessions)</w:t>
      </w:r>
      <w:r w:rsidR="00B777EF">
        <w:rPr>
          <w:lang w:val="en-GB"/>
        </w:rPr>
        <w:t xml:space="preserve"> or </w:t>
      </w:r>
      <w:r w:rsidR="00DD718B">
        <w:rPr>
          <w:lang w:val="en-GB"/>
        </w:rPr>
        <w:t>limited</w:t>
      </w:r>
      <w:r w:rsidR="00B777EF">
        <w:rPr>
          <w:lang w:val="en-GB"/>
        </w:rPr>
        <w:t xml:space="preserve"> competitiveness of renewable energy projects. </w:t>
      </w:r>
    </w:p>
    <w:p w14:paraId="595916F9" w14:textId="77777777" w:rsidR="00AC2DD8" w:rsidRDefault="00AC2DD8" w:rsidP="006A2AE1">
      <w:pPr>
        <w:pStyle w:val="ChecklistBulletpoint"/>
        <w:numPr>
          <w:ilvl w:val="0"/>
          <w:numId w:val="0"/>
        </w:numPr>
        <w:tabs>
          <w:tab w:val="left" w:pos="2552"/>
        </w:tabs>
        <w:ind w:left="1247"/>
        <w:rPr>
          <w:lang w:val="en-GB"/>
        </w:rPr>
      </w:pPr>
    </w:p>
    <w:p w14:paraId="2774FACF" w14:textId="70192C8D" w:rsidR="00F610BF" w:rsidRPr="00CA23FE" w:rsidRDefault="00F610BF" w:rsidP="00654323">
      <w:pPr>
        <w:pStyle w:val="ChecklistBulletpoint"/>
        <w:tabs>
          <w:tab w:val="left" w:pos="2552"/>
        </w:tabs>
        <w:rPr>
          <w:b/>
          <w:lang w:val="en-GB"/>
        </w:rPr>
      </w:pPr>
      <w:r>
        <w:rPr>
          <w:b/>
          <w:bCs/>
          <w:lang w:val="en-GB"/>
        </w:rPr>
        <w:t>Risk 6</w:t>
      </w:r>
      <w:r w:rsidR="00CA23FE" w:rsidRPr="00CA23FE">
        <w:rPr>
          <w:b/>
          <w:bCs/>
          <w:lang w:val="en-GB"/>
        </w:rPr>
        <w:t xml:space="preserve"> –</w:t>
      </w:r>
      <w:r w:rsidRPr="00CA23FE">
        <w:rPr>
          <w:b/>
          <w:lang w:val="en-GB"/>
        </w:rPr>
        <w:t xml:space="preserve"> Infrastructure cannot be adequately or timely developed, including repurposing or adaptation of natural gas infrastructure</w:t>
      </w:r>
    </w:p>
    <w:p w14:paraId="17E92B76" w14:textId="4349B1B9" w:rsidR="00FE1CD4" w:rsidRPr="00163523" w:rsidRDefault="00FE1CD4" w:rsidP="00FE1CD4">
      <w:pPr>
        <w:pStyle w:val="ChecklistBulletpoint"/>
        <w:numPr>
          <w:ilvl w:val="0"/>
          <w:numId w:val="0"/>
        </w:numPr>
        <w:ind w:left="1247"/>
        <w:rPr>
          <w:lang w:val="en-GB"/>
        </w:rPr>
      </w:pPr>
      <w:r>
        <w:rPr>
          <w:lang w:val="en-GB"/>
        </w:rPr>
        <w:t xml:space="preserve">Implementation of gas decarbonisation measures can be hindered or delayed by long lead times to build new or refurbish/repurpose existing infrastructure. This can result from a </w:t>
      </w:r>
      <w:r w:rsidRPr="00163523">
        <w:rPr>
          <w:lang w:val="en-GB"/>
        </w:rPr>
        <w:t xml:space="preserve">lack of </w:t>
      </w:r>
      <w:r w:rsidR="00A773FB" w:rsidRPr="00163523">
        <w:rPr>
          <w:lang w:val="en-GB"/>
        </w:rPr>
        <w:t xml:space="preserve">adequate </w:t>
      </w:r>
      <w:r w:rsidRPr="00163523">
        <w:rPr>
          <w:lang w:val="en-GB"/>
        </w:rPr>
        <w:t xml:space="preserve">planning at the regional level, or a lack investments into dedicated networks due to high uncertainties. </w:t>
      </w:r>
    </w:p>
    <w:p w14:paraId="0169C14E" w14:textId="77777777" w:rsidR="00FE1CD4" w:rsidRPr="00163523" w:rsidRDefault="00FE1CD4" w:rsidP="00FE1CD4">
      <w:pPr>
        <w:pStyle w:val="ChecklistBulletpoint"/>
        <w:numPr>
          <w:ilvl w:val="0"/>
          <w:numId w:val="0"/>
        </w:numPr>
        <w:ind w:left="1247"/>
        <w:rPr>
          <w:lang w:val="en-GB"/>
        </w:rPr>
      </w:pPr>
    </w:p>
    <w:p w14:paraId="41664845" w14:textId="6C48D471" w:rsidR="00F610BF" w:rsidRPr="00CA23FE" w:rsidRDefault="00F610BF" w:rsidP="00654323">
      <w:pPr>
        <w:pStyle w:val="ChecklistBulletpoint"/>
        <w:tabs>
          <w:tab w:val="left" w:pos="2552"/>
        </w:tabs>
        <w:rPr>
          <w:b/>
          <w:lang w:val="en-GB"/>
        </w:rPr>
      </w:pPr>
      <w:r w:rsidRPr="00F610BF">
        <w:rPr>
          <w:b/>
          <w:bCs/>
          <w:lang w:val="en-GB"/>
        </w:rPr>
        <w:t>Risk 8</w:t>
      </w:r>
      <w:r w:rsidR="00CA23FE" w:rsidRPr="00CA23FE">
        <w:rPr>
          <w:b/>
          <w:bCs/>
          <w:lang w:val="en-GB"/>
        </w:rPr>
        <w:t xml:space="preserve"> -</w:t>
      </w:r>
      <w:r w:rsidRPr="00CA23FE">
        <w:rPr>
          <w:b/>
          <w:lang w:val="en-GB"/>
        </w:rPr>
        <w:t xml:space="preserve"> Security of gas supply can be threatened due to external energy dependence</w:t>
      </w:r>
    </w:p>
    <w:p w14:paraId="01B86E31" w14:textId="11A5E9F8" w:rsidR="00E46960" w:rsidRDefault="00E46960" w:rsidP="006A2AE1">
      <w:pPr>
        <w:pStyle w:val="Lijstalinea"/>
        <w:numPr>
          <w:ilvl w:val="0"/>
          <w:numId w:val="0"/>
        </w:numPr>
        <w:ind w:left="1287"/>
      </w:pPr>
      <w:r>
        <w:t xml:space="preserve">External shocks (e.g. arising from environmental disasters or geopolitical tensions) can lead to gas supply disruptions. Countries that are </w:t>
      </w:r>
      <w:r w:rsidRPr="00E46960">
        <w:t>highly dependent on foreign</w:t>
      </w:r>
      <w:r>
        <w:t xml:space="preserve"> gas</w:t>
      </w:r>
      <w:r w:rsidRPr="00E46960">
        <w:t xml:space="preserve"> supply</w:t>
      </w:r>
      <w:r>
        <w:t xml:space="preserve"> are more likely to face security of supply issues as they have less control on their energy mix. </w:t>
      </w:r>
    </w:p>
    <w:p w14:paraId="7AE3177D" w14:textId="77777777" w:rsidR="00E46960" w:rsidRDefault="00E46960" w:rsidP="006A2AE1">
      <w:pPr>
        <w:pStyle w:val="Lijstalinea"/>
        <w:numPr>
          <w:ilvl w:val="0"/>
          <w:numId w:val="0"/>
        </w:numPr>
        <w:ind w:left="1287"/>
      </w:pPr>
    </w:p>
    <w:p w14:paraId="004CB5D8" w14:textId="611150FE" w:rsidR="00B37268" w:rsidRDefault="00B37268" w:rsidP="00394D46">
      <w:pPr>
        <w:pStyle w:val="ChecklistBulletpoint"/>
        <w:tabs>
          <w:tab w:val="left" w:pos="2552"/>
        </w:tabs>
        <w:rPr>
          <w:b/>
          <w:bCs/>
          <w:lang w:val="en-GB"/>
        </w:rPr>
      </w:pPr>
      <w:r>
        <w:rPr>
          <w:b/>
          <w:bCs/>
          <w:lang w:val="en-GB"/>
        </w:rPr>
        <w:t xml:space="preserve">Risk 9 - </w:t>
      </w:r>
      <w:r w:rsidRPr="00B37268">
        <w:rPr>
          <w:b/>
          <w:bCs/>
          <w:lang w:val="en-GB"/>
        </w:rPr>
        <w:t>Available inputs for production of R/LC gases, e.g. renewable electricity or biomass can be insufficient</w:t>
      </w:r>
    </w:p>
    <w:p w14:paraId="3AEEB5EE" w14:textId="51AB889A" w:rsidR="00782DEF" w:rsidRDefault="00DD7EA1" w:rsidP="00B37268">
      <w:pPr>
        <w:pStyle w:val="ChecklistBulletpoint"/>
        <w:numPr>
          <w:ilvl w:val="0"/>
          <w:numId w:val="0"/>
        </w:numPr>
        <w:tabs>
          <w:tab w:val="left" w:pos="2552"/>
        </w:tabs>
        <w:ind w:left="1247"/>
        <w:rPr>
          <w:lang w:val="en-GB"/>
        </w:rPr>
      </w:pPr>
      <w:r>
        <w:rPr>
          <w:lang w:val="en-GB"/>
        </w:rPr>
        <w:t>D</w:t>
      </w:r>
      <w:r w:rsidR="006F0E74">
        <w:rPr>
          <w:lang w:val="en-GB"/>
        </w:rPr>
        <w:t xml:space="preserve">ecarbonisation of the </w:t>
      </w:r>
      <w:r w:rsidR="00DA6A7B">
        <w:rPr>
          <w:lang w:val="en-GB"/>
        </w:rPr>
        <w:t>gas</w:t>
      </w:r>
      <w:r>
        <w:rPr>
          <w:lang w:val="en-GB"/>
        </w:rPr>
        <w:t xml:space="preserve"> system</w:t>
      </w:r>
      <w:r w:rsidR="006F0E74">
        <w:rPr>
          <w:lang w:val="en-GB"/>
        </w:rPr>
        <w:t xml:space="preserve"> </w:t>
      </w:r>
      <w:r w:rsidR="00175612">
        <w:rPr>
          <w:lang w:val="en-GB"/>
        </w:rPr>
        <w:t>via the replacement of</w:t>
      </w:r>
      <w:r w:rsidR="006F0E74">
        <w:rPr>
          <w:lang w:val="en-GB"/>
        </w:rPr>
        <w:t xml:space="preserve"> natural gas with biomethane can only be achieved if the a</w:t>
      </w:r>
      <w:r w:rsidR="00782DEF">
        <w:rPr>
          <w:lang w:val="en-GB"/>
        </w:rPr>
        <w:t xml:space="preserve">vailability and adequacy of biomass feedstock </w:t>
      </w:r>
      <w:r w:rsidR="006F0E74">
        <w:rPr>
          <w:lang w:val="en-GB"/>
        </w:rPr>
        <w:t xml:space="preserve">is sufficient. Similarly, decarbonisation through hydrogen production is highly dependent </w:t>
      </w:r>
      <w:r w:rsidR="009054A7">
        <w:rPr>
          <w:lang w:val="en-GB"/>
        </w:rPr>
        <w:t xml:space="preserve">on </w:t>
      </w:r>
      <w:r w:rsidR="006F0E74">
        <w:rPr>
          <w:lang w:val="en-GB"/>
        </w:rPr>
        <w:t xml:space="preserve">hydrogen infrastructure development and market demand, as well as the availability of renewable energy. </w:t>
      </w:r>
    </w:p>
    <w:p w14:paraId="51226178" w14:textId="77777777" w:rsidR="00782DEF" w:rsidRDefault="00782DEF" w:rsidP="00B37268">
      <w:pPr>
        <w:pStyle w:val="ChecklistBulletpoint"/>
        <w:numPr>
          <w:ilvl w:val="0"/>
          <w:numId w:val="0"/>
        </w:numPr>
        <w:tabs>
          <w:tab w:val="left" w:pos="2552"/>
        </w:tabs>
        <w:ind w:left="1247"/>
        <w:rPr>
          <w:b/>
          <w:bCs/>
          <w:lang w:val="en-GB"/>
        </w:rPr>
      </w:pPr>
    </w:p>
    <w:p w14:paraId="63E3E0F1" w14:textId="2EE0C75B" w:rsidR="00394D46" w:rsidRDefault="00654323" w:rsidP="00394D46">
      <w:pPr>
        <w:pStyle w:val="ChecklistBulletpoint"/>
        <w:tabs>
          <w:tab w:val="left" w:pos="2552"/>
        </w:tabs>
        <w:rPr>
          <w:b/>
          <w:bCs/>
          <w:lang w:val="en-GB"/>
        </w:rPr>
      </w:pPr>
      <w:r w:rsidRPr="00CA23FE">
        <w:rPr>
          <w:b/>
          <w:bCs/>
          <w:lang w:val="en-GB"/>
        </w:rPr>
        <w:t>Risk 10</w:t>
      </w:r>
      <w:r w:rsidR="00CA23FE" w:rsidRPr="00CA23FE">
        <w:rPr>
          <w:b/>
          <w:bCs/>
          <w:lang w:val="en-GB"/>
        </w:rPr>
        <w:t xml:space="preserve"> -</w:t>
      </w:r>
      <w:r w:rsidRPr="00CA23FE">
        <w:rPr>
          <w:b/>
          <w:bCs/>
          <w:lang w:val="en-GB"/>
        </w:rPr>
        <w:t xml:space="preserve"> Investments in methane infrastructure can lead to lock-in on natural gas or asset stranding</w:t>
      </w:r>
    </w:p>
    <w:p w14:paraId="0592FD8C" w14:textId="35F4EDAF" w:rsidR="006A2AE1" w:rsidRPr="00394D46" w:rsidRDefault="00394D46" w:rsidP="00394D46">
      <w:pPr>
        <w:pStyle w:val="ChecklistBulletpoint"/>
        <w:numPr>
          <w:ilvl w:val="0"/>
          <w:numId w:val="0"/>
        </w:numPr>
        <w:tabs>
          <w:tab w:val="left" w:pos="2552"/>
        </w:tabs>
        <w:ind w:left="1247"/>
        <w:rPr>
          <w:b/>
          <w:bCs/>
          <w:lang w:val="en-GB"/>
        </w:rPr>
      </w:pPr>
      <w:r w:rsidRPr="00163523">
        <w:rPr>
          <w:lang w:val="en-GB"/>
        </w:rPr>
        <w:t>Ongoing and planned investments in natural gas infrastructure may lead to a structural lock-in on natural gas and delay the transition to decarbonization options including electrification of building heating and switching to renewable gas.</w:t>
      </w:r>
    </w:p>
    <w:p w14:paraId="703AA8B8" w14:textId="77777777" w:rsidR="00EB0A2B" w:rsidRDefault="00EB0A2B" w:rsidP="00EB0A2B">
      <w:pPr>
        <w:pStyle w:val="ChecklistBulletpoint"/>
        <w:numPr>
          <w:ilvl w:val="0"/>
          <w:numId w:val="0"/>
        </w:numPr>
        <w:tabs>
          <w:tab w:val="left" w:pos="2552"/>
        </w:tabs>
        <w:ind w:left="1287"/>
        <w:rPr>
          <w:b/>
          <w:bCs/>
          <w:lang w:val="en-GB"/>
        </w:rPr>
      </w:pPr>
    </w:p>
    <w:p w14:paraId="147F090E" w14:textId="32A18AB7" w:rsidR="00EB0A2B" w:rsidRPr="00163523" w:rsidRDefault="00EB0A2B" w:rsidP="000A7364">
      <w:pPr>
        <w:pStyle w:val="ChecklistBulletpoint"/>
        <w:rPr>
          <w:b/>
          <w:lang w:val="en-GB"/>
        </w:rPr>
      </w:pPr>
      <w:r w:rsidRPr="00EB0A2B">
        <w:rPr>
          <w:b/>
          <w:bCs/>
          <w:lang w:val="en-GB"/>
        </w:rPr>
        <w:lastRenderedPageBreak/>
        <w:t xml:space="preserve">Risk 11 - </w:t>
      </w:r>
      <w:r w:rsidRPr="00163523">
        <w:rPr>
          <w:b/>
          <w:lang w:val="en-GB"/>
        </w:rPr>
        <w:t>Policies and regulations can present barriers to implementation of gas decarbonization actions</w:t>
      </w:r>
    </w:p>
    <w:p w14:paraId="10944FB4" w14:textId="1D5F016C" w:rsidR="00EB0A2B" w:rsidRPr="00163523" w:rsidRDefault="005E794F" w:rsidP="00474EDC">
      <w:pPr>
        <w:pStyle w:val="ChecklistBulletpoint"/>
        <w:numPr>
          <w:ilvl w:val="0"/>
          <w:numId w:val="0"/>
        </w:numPr>
        <w:ind w:left="1247"/>
        <w:rPr>
          <w:lang w:val="en-GB"/>
        </w:rPr>
      </w:pPr>
      <w:r w:rsidRPr="00163523">
        <w:rPr>
          <w:lang w:val="en-GB"/>
        </w:rPr>
        <w:t>Although p</w:t>
      </w:r>
      <w:r w:rsidR="000A7364" w:rsidRPr="00163523">
        <w:rPr>
          <w:lang w:val="en-GB"/>
        </w:rPr>
        <w:t xml:space="preserve">olicies and regulations </w:t>
      </w:r>
      <w:r w:rsidRPr="00163523">
        <w:rPr>
          <w:lang w:val="en-GB"/>
        </w:rPr>
        <w:t xml:space="preserve">allow to enhance the decarbonization of the gas sector, they </w:t>
      </w:r>
      <w:r w:rsidR="000A7364" w:rsidRPr="00163523">
        <w:rPr>
          <w:lang w:val="en-GB"/>
        </w:rPr>
        <w:t>can potentially</w:t>
      </w:r>
      <w:r w:rsidRPr="00163523">
        <w:rPr>
          <w:lang w:val="en-GB"/>
        </w:rPr>
        <w:t xml:space="preserve"> also</w:t>
      </w:r>
      <w:r w:rsidR="000A7364" w:rsidRPr="00163523">
        <w:rPr>
          <w:lang w:val="en-GB"/>
        </w:rPr>
        <w:t xml:space="preserve"> have negative impacts. This is mainly linked to the fact that policy and regulatory uncertainties can defer investment decisions. </w:t>
      </w:r>
    </w:p>
    <w:p w14:paraId="0C491EFB" w14:textId="77777777" w:rsidR="00474EDC" w:rsidRPr="00163523" w:rsidRDefault="00474EDC" w:rsidP="00474EDC">
      <w:pPr>
        <w:pStyle w:val="ChecklistBulletpoint"/>
        <w:numPr>
          <w:ilvl w:val="0"/>
          <w:numId w:val="0"/>
        </w:numPr>
        <w:ind w:left="1247"/>
        <w:rPr>
          <w:lang w:val="en-GB"/>
        </w:rPr>
      </w:pPr>
    </w:p>
    <w:p w14:paraId="7E10552D" w14:textId="77777777" w:rsidR="00394D46" w:rsidRDefault="00654323" w:rsidP="00394D46">
      <w:pPr>
        <w:pStyle w:val="ChecklistBulletpoint"/>
        <w:tabs>
          <w:tab w:val="left" w:pos="2552"/>
        </w:tabs>
        <w:rPr>
          <w:b/>
          <w:bCs/>
          <w:lang w:val="en-GB"/>
        </w:rPr>
      </w:pPr>
      <w:r w:rsidRPr="00AC2DD8">
        <w:rPr>
          <w:b/>
          <w:bCs/>
          <w:lang w:val="en-GB"/>
        </w:rPr>
        <w:t>Risk 14</w:t>
      </w:r>
      <w:r w:rsidR="00CA23FE" w:rsidRPr="00AC2DD8">
        <w:rPr>
          <w:b/>
          <w:bCs/>
          <w:lang w:val="en-GB"/>
        </w:rPr>
        <w:t xml:space="preserve"> -</w:t>
      </w:r>
      <w:r w:rsidRPr="00AC2DD8">
        <w:rPr>
          <w:b/>
          <w:bCs/>
          <w:lang w:val="en-GB"/>
        </w:rPr>
        <w:t xml:space="preserve"> Key gas decarbonisation technologies may not reach sufficient cost or performance improvements</w:t>
      </w:r>
    </w:p>
    <w:p w14:paraId="24543497" w14:textId="096836F0" w:rsidR="00A974F1" w:rsidRPr="00394D46" w:rsidRDefault="00394D46" w:rsidP="00394D46">
      <w:pPr>
        <w:pStyle w:val="ChecklistBulletpoint"/>
        <w:numPr>
          <w:ilvl w:val="0"/>
          <w:numId w:val="0"/>
        </w:numPr>
        <w:tabs>
          <w:tab w:val="left" w:pos="2552"/>
        </w:tabs>
        <w:ind w:left="1247"/>
        <w:rPr>
          <w:lang w:val="en-GB"/>
        </w:rPr>
      </w:pPr>
      <w:r w:rsidRPr="00394D46">
        <w:rPr>
          <w:lang w:val="en-GB"/>
        </w:rPr>
        <w:t>The capacity to reach full decarbonization of the gas sector and the pace at which it is reached will highly depend on the competitiveness of key gas decarbonization technologies compared to fossil fuel-based technologies, and on whether their cost and performance can be improved.</w:t>
      </w:r>
    </w:p>
    <w:p w14:paraId="1349B2C4" w14:textId="77777777" w:rsidR="00394D46" w:rsidRPr="00654323" w:rsidRDefault="00394D46" w:rsidP="006569BB">
      <w:pPr>
        <w:rPr>
          <w:b/>
          <w:bCs/>
          <w:lang w:val="en-GB"/>
        </w:rPr>
      </w:pPr>
    </w:p>
    <w:p w14:paraId="47C12657" w14:textId="15FA1353" w:rsidR="00BB72CC" w:rsidRDefault="00AD3A6A" w:rsidP="00BB72CC">
      <w:pPr>
        <w:rPr>
          <w:lang w:val="en-GB"/>
        </w:rPr>
      </w:pPr>
      <w:r>
        <w:rPr>
          <w:lang w:val="en-GB"/>
        </w:rPr>
        <w:t xml:space="preserve">Each scenario can </w:t>
      </w:r>
      <w:r w:rsidR="00331948">
        <w:rPr>
          <w:lang w:val="en-GB"/>
        </w:rPr>
        <w:t xml:space="preserve">either </w:t>
      </w:r>
      <w:r w:rsidR="0046254E">
        <w:rPr>
          <w:lang w:val="en-GB"/>
        </w:rPr>
        <w:t xml:space="preserve">be affected </w:t>
      </w:r>
      <w:r w:rsidR="00331948">
        <w:rPr>
          <w:lang w:val="en-GB"/>
        </w:rPr>
        <w:t>in a high (</w:t>
      </w:r>
      <w:r w:rsidR="00331948" w:rsidRPr="00163523">
        <w:rPr>
          <w:rFonts w:ascii="Wingdings" w:eastAsia="Wingdings" w:hAnsi="Wingdings" w:cs="Wingdings"/>
          <w:b/>
          <w:color w:val="000000"/>
          <w:sz w:val="16"/>
          <w:szCs w:val="16"/>
          <w:lang w:val="en-GB" w:eastAsia="en-GB"/>
        </w:rPr>
        <w:sym w:font="Wingdings" w:char="F0FC"/>
      </w:r>
      <w:r w:rsidR="00331948" w:rsidRPr="00163523">
        <w:rPr>
          <w:rFonts w:ascii="Wingdings" w:eastAsia="Wingdings" w:hAnsi="Wingdings" w:cs="Wingdings"/>
          <w:b/>
          <w:color w:val="000000"/>
          <w:sz w:val="16"/>
          <w:szCs w:val="16"/>
          <w:lang w:val="en-GB" w:eastAsia="en-GB"/>
        </w:rPr>
        <w:sym w:font="Wingdings" w:char="F0FC"/>
      </w:r>
      <w:r w:rsidR="00331948">
        <w:rPr>
          <w:lang w:val="en-GB"/>
        </w:rPr>
        <w:t>) or low (</w:t>
      </w:r>
      <w:r w:rsidR="00331948" w:rsidRPr="00163523">
        <w:rPr>
          <w:rFonts w:ascii="Wingdings" w:eastAsia="Wingdings" w:hAnsi="Wingdings" w:cs="Wingdings"/>
          <w:b/>
          <w:color w:val="000000"/>
          <w:sz w:val="16"/>
          <w:szCs w:val="16"/>
          <w:lang w:val="en-GB" w:eastAsia="en-GB"/>
        </w:rPr>
        <w:sym w:font="Wingdings" w:char="F0FC"/>
      </w:r>
      <w:r w:rsidR="00331948">
        <w:rPr>
          <w:lang w:val="en-GB"/>
        </w:rPr>
        <w:t>) way, or not affected at all</w:t>
      </w:r>
      <w:r w:rsidR="00BB72CC">
        <w:rPr>
          <w:lang w:val="en-GB"/>
        </w:rPr>
        <w:t>. The impact</w:t>
      </w:r>
      <w:r w:rsidR="00954A2E">
        <w:rPr>
          <w:lang w:val="en-GB"/>
        </w:rPr>
        <w:t>s</w:t>
      </w:r>
      <w:r w:rsidR="00BB72CC">
        <w:rPr>
          <w:lang w:val="en-GB"/>
        </w:rPr>
        <w:t xml:space="preserve"> of the different risks on the </w:t>
      </w:r>
      <w:r w:rsidR="00967F55">
        <w:rPr>
          <w:lang w:val="en-GB"/>
        </w:rPr>
        <w:t xml:space="preserve">gas </w:t>
      </w:r>
      <w:r w:rsidR="00BB72CC">
        <w:rPr>
          <w:lang w:val="en-GB"/>
        </w:rPr>
        <w:t xml:space="preserve">decarbonisation </w:t>
      </w:r>
      <w:r w:rsidR="00967F55">
        <w:rPr>
          <w:lang w:val="en-GB"/>
        </w:rPr>
        <w:t xml:space="preserve">scenarios </w:t>
      </w:r>
      <w:r w:rsidR="00BB72CC">
        <w:rPr>
          <w:lang w:val="en-GB"/>
        </w:rPr>
        <w:t>are as follows:</w:t>
      </w:r>
    </w:p>
    <w:p w14:paraId="40826DBF" w14:textId="62391F05" w:rsidR="00BB72CC" w:rsidRDefault="002203B7" w:rsidP="00BB72CC">
      <w:pPr>
        <w:pStyle w:val="Bulletpoint"/>
      </w:pPr>
      <w:r w:rsidRPr="002203B7">
        <w:t xml:space="preserve">The </w:t>
      </w:r>
      <w:r w:rsidRPr="00BB72CC">
        <w:rPr>
          <w:b/>
          <w:bCs/>
        </w:rPr>
        <w:t>REN-Methane scenario</w:t>
      </w:r>
      <w:r w:rsidRPr="002203B7">
        <w:t xml:space="preserve"> is </w:t>
      </w:r>
      <w:r w:rsidR="006A2AE1">
        <w:t>highly</w:t>
      </w:r>
      <w:r w:rsidRPr="002203B7">
        <w:t xml:space="preserve"> affected by </w:t>
      </w:r>
      <w:r w:rsidR="004E367F">
        <w:t>five</w:t>
      </w:r>
      <w:r w:rsidRPr="002203B7">
        <w:t xml:space="preserve"> risks, </w:t>
      </w:r>
      <w:r w:rsidRPr="00F45EF7">
        <w:t>t</w:t>
      </w:r>
      <w:r w:rsidR="00562A32" w:rsidRPr="00F45EF7">
        <w:t>wo</w:t>
      </w:r>
      <w:r w:rsidRPr="002203B7">
        <w:t xml:space="preserve"> of which are main risks (10 and 14)</w:t>
      </w:r>
      <w:r w:rsidR="00155A86">
        <w:t xml:space="preserve">. </w:t>
      </w:r>
    </w:p>
    <w:p w14:paraId="5F0933AB" w14:textId="33836D5A" w:rsidR="00BB72CC" w:rsidRDefault="002203B7" w:rsidP="00BB72CC">
      <w:pPr>
        <w:pStyle w:val="Bulletpoint"/>
      </w:pPr>
      <w:r w:rsidRPr="00BB72CC">
        <w:t xml:space="preserve">The </w:t>
      </w:r>
      <w:r w:rsidRPr="00BB72CC">
        <w:rPr>
          <w:b/>
          <w:bCs/>
        </w:rPr>
        <w:t>REN-Hydrogen scenario</w:t>
      </w:r>
      <w:r w:rsidRPr="00BB72CC">
        <w:t xml:space="preserve"> is </w:t>
      </w:r>
      <w:r w:rsidR="006A2AE1" w:rsidRPr="00BB72CC">
        <w:t xml:space="preserve">highly </w:t>
      </w:r>
      <w:r w:rsidRPr="00BB72CC">
        <w:t xml:space="preserve">affected by </w:t>
      </w:r>
      <w:r w:rsidR="004E367F">
        <w:t>ten</w:t>
      </w:r>
      <w:r w:rsidRPr="00BB72CC">
        <w:t xml:space="preserve"> risks, </w:t>
      </w:r>
      <w:r w:rsidR="00182813" w:rsidRPr="00F45EF7">
        <w:t>four</w:t>
      </w:r>
      <w:r w:rsidRPr="00BB72CC">
        <w:t xml:space="preserve"> of which are identified as main risks</w:t>
      </w:r>
      <w:r w:rsidR="007B67D8" w:rsidRPr="00BB72CC">
        <w:t xml:space="preserve"> (6, </w:t>
      </w:r>
      <w:r w:rsidR="004E367F">
        <w:t xml:space="preserve">9, </w:t>
      </w:r>
      <w:r w:rsidR="00182813">
        <w:t>10,</w:t>
      </w:r>
      <w:r w:rsidR="007B67D8" w:rsidRPr="00BB72CC">
        <w:t xml:space="preserve"> 11 and 14). </w:t>
      </w:r>
    </w:p>
    <w:p w14:paraId="7791E81F" w14:textId="2182873B" w:rsidR="00E46DF0" w:rsidRDefault="002203B7" w:rsidP="00BB72CC">
      <w:pPr>
        <w:pStyle w:val="Bulletpoint"/>
      </w:pPr>
      <w:r w:rsidRPr="00BB72CC">
        <w:t xml:space="preserve">The </w:t>
      </w:r>
      <w:r w:rsidRPr="00BB72CC">
        <w:rPr>
          <w:b/>
        </w:rPr>
        <w:t>Cost Minimal scenario</w:t>
      </w:r>
      <w:r w:rsidRPr="00BB72CC">
        <w:t xml:space="preserve"> is </w:t>
      </w:r>
      <w:r w:rsidR="006A2AE1" w:rsidRPr="00BB72CC">
        <w:t>highly</w:t>
      </w:r>
      <w:r w:rsidRPr="00BB72CC">
        <w:t xml:space="preserve"> affected by </w:t>
      </w:r>
      <w:r w:rsidR="004E367F">
        <w:t>five</w:t>
      </w:r>
      <w:r w:rsidRPr="00BB72CC">
        <w:t xml:space="preserve"> risks, </w:t>
      </w:r>
      <w:r w:rsidR="00562A32" w:rsidRPr="00F45EF7">
        <w:t>two</w:t>
      </w:r>
      <w:r w:rsidR="00562A32" w:rsidRPr="00BB72CC">
        <w:t xml:space="preserve"> </w:t>
      </w:r>
      <w:r w:rsidRPr="002203B7">
        <w:t>of which are main risks (1 and 14)</w:t>
      </w:r>
      <w:r w:rsidR="00D80FDE">
        <w:t>.</w:t>
      </w:r>
    </w:p>
    <w:p w14:paraId="17000840" w14:textId="77777777" w:rsidR="00D80FDE" w:rsidRDefault="00D80FDE" w:rsidP="00DA5F46">
      <w:pPr>
        <w:rPr>
          <w:lang w:val="en-GB"/>
        </w:rPr>
      </w:pPr>
    </w:p>
    <w:p w14:paraId="1810D398" w14:textId="25FED7C1" w:rsidR="00F57572" w:rsidRDefault="00BB72CC" w:rsidP="003413F9">
      <w:pPr>
        <w:rPr>
          <w:lang w:val="en-GB"/>
        </w:rPr>
      </w:pPr>
      <w:r>
        <w:rPr>
          <w:lang w:val="en-GB"/>
        </w:rPr>
        <w:t xml:space="preserve">The REN-Hydrogen scenario is clearly the </w:t>
      </w:r>
      <w:r w:rsidR="00302B4B" w:rsidRPr="00163523">
        <w:rPr>
          <w:lang w:val="en-GB"/>
        </w:rPr>
        <w:t>riskiest</w:t>
      </w:r>
      <w:r>
        <w:rPr>
          <w:lang w:val="en-GB"/>
        </w:rPr>
        <w:t xml:space="preserve"> scenario as it is affected by more risks</w:t>
      </w:r>
      <w:r w:rsidR="004A4EAE">
        <w:rPr>
          <w:lang w:val="en-GB"/>
        </w:rPr>
        <w:t xml:space="preserve"> than the REN-Methane and Cost Minimal scenario</w:t>
      </w:r>
      <w:r w:rsidR="00F847F8">
        <w:rPr>
          <w:lang w:val="en-GB"/>
        </w:rPr>
        <w:t>s</w:t>
      </w:r>
      <w:r w:rsidR="004A4EAE">
        <w:rPr>
          <w:lang w:val="en-GB"/>
        </w:rPr>
        <w:t xml:space="preserve">. </w:t>
      </w:r>
      <w:r w:rsidR="001D6549">
        <w:rPr>
          <w:lang w:val="en-GB"/>
        </w:rPr>
        <w:t xml:space="preserve">The required investments </w:t>
      </w:r>
      <w:r w:rsidR="0005256E">
        <w:rPr>
          <w:lang w:val="en-GB"/>
        </w:rPr>
        <w:t>for</w:t>
      </w:r>
      <w:r w:rsidR="001D6549">
        <w:rPr>
          <w:lang w:val="en-GB"/>
        </w:rPr>
        <w:t xml:space="preserve"> building new</w:t>
      </w:r>
      <w:r w:rsidR="0005256E">
        <w:rPr>
          <w:lang w:val="en-GB"/>
        </w:rPr>
        <w:t xml:space="preserve"> </w:t>
      </w:r>
      <w:r w:rsidR="001D6549">
        <w:rPr>
          <w:lang w:val="en-GB"/>
        </w:rPr>
        <w:t>hydrogen infrastructure or repurposing/retrofitting existing</w:t>
      </w:r>
      <w:r w:rsidR="0005256E">
        <w:rPr>
          <w:lang w:val="en-GB"/>
        </w:rPr>
        <w:t xml:space="preserve"> natural gas infrastructure</w:t>
      </w:r>
      <w:r w:rsidR="001D6549">
        <w:rPr>
          <w:lang w:val="en-GB"/>
        </w:rPr>
        <w:t xml:space="preserve"> are significant </w:t>
      </w:r>
      <w:r w:rsidR="0005256E">
        <w:rPr>
          <w:lang w:val="en-GB"/>
        </w:rPr>
        <w:t>(</w:t>
      </w:r>
      <w:r w:rsidR="0005256E" w:rsidRPr="0005256E">
        <w:rPr>
          <w:b/>
          <w:bCs/>
          <w:lang w:val="en-GB"/>
        </w:rPr>
        <w:t>Risk 6</w:t>
      </w:r>
      <w:r w:rsidR="0005256E">
        <w:rPr>
          <w:lang w:val="en-GB"/>
        </w:rPr>
        <w:t xml:space="preserve">). In addition, the scenario still requires large capital investments into LNG terminals as is will be significantly reliant on LNG gas imports until 2040. This can lead to a </w:t>
      </w:r>
      <w:r w:rsidR="0005256E" w:rsidRPr="0005256E">
        <w:rPr>
          <w:lang w:val="en-GB"/>
        </w:rPr>
        <w:t>lock-in on natural gas or asset stranding</w:t>
      </w:r>
      <w:r w:rsidR="0005256E">
        <w:rPr>
          <w:lang w:val="en-GB"/>
        </w:rPr>
        <w:t xml:space="preserve"> (</w:t>
      </w:r>
      <w:r w:rsidR="0005256E" w:rsidRPr="0005256E">
        <w:rPr>
          <w:b/>
          <w:bCs/>
          <w:lang w:val="en-GB"/>
        </w:rPr>
        <w:t>Risk 10</w:t>
      </w:r>
      <w:r w:rsidR="0005256E">
        <w:rPr>
          <w:lang w:val="en-GB"/>
        </w:rPr>
        <w:t>). Adopting a</w:t>
      </w:r>
      <w:r w:rsidR="00F847F8">
        <w:rPr>
          <w:lang w:val="en-GB"/>
        </w:rPr>
        <w:t xml:space="preserve">n appropriate </w:t>
      </w:r>
      <w:r w:rsidR="0005256E">
        <w:rPr>
          <w:lang w:val="en-GB"/>
        </w:rPr>
        <w:t>regulatory framework for hydrogen at EU and national levels is key for the achievement of the REN-Hydrogen scenario, but</w:t>
      </w:r>
      <w:r w:rsidR="00270CE3">
        <w:rPr>
          <w:lang w:val="en-GB"/>
        </w:rPr>
        <w:t xml:space="preserve"> this</w:t>
      </w:r>
      <w:r w:rsidR="0005256E">
        <w:rPr>
          <w:lang w:val="en-GB"/>
        </w:rPr>
        <w:t xml:space="preserve"> may take some time. The uncertainty about policies and regulation may delay investments </w:t>
      </w:r>
      <w:r w:rsidR="00270CE3">
        <w:rPr>
          <w:lang w:val="en-GB"/>
        </w:rPr>
        <w:t>in</w:t>
      </w:r>
      <w:r w:rsidR="0005256E">
        <w:rPr>
          <w:lang w:val="en-GB"/>
        </w:rPr>
        <w:t xml:space="preserve"> hydrogen development projects (</w:t>
      </w:r>
      <w:r w:rsidR="0005256E" w:rsidRPr="0005256E">
        <w:rPr>
          <w:b/>
          <w:bCs/>
          <w:lang w:val="en-GB"/>
        </w:rPr>
        <w:t>Risk 11</w:t>
      </w:r>
      <w:r w:rsidR="0005256E">
        <w:rPr>
          <w:lang w:val="en-GB"/>
        </w:rPr>
        <w:t>). Finally,</w:t>
      </w:r>
      <w:r w:rsidR="001D6549">
        <w:rPr>
          <w:lang w:val="en-GB"/>
        </w:rPr>
        <w:t xml:space="preserve"> there is no certainty about the maturity of </w:t>
      </w:r>
      <w:r w:rsidR="0005256E">
        <w:rPr>
          <w:lang w:val="en-GB"/>
        </w:rPr>
        <w:t>hydrogen</w:t>
      </w:r>
      <w:r w:rsidR="001D6549">
        <w:rPr>
          <w:lang w:val="en-GB"/>
        </w:rPr>
        <w:t xml:space="preserve"> technologies </w:t>
      </w:r>
      <w:r w:rsidR="0005256E">
        <w:rPr>
          <w:lang w:val="en-GB"/>
        </w:rPr>
        <w:t xml:space="preserve">and whether their cost and performance will be competitive </w:t>
      </w:r>
      <w:r w:rsidR="001D6549">
        <w:rPr>
          <w:lang w:val="en-GB"/>
        </w:rPr>
        <w:t>(</w:t>
      </w:r>
      <w:r w:rsidR="001D6549" w:rsidRPr="0005256E">
        <w:rPr>
          <w:b/>
          <w:bCs/>
          <w:lang w:val="en-GB"/>
        </w:rPr>
        <w:t xml:space="preserve">Risk </w:t>
      </w:r>
      <w:r w:rsidR="001D6549" w:rsidRPr="0005256E">
        <w:rPr>
          <w:b/>
          <w:lang w:val="en-GB"/>
        </w:rPr>
        <w:t>14</w:t>
      </w:r>
      <w:r w:rsidR="001D6549">
        <w:rPr>
          <w:lang w:val="en-GB"/>
        </w:rPr>
        <w:t xml:space="preserve">).  </w:t>
      </w:r>
    </w:p>
    <w:p w14:paraId="5D71A381" w14:textId="77777777" w:rsidR="00D32947" w:rsidRDefault="00D32947" w:rsidP="003413F9">
      <w:pPr>
        <w:rPr>
          <w:lang w:val="en-GB"/>
        </w:rPr>
      </w:pPr>
    </w:p>
    <w:p w14:paraId="5301A92C" w14:textId="7EB0035B" w:rsidR="00D32947" w:rsidRDefault="00D32947" w:rsidP="003413F9">
      <w:pPr>
        <w:rPr>
          <w:lang w:val="en-GB"/>
        </w:rPr>
        <w:sectPr w:rsidR="00D32947" w:rsidSect="002022F4">
          <w:footerReference w:type="default" r:id="rId25"/>
          <w:type w:val="evenPage"/>
          <w:pgSz w:w="11906" w:h="16838" w:code="9"/>
          <w:pgMar w:top="1440" w:right="1440" w:bottom="1440" w:left="1440" w:header="709" w:footer="709" w:gutter="0"/>
          <w:cols w:space="708"/>
          <w:docGrid w:linePitch="360"/>
        </w:sectPr>
      </w:pPr>
    </w:p>
    <w:p w14:paraId="073632C3" w14:textId="011C35F2" w:rsidR="00F02107" w:rsidRPr="00E4659D" w:rsidRDefault="00AE63C4" w:rsidP="00AE63C4">
      <w:pPr>
        <w:pStyle w:val="Bijschrift"/>
        <w:rPr>
          <w:lang w:val="en-GB"/>
        </w:rPr>
      </w:pPr>
      <w:bookmarkStart w:id="95" w:name="_Ref138058459"/>
      <w:r w:rsidRPr="00AE63C4">
        <w:rPr>
          <w:lang w:val="en-GB"/>
        </w:rPr>
        <w:lastRenderedPageBreak/>
        <w:t xml:space="preserve">Table </w:t>
      </w:r>
      <w:r>
        <w:rPr>
          <w:lang w:val="en-GB"/>
        </w:rPr>
        <w:fldChar w:fldCharType="begin"/>
      </w:r>
      <w:r>
        <w:rPr>
          <w:lang w:val="en-GB"/>
        </w:rPr>
        <w:instrText xml:space="preserve"> STYLEREF 1 \s </w:instrText>
      </w:r>
      <w:r>
        <w:rPr>
          <w:lang w:val="en-GB"/>
        </w:rPr>
        <w:fldChar w:fldCharType="separate"/>
      </w:r>
      <w:r>
        <w:rPr>
          <w:noProof/>
          <w:lang w:val="en-GB"/>
        </w:rPr>
        <w:t>4</w:t>
      </w:r>
      <w:r>
        <w:rPr>
          <w:lang w:val="en-GB"/>
        </w:rPr>
        <w:fldChar w:fldCharType="end"/>
      </w:r>
      <w:r>
        <w:rPr>
          <w:lang w:val="en-GB"/>
        </w:rPr>
        <w:noBreakHyphen/>
      </w:r>
      <w:r>
        <w:rPr>
          <w:lang w:val="en-GB"/>
        </w:rPr>
        <w:fldChar w:fldCharType="begin"/>
      </w:r>
      <w:r>
        <w:rPr>
          <w:lang w:val="en-GB"/>
        </w:rPr>
        <w:instrText xml:space="preserve"> SEQ Table \* ARABIC \s 1 </w:instrText>
      </w:r>
      <w:r>
        <w:rPr>
          <w:lang w:val="en-GB"/>
        </w:rPr>
        <w:fldChar w:fldCharType="separate"/>
      </w:r>
      <w:r>
        <w:rPr>
          <w:noProof/>
          <w:lang w:val="en-GB"/>
        </w:rPr>
        <w:t>1</w:t>
      </w:r>
      <w:r>
        <w:rPr>
          <w:lang w:val="en-GB"/>
        </w:rPr>
        <w:fldChar w:fldCharType="end"/>
      </w:r>
      <w:bookmarkEnd w:id="95"/>
      <w:r w:rsidR="00F02107" w:rsidRPr="00E4659D">
        <w:rPr>
          <w:lang w:val="en-GB"/>
        </w:rPr>
        <w:t xml:space="preserve"> </w:t>
      </w:r>
      <w:r w:rsidR="00F02107" w:rsidRPr="00F02107">
        <w:rPr>
          <w:lang w:val="en-GB"/>
        </w:rPr>
        <w:t>Overview of risk assessment for gas decarbonization scenarios</w:t>
      </w:r>
    </w:p>
    <w:tbl>
      <w:tblPr>
        <w:tblStyle w:val="Table1"/>
        <w:tblW w:w="4807" w:type="pct"/>
        <w:tblLayout w:type="fixed"/>
        <w:tblLook w:val="04A0" w:firstRow="1" w:lastRow="0" w:firstColumn="1" w:lastColumn="0" w:noHBand="0" w:noVBand="1"/>
      </w:tblPr>
      <w:tblGrid>
        <w:gridCol w:w="1466"/>
        <w:gridCol w:w="880"/>
        <w:gridCol w:w="6802"/>
        <w:gridCol w:w="687"/>
        <w:gridCol w:w="687"/>
        <w:gridCol w:w="687"/>
        <w:gridCol w:w="1134"/>
        <w:gridCol w:w="1067"/>
      </w:tblGrid>
      <w:tr w:rsidR="00D702A5" w:rsidRPr="00F40F84" w14:paraId="5D51690C" w14:textId="77777777" w:rsidTr="00AE63C4">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47" w:type="pct"/>
            <w:vMerge w:val="restart"/>
            <w:shd w:val="clear" w:color="auto" w:fill="005962" w:themeFill="accent1"/>
            <w:hideMark/>
          </w:tcPr>
          <w:p w14:paraId="45460B9A" w14:textId="77777777" w:rsidR="005F4385" w:rsidRPr="00163523" w:rsidRDefault="005F4385">
            <w:pPr>
              <w:spacing w:line="240" w:lineRule="auto"/>
              <w:ind w:left="0"/>
              <w:rPr>
                <w:sz w:val="16"/>
                <w:szCs w:val="16"/>
                <w:lang w:val="en-GB"/>
              </w:rPr>
            </w:pPr>
            <w:r w:rsidRPr="00F40F84">
              <w:rPr>
                <w:bCs/>
                <w:sz w:val="16"/>
                <w:szCs w:val="16"/>
                <w:lang w:val="en-GB"/>
              </w:rPr>
              <w:t>Category</w:t>
            </w:r>
          </w:p>
        </w:tc>
        <w:tc>
          <w:tcPr>
            <w:tcW w:w="328" w:type="pct"/>
            <w:vMerge w:val="restart"/>
            <w:shd w:val="clear" w:color="auto" w:fill="005962" w:themeFill="accent1"/>
          </w:tcPr>
          <w:p w14:paraId="2B37E598" w14:textId="77777777" w:rsidR="005F4385" w:rsidRPr="00F40F84" w:rsidRDefault="005F4385">
            <w:pPr>
              <w:spacing w:line="240" w:lineRule="auto"/>
              <w:ind w:left="0"/>
              <w:cnfStyle w:val="100000000000" w:firstRow="1" w:lastRow="0" w:firstColumn="0" w:lastColumn="0" w:oddVBand="0" w:evenVBand="0" w:oddHBand="0" w:evenHBand="0" w:firstRowFirstColumn="0" w:firstRowLastColumn="0" w:lastRowFirstColumn="0" w:lastRowLastColumn="0"/>
              <w:rPr>
                <w:bCs/>
                <w:sz w:val="16"/>
                <w:szCs w:val="16"/>
                <w:lang w:val="en-GB"/>
              </w:rPr>
            </w:pPr>
            <w:r w:rsidRPr="00F40F84">
              <w:rPr>
                <w:bCs/>
                <w:sz w:val="16"/>
                <w:szCs w:val="16"/>
                <w:lang w:val="en-GB"/>
              </w:rPr>
              <w:t>No</w:t>
            </w:r>
          </w:p>
        </w:tc>
        <w:tc>
          <w:tcPr>
            <w:tcW w:w="2536" w:type="pct"/>
            <w:vMerge w:val="restart"/>
            <w:shd w:val="clear" w:color="auto" w:fill="005962" w:themeFill="accent1"/>
            <w:hideMark/>
          </w:tcPr>
          <w:p w14:paraId="1A6FB91C" w14:textId="77777777" w:rsidR="005F4385" w:rsidRPr="00163523" w:rsidRDefault="005F4385">
            <w:pPr>
              <w:spacing w:line="240" w:lineRule="auto"/>
              <w:ind w:left="0"/>
              <w:cnfStyle w:val="100000000000" w:firstRow="1" w:lastRow="0" w:firstColumn="0" w:lastColumn="0" w:oddVBand="0" w:evenVBand="0" w:oddHBand="0" w:evenHBand="0" w:firstRowFirstColumn="0" w:firstRowLastColumn="0" w:lastRowFirstColumn="0" w:lastRowLastColumn="0"/>
              <w:rPr>
                <w:sz w:val="16"/>
                <w:szCs w:val="16"/>
                <w:lang w:val="en-GB"/>
              </w:rPr>
            </w:pPr>
            <w:r w:rsidRPr="00F40F84">
              <w:rPr>
                <w:bCs/>
                <w:sz w:val="16"/>
                <w:szCs w:val="16"/>
                <w:lang w:val="en-GB"/>
              </w:rPr>
              <w:t>Risk</w:t>
            </w:r>
          </w:p>
        </w:tc>
        <w:tc>
          <w:tcPr>
            <w:tcW w:w="768" w:type="pct"/>
            <w:gridSpan w:val="3"/>
            <w:shd w:val="clear" w:color="auto" w:fill="005962" w:themeFill="accent1"/>
          </w:tcPr>
          <w:p w14:paraId="682A87F0" w14:textId="0DA26EB3" w:rsidR="005F4385" w:rsidRPr="00F40F84" w:rsidRDefault="005F4385" w:rsidP="005F4385">
            <w:pPr>
              <w:spacing w:line="240" w:lineRule="auto"/>
              <w:ind w:left="0"/>
              <w:cnfStyle w:val="100000000000" w:firstRow="1" w:lastRow="0" w:firstColumn="0" w:lastColumn="0" w:oddVBand="0" w:evenVBand="0" w:oddHBand="0" w:evenHBand="0" w:firstRowFirstColumn="0" w:firstRowLastColumn="0" w:lastRowFirstColumn="0" w:lastRowLastColumn="0"/>
              <w:rPr>
                <w:sz w:val="16"/>
                <w:szCs w:val="16"/>
                <w:lang w:val="en-GB"/>
              </w:rPr>
            </w:pPr>
            <w:r w:rsidRPr="00F40F84">
              <w:rPr>
                <w:sz w:val="16"/>
                <w:szCs w:val="16"/>
                <w:lang w:val="en-GB"/>
              </w:rPr>
              <w:t>Applicable scenarios</w:t>
            </w:r>
          </w:p>
        </w:tc>
        <w:tc>
          <w:tcPr>
            <w:tcW w:w="423" w:type="pct"/>
            <w:vMerge w:val="restart"/>
            <w:shd w:val="clear" w:color="auto" w:fill="005962" w:themeFill="accent1"/>
          </w:tcPr>
          <w:p w14:paraId="384ED010" w14:textId="40A4085F" w:rsidR="005F4385" w:rsidRPr="00F40F84" w:rsidRDefault="005F4385">
            <w:pPr>
              <w:spacing w:line="240" w:lineRule="auto"/>
              <w:ind w:left="0"/>
              <w:cnfStyle w:val="100000000000" w:firstRow="1" w:lastRow="0" w:firstColumn="0" w:lastColumn="0" w:oddVBand="0" w:evenVBand="0" w:oddHBand="0" w:evenHBand="0" w:firstRowFirstColumn="0" w:firstRowLastColumn="0" w:lastRowFirstColumn="0" w:lastRowLastColumn="0"/>
              <w:rPr>
                <w:bCs/>
                <w:sz w:val="16"/>
                <w:szCs w:val="16"/>
                <w:lang w:val="en-GB"/>
              </w:rPr>
            </w:pPr>
            <w:r w:rsidRPr="00163523">
              <w:rPr>
                <w:rFonts w:eastAsia="Arial"/>
                <w:sz w:val="16"/>
                <w:szCs w:val="16"/>
                <w:lang w:val="en-GB"/>
              </w:rPr>
              <w:t>Likelihood</w:t>
            </w:r>
          </w:p>
        </w:tc>
        <w:tc>
          <w:tcPr>
            <w:tcW w:w="398" w:type="pct"/>
            <w:vMerge w:val="restart"/>
            <w:shd w:val="clear" w:color="auto" w:fill="005962" w:themeFill="accent1"/>
          </w:tcPr>
          <w:p w14:paraId="4290BA5F" w14:textId="77777777" w:rsidR="005F4385" w:rsidRPr="00F40F84" w:rsidRDefault="005F4385">
            <w:pPr>
              <w:spacing w:line="240" w:lineRule="auto"/>
              <w:ind w:left="0"/>
              <w:cnfStyle w:val="100000000000" w:firstRow="1" w:lastRow="0" w:firstColumn="0" w:lastColumn="0" w:oddVBand="0" w:evenVBand="0" w:oddHBand="0" w:evenHBand="0" w:firstRowFirstColumn="0" w:firstRowLastColumn="0" w:lastRowFirstColumn="0" w:lastRowLastColumn="0"/>
              <w:rPr>
                <w:bCs/>
                <w:sz w:val="16"/>
                <w:szCs w:val="16"/>
                <w:lang w:val="en-GB"/>
              </w:rPr>
            </w:pPr>
            <w:r w:rsidRPr="00163523">
              <w:rPr>
                <w:rFonts w:eastAsia="Arial"/>
                <w:sz w:val="16"/>
                <w:szCs w:val="16"/>
                <w:lang w:val="en-GB"/>
              </w:rPr>
              <w:t>Severity</w:t>
            </w:r>
          </w:p>
        </w:tc>
      </w:tr>
      <w:tr w:rsidR="00D702A5" w:rsidRPr="00F40F84" w14:paraId="7ADC7C83" w14:textId="77777777" w:rsidTr="00AE63C4">
        <w:trPr>
          <w:trHeight w:val="283"/>
        </w:trPr>
        <w:tc>
          <w:tcPr>
            <w:cnfStyle w:val="001000000000" w:firstRow="0" w:lastRow="0" w:firstColumn="1" w:lastColumn="0" w:oddVBand="0" w:evenVBand="0" w:oddHBand="0" w:evenHBand="0" w:firstRowFirstColumn="0" w:firstRowLastColumn="0" w:lastRowFirstColumn="0" w:lastRowLastColumn="0"/>
            <w:tcW w:w="547" w:type="pct"/>
            <w:vMerge/>
            <w:shd w:val="clear" w:color="auto" w:fill="005962" w:themeFill="accent1"/>
          </w:tcPr>
          <w:p w14:paraId="1737C847" w14:textId="77777777" w:rsidR="005F4385" w:rsidRPr="00F40F84" w:rsidRDefault="005F4385">
            <w:pPr>
              <w:spacing w:line="240" w:lineRule="auto"/>
              <w:ind w:left="0"/>
              <w:rPr>
                <w:bCs/>
                <w:sz w:val="16"/>
                <w:szCs w:val="16"/>
                <w:lang w:val="en-GB"/>
              </w:rPr>
            </w:pPr>
          </w:p>
        </w:tc>
        <w:tc>
          <w:tcPr>
            <w:tcW w:w="328" w:type="pct"/>
            <w:vMerge/>
            <w:shd w:val="clear" w:color="auto" w:fill="005962" w:themeFill="accent1"/>
          </w:tcPr>
          <w:p w14:paraId="520B1A3E" w14:textId="77777777" w:rsidR="005F4385" w:rsidRPr="00F40F84" w:rsidRDefault="005F4385">
            <w:pPr>
              <w:spacing w:line="240" w:lineRule="auto"/>
              <w:ind w:left="0"/>
              <w:cnfStyle w:val="000000000000" w:firstRow="0" w:lastRow="0" w:firstColumn="0" w:lastColumn="0" w:oddVBand="0" w:evenVBand="0" w:oddHBand="0" w:evenHBand="0" w:firstRowFirstColumn="0" w:firstRowLastColumn="0" w:lastRowFirstColumn="0" w:lastRowLastColumn="0"/>
              <w:rPr>
                <w:bCs/>
                <w:sz w:val="16"/>
                <w:szCs w:val="16"/>
                <w:lang w:val="en-GB"/>
              </w:rPr>
            </w:pPr>
          </w:p>
        </w:tc>
        <w:tc>
          <w:tcPr>
            <w:tcW w:w="2536" w:type="pct"/>
            <w:vMerge/>
            <w:shd w:val="clear" w:color="auto" w:fill="005962" w:themeFill="accent1"/>
          </w:tcPr>
          <w:p w14:paraId="0EFA9D2F" w14:textId="77777777" w:rsidR="005F4385" w:rsidRPr="00F40F84" w:rsidRDefault="005F4385">
            <w:pPr>
              <w:spacing w:line="240" w:lineRule="auto"/>
              <w:ind w:left="0"/>
              <w:cnfStyle w:val="000000000000" w:firstRow="0" w:lastRow="0" w:firstColumn="0" w:lastColumn="0" w:oddVBand="0" w:evenVBand="0" w:oddHBand="0" w:evenHBand="0" w:firstRowFirstColumn="0" w:firstRowLastColumn="0" w:lastRowFirstColumn="0" w:lastRowLastColumn="0"/>
              <w:rPr>
                <w:bCs/>
                <w:sz w:val="16"/>
                <w:szCs w:val="16"/>
                <w:lang w:val="en-GB"/>
              </w:rPr>
            </w:pPr>
          </w:p>
        </w:tc>
        <w:tc>
          <w:tcPr>
            <w:tcW w:w="256" w:type="pct"/>
            <w:shd w:val="clear" w:color="auto" w:fill="FFFFFF" w:themeFill="background1"/>
          </w:tcPr>
          <w:p w14:paraId="4D01E8F1" w14:textId="77777777" w:rsidR="005F4385" w:rsidRPr="00F40F84" w:rsidRDefault="005F4385">
            <w:pPr>
              <w:spacing w:line="240" w:lineRule="auto"/>
              <w:ind w:left="0"/>
              <w:cnfStyle w:val="000000000000" w:firstRow="0" w:lastRow="0" w:firstColumn="0" w:lastColumn="0" w:oddVBand="0" w:evenVBand="0" w:oddHBand="0" w:evenHBand="0" w:firstRowFirstColumn="0" w:firstRowLastColumn="0" w:lastRowFirstColumn="0" w:lastRowLastColumn="0"/>
              <w:rPr>
                <w:bCs/>
                <w:sz w:val="16"/>
                <w:szCs w:val="16"/>
                <w:lang w:val="en-GB"/>
              </w:rPr>
            </w:pPr>
            <w:r w:rsidRPr="00163523">
              <w:rPr>
                <w:rFonts w:eastAsia="Arial"/>
                <w:sz w:val="16"/>
                <w:szCs w:val="16"/>
                <w:lang w:val="en-GB"/>
              </w:rPr>
              <w:t>REN-M</w:t>
            </w:r>
          </w:p>
        </w:tc>
        <w:tc>
          <w:tcPr>
            <w:tcW w:w="256" w:type="pct"/>
            <w:shd w:val="clear" w:color="auto" w:fill="FFFFFF" w:themeFill="background1"/>
          </w:tcPr>
          <w:p w14:paraId="5D5255DE" w14:textId="77777777" w:rsidR="005F4385" w:rsidRPr="00F40F84" w:rsidRDefault="005F4385">
            <w:pPr>
              <w:spacing w:line="240" w:lineRule="auto"/>
              <w:ind w:left="0"/>
              <w:cnfStyle w:val="000000000000" w:firstRow="0" w:lastRow="0" w:firstColumn="0" w:lastColumn="0" w:oddVBand="0" w:evenVBand="0" w:oddHBand="0" w:evenHBand="0" w:firstRowFirstColumn="0" w:firstRowLastColumn="0" w:lastRowFirstColumn="0" w:lastRowLastColumn="0"/>
              <w:rPr>
                <w:bCs/>
                <w:sz w:val="16"/>
                <w:szCs w:val="16"/>
                <w:lang w:val="en-GB"/>
              </w:rPr>
            </w:pPr>
            <w:r w:rsidRPr="00163523">
              <w:rPr>
                <w:rFonts w:eastAsia="Arial"/>
                <w:sz w:val="16"/>
                <w:szCs w:val="16"/>
                <w:lang w:val="en-GB"/>
              </w:rPr>
              <w:t>REN-H</w:t>
            </w:r>
          </w:p>
        </w:tc>
        <w:tc>
          <w:tcPr>
            <w:tcW w:w="256" w:type="pct"/>
            <w:shd w:val="clear" w:color="auto" w:fill="FFFFFF" w:themeFill="background1"/>
          </w:tcPr>
          <w:p w14:paraId="3AB50A34" w14:textId="77777777" w:rsidR="005F4385" w:rsidRPr="00F40F84" w:rsidRDefault="005F4385">
            <w:pPr>
              <w:spacing w:line="240" w:lineRule="auto"/>
              <w:ind w:left="0"/>
              <w:cnfStyle w:val="000000000000" w:firstRow="0" w:lastRow="0" w:firstColumn="0" w:lastColumn="0" w:oddVBand="0" w:evenVBand="0" w:oddHBand="0" w:evenHBand="0" w:firstRowFirstColumn="0" w:firstRowLastColumn="0" w:lastRowFirstColumn="0" w:lastRowLastColumn="0"/>
              <w:rPr>
                <w:bCs/>
                <w:sz w:val="16"/>
                <w:szCs w:val="16"/>
                <w:lang w:val="en-GB"/>
              </w:rPr>
            </w:pPr>
            <w:r w:rsidRPr="00163523">
              <w:rPr>
                <w:rFonts w:eastAsia="Arial"/>
                <w:sz w:val="16"/>
                <w:szCs w:val="16"/>
                <w:lang w:val="en-GB"/>
              </w:rPr>
              <w:t>CM</w:t>
            </w:r>
          </w:p>
        </w:tc>
        <w:tc>
          <w:tcPr>
            <w:tcW w:w="423" w:type="pct"/>
            <w:vMerge/>
            <w:tcBorders>
              <w:bottom w:val="single" w:sz="4" w:space="0" w:color="005962"/>
            </w:tcBorders>
            <w:shd w:val="clear" w:color="auto" w:fill="005962" w:themeFill="accent1"/>
          </w:tcPr>
          <w:p w14:paraId="4E553D96" w14:textId="77777777" w:rsidR="005F4385" w:rsidRPr="00F40F84" w:rsidRDefault="005F4385">
            <w:pPr>
              <w:spacing w:line="240" w:lineRule="auto"/>
              <w:ind w:left="0"/>
              <w:cnfStyle w:val="000000000000" w:firstRow="0" w:lastRow="0" w:firstColumn="0" w:lastColumn="0" w:oddVBand="0" w:evenVBand="0" w:oddHBand="0" w:evenHBand="0" w:firstRowFirstColumn="0" w:firstRowLastColumn="0" w:lastRowFirstColumn="0" w:lastRowLastColumn="0"/>
              <w:rPr>
                <w:bCs/>
                <w:sz w:val="16"/>
                <w:szCs w:val="16"/>
                <w:lang w:val="en-GB"/>
              </w:rPr>
            </w:pPr>
          </w:p>
        </w:tc>
        <w:tc>
          <w:tcPr>
            <w:tcW w:w="398" w:type="pct"/>
            <w:vMerge/>
            <w:shd w:val="clear" w:color="auto" w:fill="005962" w:themeFill="accent1"/>
          </w:tcPr>
          <w:p w14:paraId="37289562" w14:textId="77777777" w:rsidR="005F4385" w:rsidRPr="00F40F84" w:rsidRDefault="005F4385">
            <w:pPr>
              <w:spacing w:line="240" w:lineRule="auto"/>
              <w:ind w:left="0"/>
              <w:cnfStyle w:val="000000000000" w:firstRow="0" w:lastRow="0" w:firstColumn="0" w:lastColumn="0" w:oddVBand="0" w:evenVBand="0" w:oddHBand="0" w:evenHBand="0" w:firstRowFirstColumn="0" w:firstRowLastColumn="0" w:lastRowFirstColumn="0" w:lastRowLastColumn="0"/>
              <w:rPr>
                <w:bCs/>
                <w:sz w:val="16"/>
                <w:szCs w:val="16"/>
                <w:lang w:val="en-GB"/>
              </w:rPr>
            </w:pPr>
          </w:p>
        </w:tc>
      </w:tr>
      <w:tr w:rsidR="00D702A5" w:rsidRPr="00F40F84" w14:paraId="446C0FD8" w14:textId="77777777" w:rsidTr="00AE63C4">
        <w:trPr>
          <w:trHeight w:val="418"/>
        </w:trPr>
        <w:tc>
          <w:tcPr>
            <w:cnfStyle w:val="001000000000" w:firstRow="0" w:lastRow="0" w:firstColumn="1" w:lastColumn="0" w:oddVBand="0" w:evenVBand="0" w:oddHBand="0" w:evenHBand="0" w:firstRowFirstColumn="0" w:firstRowLastColumn="0" w:lastRowFirstColumn="0" w:lastRowLastColumn="0"/>
            <w:tcW w:w="547" w:type="pct"/>
            <w:vMerge w:val="restart"/>
            <w:shd w:val="clear" w:color="auto" w:fill="FFFFFF" w:themeFill="background1"/>
            <w:hideMark/>
          </w:tcPr>
          <w:p w14:paraId="77A1A758" w14:textId="77777777" w:rsidR="005F4385" w:rsidRPr="00163523" w:rsidRDefault="005F4385" w:rsidP="00C90DF9">
            <w:pPr>
              <w:spacing w:line="240" w:lineRule="auto"/>
              <w:ind w:left="0"/>
              <w:rPr>
                <w:sz w:val="16"/>
                <w:szCs w:val="16"/>
                <w:lang w:val="en-GB"/>
              </w:rPr>
            </w:pPr>
            <w:r w:rsidRPr="00F40F84">
              <w:rPr>
                <w:b/>
                <w:bCs/>
                <w:sz w:val="16"/>
                <w:szCs w:val="16"/>
                <w:lang w:val="en-GB"/>
              </w:rPr>
              <w:t>Economic</w:t>
            </w:r>
          </w:p>
        </w:tc>
        <w:tc>
          <w:tcPr>
            <w:tcW w:w="328" w:type="pct"/>
            <w:shd w:val="clear" w:color="auto" w:fill="FFFFFF" w:themeFill="background1"/>
          </w:tcPr>
          <w:p w14:paraId="0F9DE19E" w14:textId="77777777" w:rsidR="005F4385" w:rsidRPr="00F40F84" w:rsidRDefault="005F4385" w:rsidP="00C90DF9">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F40F84">
              <w:rPr>
                <w:sz w:val="16"/>
                <w:szCs w:val="16"/>
                <w:lang w:val="en-GB"/>
              </w:rPr>
              <w:t>1</w:t>
            </w:r>
          </w:p>
        </w:tc>
        <w:tc>
          <w:tcPr>
            <w:tcW w:w="2536" w:type="pct"/>
            <w:shd w:val="clear" w:color="auto" w:fill="FFFFFF" w:themeFill="background1"/>
            <w:hideMark/>
          </w:tcPr>
          <w:p w14:paraId="36E52D9C" w14:textId="77777777" w:rsidR="005F4385" w:rsidRPr="00163523" w:rsidRDefault="005F4385" w:rsidP="00C90DF9">
            <w:pPr>
              <w:spacing w:line="240" w:lineRule="auto"/>
              <w:ind w:left="0"/>
              <w:jc w:val="left"/>
              <w:cnfStyle w:val="000000000000" w:firstRow="0" w:lastRow="0" w:firstColumn="0" w:lastColumn="0" w:oddVBand="0" w:evenVBand="0" w:oddHBand="0" w:evenHBand="0" w:firstRowFirstColumn="0" w:firstRowLastColumn="0" w:lastRowFirstColumn="0" w:lastRowLastColumn="0"/>
              <w:rPr>
                <w:sz w:val="16"/>
                <w:szCs w:val="16"/>
                <w:lang w:val="en-GB"/>
              </w:rPr>
            </w:pPr>
            <w:r w:rsidRPr="00F40F84">
              <w:rPr>
                <w:sz w:val="16"/>
                <w:szCs w:val="16"/>
                <w:lang w:val="en-GB"/>
              </w:rPr>
              <w:t>Economic turndown and instability can limit ability local of gas producers, users, network operators and authorities to invest in gas decarbonisation measures</w:t>
            </w:r>
          </w:p>
        </w:tc>
        <w:tc>
          <w:tcPr>
            <w:tcW w:w="256" w:type="pct"/>
            <w:shd w:val="clear" w:color="auto" w:fill="FFFFFF" w:themeFill="background1"/>
          </w:tcPr>
          <w:p w14:paraId="36AA3ECA" w14:textId="46A10511" w:rsidR="005F4385" w:rsidRPr="00F40F84" w:rsidRDefault="005F4385" w:rsidP="00C90DF9">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163523">
              <w:rPr>
                <w:rFonts w:ascii="Wingdings" w:eastAsia="Wingdings" w:hAnsi="Wingdings" w:cs="Wingdings"/>
                <w:b/>
                <w:color w:val="000000"/>
                <w:sz w:val="16"/>
                <w:szCs w:val="16"/>
                <w:lang w:val="en-GB" w:eastAsia="en-GB"/>
              </w:rPr>
              <w:t>ü</w:t>
            </w:r>
          </w:p>
        </w:tc>
        <w:tc>
          <w:tcPr>
            <w:tcW w:w="256" w:type="pct"/>
            <w:shd w:val="clear" w:color="auto" w:fill="FFFFFF" w:themeFill="background1"/>
          </w:tcPr>
          <w:p w14:paraId="3C379B8F" w14:textId="2A4C3C56" w:rsidR="005F4385" w:rsidRPr="00F40F84" w:rsidRDefault="005F4385" w:rsidP="00C90DF9">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163523">
              <w:rPr>
                <w:rFonts w:ascii="Wingdings" w:eastAsia="Wingdings" w:hAnsi="Wingdings" w:cs="Wingdings"/>
                <w:b/>
                <w:color w:val="000000"/>
                <w:sz w:val="16"/>
                <w:szCs w:val="16"/>
                <w:lang w:val="en-GB" w:eastAsia="en-GB"/>
              </w:rPr>
              <w:t>ü</w:t>
            </w:r>
          </w:p>
        </w:tc>
        <w:tc>
          <w:tcPr>
            <w:tcW w:w="256" w:type="pct"/>
            <w:shd w:val="clear" w:color="auto" w:fill="FFFFFF" w:themeFill="background1"/>
          </w:tcPr>
          <w:p w14:paraId="3C577E10" w14:textId="49B37CF1" w:rsidR="005F4385" w:rsidRPr="00F40F84" w:rsidRDefault="005F4385" w:rsidP="00C90DF9">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163523">
              <w:rPr>
                <w:rFonts w:ascii="Wingdings" w:eastAsia="Wingdings" w:hAnsi="Wingdings" w:cs="Wingdings"/>
                <w:b/>
                <w:color w:val="000000"/>
                <w:sz w:val="16"/>
                <w:szCs w:val="16"/>
                <w:lang w:val="en-GB" w:eastAsia="en-GB"/>
              </w:rPr>
              <w:t>üü</w:t>
            </w:r>
          </w:p>
        </w:tc>
        <w:tc>
          <w:tcPr>
            <w:tcW w:w="423" w:type="pct"/>
            <w:shd w:val="clear" w:color="auto" w:fill="F9B7AC" w:themeFill="accent2" w:themeFillTint="66"/>
          </w:tcPr>
          <w:p w14:paraId="038BFFBC" w14:textId="30F420E5" w:rsidR="005F4385" w:rsidRPr="00F40F84" w:rsidRDefault="005F4385" w:rsidP="00C90DF9">
            <w:pPr>
              <w:spacing w:line="240" w:lineRule="auto"/>
              <w:ind w:left="0"/>
              <w:cnfStyle w:val="000000000000" w:firstRow="0" w:lastRow="0" w:firstColumn="0" w:lastColumn="0" w:oddVBand="0" w:evenVBand="0" w:oddHBand="0" w:evenHBand="0" w:firstRowFirstColumn="0" w:firstRowLastColumn="0" w:lastRowFirstColumn="0" w:lastRowLastColumn="0"/>
              <w:rPr>
                <w:b/>
                <w:bCs/>
                <w:sz w:val="16"/>
                <w:szCs w:val="16"/>
                <w:lang w:val="en-GB"/>
              </w:rPr>
            </w:pPr>
            <w:r w:rsidRPr="00163523">
              <w:rPr>
                <w:rFonts w:eastAsia="Times New Roman"/>
                <w:b/>
                <w:color w:val="000000"/>
                <w:sz w:val="16"/>
                <w:szCs w:val="16"/>
                <w:lang w:val="en-GB" w:eastAsia="en-GB"/>
              </w:rPr>
              <w:t>High</w:t>
            </w:r>
          </w:p>
        </w:tc>
        <w:tc>
          <w:tcPr>
            <w:tcW w:w="398" w:type="pct"/>
            <w:shd w:val="clear" w:color="auto" w:fill="FFE3A5" w:themeFill="accent4"/>
          </w:tcPr>
          <w:p w14:paraId="2CDE938F" w14:textId="7B666210" w:rsidR="005F4385" w:rsidRPr="00F40F84" w:rsidRDefault="005F4385" w:rsidP="00C90DF9">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163523">
              <w:rPr>
                <w:rFonts w:eastAsia="Arial"/>
                <w:b/>
                <w:sz w:val="16"/>
                <w:szCs w:val="16"/>
                <w:lang w:val="en-GB"/>
              </w:rPr>
              <w:t>Medium</w:t>
            </w:r>
          </w:p>
        </w:tc>
      </w:tr>
      <w:tr w:rsidR="00B169DA" w:rsidRPr="00F40F84" w14:paraId="5FADA924" w14:textId="77777777" w:rsidTr="00AE63C4">
        <w:trPr>
          <w:trHeight w:val="418"/>
        </w:trPr>
        <w:tc>
          <w:tcPr>
            <w:cnfStyle w:val="001000000000" w:firstRow="0" w:lastRow="0" w:firstColumn="1" w:lastColumn="0" w:oddVBand="0" w:evenVBand="0" w:oddHBand="0" w:evenHBand="0" w:firstRowFirstColumn="0" w:firstRowLastColumn="0" w:lastRowFirstColumn="0" w:lastRowLastColumn="0"/>
            <w:tcW w:w="547" w:type="pct"/>
            <w:vMerge/>
            <w:shd w:val="clear" w:color="auto" w:fill="FFFFFF" w:themeFill="background1"/>
            <w:hideMark/>
          </w:tcPr>
          <w:p w14:paraId="00A8A6F7" w14:textId="77777777" w:rsidR="005F4385" w:rsidRPr="00163523" w:rsidRDefault="005F4385" w:rsidP="00A3706B">
            <w:pPr>
              <w:spacing w:line="240" w:lineRule="auto"/>
              <w:ind w:left="0"/>
              <w:rPr>
                <w:sz w:val="16"/>
                <w:szCs w:val="16"/>
                <w:lang w:val="en-GB"/>
              </w:rPr>
            </w:pPr>
          </w:p>
        </w:tc>
        <w:tc>
          <w:tcPr>
            <w:tcW w:w="328" w:type="pct"/>
            <w:shd w:val="clear" w:color="auto" w:fill="FFFFFF" w:themeFill="background1"/>
          </w:tcPr>
          <w:p w14:paraId="611A0EDF" w14:textId="77777777" w:rsidR="005F4385" w:rsidRPr="00F40F84" w:rsidRDefault="005F4385" w:rsidP="00A3706B">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F40F84">
              <w:rPr>
                <w:sz w:val="16"/>
                <w:szCs w:val="16"/>
                <w:lang w:val="en-GB"/>
              </w:rPr>
              <w:t>2</w:t>
            </w:r>
          </w:p>
        </w:tc>
        <w:tc>
          <w:tcPr>
            <w:tcW w:w="2536" w:type="pct"/>
            <w:shd w:val="clear" w:color="auto" w:fill="FFFFFF" w:themeFill="background1"/>
            <w:hideMark/>
          </w:tcPr>
          <w:p w14:paraId="3FB9633F" w14:textId="77777777" w:rsidR="005F4385" w:rsidRPr="00163523" w:rsidRDefault="005F4385" w:rsidP="00A3706B">
            <w:pPr>
              <w:spacing w:line="240" w:lineRule="auto"/>
              <w:ind w:left="0"/>
              <w:jc w:val="left"/>
              <w:cnfStyle w:val="000000000000" w:firstRow="0" w:lastRow="0" w:firstColumn="0" w:lastColumn="0" w:oddVBand="0" w:evenVBand="0" w:oddHBand="0" w:evenHBand="0" w:firstRowFirstColumn="0" w:firstRowLastColumn="0" w:lastRowFirstColumn="0" w:lastRowLastColumn="0"/>
              <w:rPr>
                <w:sz w:val="16"/>
                <w:szCs w:val="16"/>
                <w:lang w:val="en-GB"/>
              </w:rPr>
            </w:pPr>
            <w:r w:rsidRPr="00F40F84">
              <w:rPr>
                <w:sz w:val="16"/>
                <w:szCs w:val="16"/>
                <w:lang w:val="en-GB"/>
              </w:rPr>
              <w:t>Supply dependence and bottlenecks for energy technologies can increase costs/slow down transition</w:t>
            </w:r>
          </w:p>
        </w:tc>
        <w:tc>
          <w:tcPr>
            <w:tcW w:w="256" w:type="pct"/>
            <w:shd w:val="clear" w:color="auto" w:fill="FFFFFF" w:themeFill="background1"/>
          </w:tcPr>
          <w:p w14:paraId="019BF402" w14:textId="178D58DD" w:rsidR="005F4385" w:rsidRPr="00F40F84" w:rsidRDefault="005F4385" w:rsidP="00A3706B">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163523">
              <w:rPr>
                <w:rFonts w:ascii="Wingdings" w:eastAsia="Wingdings" w:hAnsi="Wingdings" w:cs="Wingdings"/>
                <w:b/>
                <w:color w:val="000000"/>
                <w:sz w:val="16"/>
                <w:szCs w:val="16"/>
                <w:lang w:val="en-GB" w:eastAsia="en-GB"/>
              </w:rPr>
              <w:t>ü</w:t>
            </w:r>
          </w:p>
        </w:tc>
        <w:tc>
          <w:tcPr>
            <w:tcW w:w="256" w:type="pct"/>
            <w:shd w:val="clear" w:color="auto" w:fill="FFFFFF" w:themeFill="background1"/>
          </w:tcPr>
          <w:p w14:paraId="56ECB1D7" w14:textId="2496E0FE" w:rsidR="005F4385" w:rsidRPr="00F40F84" w:rsidRDefault="005F4385" w:rsidP="00A3706B">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163523">
              <w:rPr>
                <w:rFonts w:ascii="Wingdings" w:eastAsia="Wingdings" w:hAnsi="Wingdings" w:cs="Wingdings"/>
                <w:b/>
                <w:color w:val="000000"/>
                <w:sz w:val="16"/>
                <w:szCs w:val="16"/>
                <w:lang w:val="en-GB" w:eastAsia="en-GB"/>
              </w:rPr>
              <w:t>üü</w:t>
            </w:r>
          </w:p>
        </w:tc>
        <w:tc>
          <w:tcPr>
            <w:tcW w:w="256" w:type="pct"/>
            <w:shd w:val="clear" w:color="auto" w:fill="FFFFFF" w:themeFill="background1"/>
          </w:tcPr>
          <w:p w14:paraId="516F5907" w14:textId="4B42276C" w:rsidR="005F4385" w:rsidRPr="00F40F84" w:rsidRDefault="005F4385" w:rsidP="00A3706B">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163523">
              <w:rPr>
                <w:rFonts w:ascii="Wingdings" w:eastAsia="Wingdings" w:hAnsi="Wingdings" w:cs="Wingdings"/>
                <w:b/>
                <w:color w:val="000000"/>
                <w:sz w:val="16"/>
                <w:szCs w:val="16"/>
                <w:lang w:val="en-GB" w:eastAsia="en-GB"/>
              </w:rPr>
              <w:t>ü</w:t>
            </w:r>
          </w:p>
        </w:tc>
        <w:tc>
          <w:tcPr>
            <w:tcW w:w="423" w:type="pct"/>
            <w:shd w:val="clear" w:color="auto" w:fill="EFF5F5" w:themeFill="accent3" w:themeFillTint="33"/>
          </w:tcPr>
          <w:p w14:paraId="37B73144" w14:textId="48E1A344" w:rsidR="005F4385" w:rsidRPr="00F40F84" w:rsidRDefault="005F4385" w:rsidP="00A3706B">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163523">
              <w:rPr>
                <w:rFonts w:eastAsia="Times New Roman"/>
                <w:b/>
                <w:color w:val="000000"/>
                <w:sz w:val="16"/>
                <w:szCs w:val="16"/>
                <w:lang w:val="en-GB" w:eastAsia="en-GB"/>
              </w:rPr>
              <w:t>Low</w:t>
            </w:r>
          </w:p>
        </w:tc>
        <w:tc>
          <w:tcPr>
            <w:tcW w:w="398" w:type="pct"/>
            <w:shd w:val="clear" w:color="auto" w:fill="FFE3A5" w:themeFill="accent4"/>
          </w:tcPr>
          <w:p w14:paraId="09E9E1BC" w14:textId="4A7EF787" w:rsidR="005F4385" w:rsidRPr="00F40F84" w:rsidRDefault="005F4385" w:rsidP="00A3706B">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163523">
              <w:rPr>
                <w:rFonts w:eastAsia="Arial"/>
                <w:b/>
                <w:sz w:val="16"/>
                <w:szCs w:val="16"/>
                <w:lang w:val="en-GB"/>
              </w:rPr>
              <w:t>Medium</w:t>
            </w:r>
          </w:p>
        </w:tc>
      </w:tr>
      <w:tr w:rsidR="00D702A5" w:rsidRPr="00F40F84" w14:paraId="1EB945D3" w14:textId="77777777" w:rsidTr="00AE63C4">
        <w:trPr>
          <w:trHeight w:val="418"/>
        </w:trPr>
        <w:tc>
          <w:tcPr>
            <w:cnfStyle w:val="001000000000" w:firstRow="0" w:lastRow="0" w:firstColumn="1" w:lastColumn="0" w:oddVBand="0" w:evenVBand="0" w:oddHBand="0" w:evenHBand="0" w:firstRowFirstColumn="0" w:firstRowLastColumn="0" w:lastRowFirstColumn="0" w:lastRowLastColumn="0"/>
            <w:tcW w:w="547" w:type="pct"/>
            <w:vMerge/>
            <w:shd w:val="clear" w:color="auto" w:fill="FFFFFF" w:themeFill="background1"/>
            <w:hideMark/>
          </w:tcPr>
          <w:p w14:paraId="243EA4F8" w14:textId="77777777" w:rsidR="005F4385" w:rsidRPr="00163523" w:rsidRDefault="005F4385" w:rsidP="00FB4738">
            <w:pPr>
              <w:spacing w:line="240" w:lineRule="auto"/>
              <w:ind w:left="0"/>
              <w:rPr>
                <w:sz w:val="16"/>
                <w:szCs w:val="16"/>
                <w:lang w:val="en-GB"/>
              </w:rPr>
            </w:pPr>
          </w:p>
        </w:tc>
        <w:tc>
          <w:tcPr>
            <w:tcW w:w="328" w:type="pct"/>
            <w:shd w:val="clear" w:color="auto" w:fill="FFFFFF" w:themeFill="background1"/>
          </w:tcPr>
          <w:p w14:paraId="124B7E3C" w14:textId="77777777" w:rsidR="005F4385" w:rsidRPr="00F40F84" w:rsidRDefault="005F4385" w:rsidP="00FB4738">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F40F84">
              <w:rPr>
                <w:sz w:val="16"/>
                <w:szCs w:val="16"/>
                <w:lang w:val="en-GB"/>
              </w:rPr>
              <w:t>3</w:t>
            </w:r>
          </w:p>
        </w:tc>
        <w:tc>
          <w:tcPr>
            <w:tcW w:w="2536" w:type="pct"/>
            <w:shd w:val="clear" w:color="auto" w:fill="FFFFFF" w:themeFill="background1"/>
            <w:hideMark/>
          </w:tcPr>
          <w:p w14:paraId="753689DA" w14:textId="77777777" w:rsidR="005F4385" w:rsidRPr="00163523" w:rsidRDefault="005F4385" w:rsidP="00FB4738">
            <w:pPr>
              <w:spacing w:line="240" w:lineRule="auto"/>
              <w:ind w:left="0"/>
              <w:jc w:val="left"/>
              <w:cnfStyle w:val="000000000000" w:firstRow="0" w:lastRow="0" w:firstColumn="0" w:lastColumn="0" w:oddVBand="0" w:evenVBand="0" w:oddHBand="0" w:evenHBand="0" w:firstRowFirstColumn="0" w:firstRowLastColumn="0" w:lastRowFirstColumn="0" w:lastRowLastColumn="0"/>
              <w:rPr>
                <w:sz w:val="16"/>
                <w:szCs w:val="16"/>
                <w:lang w:val="en-GB"/>
              </w:rPr>
            </w:pPr>
            <w:r w:rsidRPr="00F40F84">
              <w:rPr>
                <w:sz w:val="16"/>
                <w:szCs w:val="16"/>
                <w:lang w:val="en-GB"/>
              </w:rPr>
              <w:t>Fossil gas decarbonisation can negatively affect competitiveness of industrial users</w:t>
            </w:r>
          </w:p>
        </w:tc>
        <w:tc>
          <w:tcPr>
            <w:tcW w:w="256" w:type="pct"/>
            <w:shd w:val="clear" w:color="auto" w:fill="FFFFFF" w:themeFill="background1"/>
          </w:tcPr>
          <w:p w14:paraId="431775DF" w14:textId="64F132A7" w:rsidR="005F4385" w:rsidRPr="00F40F84" w:rsidRDefault="005F4385" w:rsidP="00FB4738">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163523">
              <w:rPr>
                <w:rFonts w:ascii="Wingdings" w:eastAsia="Wingdings" w:hAnsi="Wingdings" w:cs="Wingdings"/>
                <w:b/>
                <w:color w:val="000000"/>
                <w:sz w:val="16"/>
                <w:szCs w:val="16"/>
                <w:lang w:val="en-GB" w:eastAsia="en-GB"/>
              </w:rPr>
              <w:t>ü</w:t>
            </w:r>
          </w:p>
        </w:tc>
        <w:tc>
          <w:tcPr>
            <w:tcW w:w="256" w:type="pct"/>
            <w:shd w:val="clear" w:color="auto" w:fill="FFFFFF" w:themeFill="background1"/>
          </w:tcPr>
          <w:p w14:paraId="7611B1FE" w14:textId="7C9FD921" w:rsidR="005F4385" w:rsidRPr="00F40F84" w:rsidRDefault="005F4385" w:rsidP="00FB4738">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163523">
              <w:rPr>
                <w:rFonts w:ascii="Wingdings" w:eastAsia="Wingdings" w:hAnsi="Wingdings" w:cs="Wingdings"/>
                <w:b/>
                <w:color w:val="000000"/>
                <w:sz w:val="16"/>
                <w:szCs w:val="16"/>
                <w:lang w:val="en-GB" w:eastAsia="en-GB"/>
              </w:rPr>
              <w:t>ü</w:t>
            </w:r>
          </w:p>
        </w:tc>
        <w:tc>
          <w:tcPr>
            <w:tcW w:w="256" w:type="pct"/>
            <w:shd w:val="clear" w:color="auto" w:fill="FFFFFF" w:themeFill="background1"/>
          </w:tcPr>
          <w:p w14:paraId="1FE65024" w14:textId="0FCB63D7" w:rsidR="005F4385" w:rsidRPr="00F40F84" w:rsidRDefault="005F4385" w:rsidP="00FB4738">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163523">
              <w:rPr>
                <w:rFonts w:ascii="Wingdings" w:eastAsia="Wingdings" w:hAnsi="Wingdings" w:cs="Wingdings"/>
                <w:b/>
                <w:color w:val="000000"/>
                <w:sz w:val="16"/>
                <w:szCs w:val="16"/>
                <w:lang w:val="en-GB" w:eastAsia="en-GB"/>
              </w:rPr>
              <w:t>ü</w:t>
            </w:r>
            <w:r w:rsidR="004737EE" w:rsidRPr="00163523">
              <w:rPr>
                <w:rFonts w:ascii="Wingdings" w:eastAsia="Wingdings" w:hAnsi="Wingdings" w:cs="Wingdings"/>
                <w:b/>
                <w:color w:val="000000"/>
                <w:sz w:val="16"/>
                <w:szCs w:val="16"/>
                <w:lang w:val="en-GB" w:eastAsia="en-GB"/>
              </w:rPr>
              <w:t>ü</w:t>
            </w:r>
          </w:p>
        </w:tc>
        <w:tc>
          <w:tcPr>
            <w:tcW w:w="423" w:type="pct"/>
            <w:shd w:val="clear" w:color="auto" w:fill="FFE3A5" w:themeFill="accent4"/>
          </w:tcPr>
          <w:p w14:paraId="14370050" w14:textId="77777777" w:rsidR="005F4385" w:rsidRPr="00163523" w:rsidRDefault="005F4385" w:rsidP="00FB4738">
            <w:pPr>
              <w:spacing w:line="240" w:lineRule="auto"/>
              <w:ind w:left="0"/>
              <w:cnfStyle w:val="000000000000" w:firstRow="0" w:lastRow="0" w:firstColumn="0" w:lastColumn="0" w:oddVBand="0" w:evenVBand="0" w:oddHBand="0" w:evenHBand="0" w:firstRowFirstColumn="0" w:firstRowLastColumn="0" w:lastRowFirstColumn="0" w:lastRowLastColumn="0"/>
              <w:rPr>
                <w:rFonts w:eastAsia="Arial"/>
                <w:b/>
                <w:sz w:val="16"/>
                <w:szCs w:val="16"/>
                <w:lang w:val="en-GB"/>
              </w:rPr>
            </w:pPr>
            <w:r w:rsidRPr="00163523">
              <w:rPr>
                <w:rFonts w:eastAsia="Arial"/>
                <w:b/>
                <w:sz w:val="16"/>
                <w:szCs w:val="16"/>
                <w:lang w:val="en-GB"/>
              </w:rPr>
              <w:t>Low/</w:t>
            </w:r>
          </w:p>
          <w:p w14:paraId="619D3A16" w14:textId="0FBE57B2" w:rsidR="005F4385" w:rsidRPr="00F40F84" w:rsidRDefault="005F4385" w:rsidP="00FB4738">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163523">
              <w:rPr>
                <w:rFonts w:eastAsia="Arial"/>
                <w:b/>
                <w:sz w:val="16"/>
                <w:szCs w:val="16"/>
                <w:lang w:val="en-GB"/>
              </w:rPr>
              <w:t>Medium</w:t>
            </w:r>
          </w:p>
        </w:tc>
        <w:tc>
          <w:tcPr>
            <w:tcW w:w="398" w:type="pct"/>
            <w:shd w:val="clear" w:color="auto" w:fill="FFE3A5" w:themeFill="accent4"/>
          </w:tcPr>
          <w:p w14:paraId="67CA42FE" w14:textId="0E158F34" w:rsidR="005F4385" w:rsidRPr="00F40F84" w:rsidRDefault="005F4385" w:rsidP="00FB4738">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163523">
              <w:rPr>
                <w:rFonts w:eastAsia="Arial"/>
                <w:b/>
                <w:sz w:val="16"/>
                <w:szCs w:val="16"/>
                <w:lang w:val="en-GB"/>
              </w:rPr>
              <w:t>Medium</w:t>
            </w:r>
          </w:p>
        </w:tc>
      </w:tr>
      <w:tr w:rsidR="00D702A5" w:rsidRPr="00F40F84" w14:paraId="5C88E740" w14:textId="77777777" w:rsidTr="00AE63C4">
        <w:trPr>
          <w:trHeight w:val="418"/>
        </w:trPr>
        <w:tc>
          <w:tcPr>
            <w:cnfStyle w:val="001000000000" w:firstRow="0" w:lastRow="0" w:firstColumn="1" w:lastColumn="0" w:oddVBand="0" w:evenVBand="0" w:oddHBand="0" w:evenHBand="0" w:firstRowFirstColumn="0" w:firstRowLastColumn="0" w:lastRowFirstColumn="0" w:lastRowLastColumn="0"/>
            <w:tcW w:w="547" w:type="pct"/>
            <w:vMerge w:val="restart"/>
            <w:shd w:val="clear" w:color="auto" w:fill="FFFFFF" w:themeFill="background1"/>
            <w:hideMark/>
          </w:tcPr>
          <w:p w14:paraId="44B868F9" w14:textId="77777777" w:rsidR="005F4385" w:rsidRPr="00163523" w:rsidRDefault="005F4385" w:rsidP="00FB4738">
            <w:pPr>
              <w:spacing w:line="240" w:lineRule="auto"/>
              <w:ind w:left="0"/>
              <w:rPr>
                <w:sz w:val="16"/>
                <w:szCs w:val="16"/>
                <w:lang w:val="en-GB"/>
              </w:rPr>
            </w:pPr>
            <w:r w:rsidRPr="00F40F84">
              <w:rPr>
                <w:b/>
                <w:bCs/>
                <w:sz w:val="16"/>
                <w:szCs w:val="16"/>
                <w:lang w:val="en-GB"/>
              </w:rPr>
              <w:t>Energy markets</w:t>
            </w:r>
          </w:p>
        </w:tc>
        <w:tc>
          <w:tcPr>
            <w:tcW w:w="328" w:type="pct"/>
            <w:shd w:val="clear" w:color="auto" w:fill="FFFFFF" w:themeFill="background1"/>
          </w:tcPr>
          <w:p w14:paraId="719FF092" w14:textId="77777777" w:rsidR="005F4385" w:rsidRPr="00F40F84" w:rsidRDefault="005F4385" w:rsidP="00FB4738">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F40F84">
              <w:rPr>
                <w:sz w:val="16"/>
                <w:szCs w:val="16"/>
                <w:lang w:val="en-GB"/>
              </w:rPr>
              <w:t>4</w:t>
            </w:r>
          </w:p>
        </w:tc>
        <w:tc>
          <w:tcPr>
            <w:tcW w:w="2536" w:type="pct"/>
            <w:shd w:val="clear" w:color="auto" w:fill="FFFFFF" w:themeFill="background1"/>
            <w:hideMark/>
          </w:tcPr>
          <w:p w14:paraId="1FDD0242" w14:textId="77777777" w:rsidR="005F4385" w:rsidRPr="00163523" w:rsidRDefault="005F4385" w:rsidP="00FB4738">
            <w:pPr>
              <w:spacing w:line="240" w:lineRule="auto"/>
              <w:ind w:left="0"/>
              <w:jc w:val="left"/>
              <w:cnfStyle w:val="000000000000" w:firstRow="0" w:lastRow="0" w:firstColumn="0" w:lastColumn="0" w:oddVBand="0" w:evenVBand="0" w:oddHBand="0" w:evenHBand="0" w:firstRowFirstColumn="0" w:firstRowLastColumn="0" w:lastRowFirstColumn="0" w:lastRowLastColumn="0"/>
              <w:rPr>
                <w:sz w:val="16"/>
                <w:szCs w:val="16"/>
                <w:lang w:val="en-GB"/>
              </w:rPr>
            </w:pPr>
            <w:r w:rsidRPr="00F40F84">
              <w:rPr>
                <w:sz w:val="16"/>
                <w:szCs w:val="16"/>
                <w:lang w:val="en-GB"/>
              </w:rPr>
              <w:t>Developments in global energy markets impact competitiveness of gas decarbonisation solutions</w:t>
            </w:r>
          </w:p>
        </w:tc>
        <w:tc>
          <w:tcPr>
            <w:tcW w:w="256" w:type="pct"/>
            <w:shd w:val="clear" w:color="auto" w:fill="FFFFFF" w:themeFill="background1"/>
          </w:tcPr>
          <w:p w14:paraId="7C64024A" w14:textId="271183E8" w:rsidR="005F4385" w:rsidRPr="00F40F84" w:rsidRDefault="005F4385" w:rsidP="00FB4738">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163523">
              <w:rPr>
                <w:rFonts w:ascii="Wingdings" w:eastAsia="Wingdings" w:hAnsi="Wingdings" w:cs="Wingdings"/>
                <w:b/>
                <w:color w:val="000000"/>
                <w:sz w:val="16"/>
                <w:szCs w:val="16"/>
                <w:lang w:val="en-GB" w:eastAsia="en-GB"/>
              </w:rPr>
              <w:t>ü</w:t>
            </w:r>
          </w:p>
        </w:tc>
        <w:tc>
          <w:tcPr>
            <w:tcW w:w="256" w:type="pct"/>
            <w:shd w:val="clear" w:color="auto" w:fill="FFFFFF" w:themeFill="background1"/>
          </w:tcPr>
          <w:p w14:paraId="23B8C34D" w14:textId="65FE28D4" w:rsidR="005F4385" w:rsidRPr="00F40F84" w:rsidRDefault="005F4385" w:rsidP="00FB4738">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163523">
              <w:rPr>
                <w:rFonts w:ascii="Wingdings" w:eastAsia="Wingdings" w:hAnsi="Wingdings" w:cs="Wingdings"/>
                <w:b/>
                <w:color w:val="000000"/>
                <w:sz w:val="16"/>
                <w:szCs w:val="16"/>
                <w:lang w:val="en-GB" w:eastAsia="en-GB"/>
              </w:rPr>
              <w:t>üü</w:t>
            </w:r>
          </w:p>
        </w:tc>
        <w:tc>
          <w:tcPr>
            <w:tcW w:w="256" w:type="pct"/>
            <w:shd w:val="clear" w:color="auto" w:fill="FFFFFF" w:themeFill="background1"/>
          </w:tcPr>
          <w:p w14:paraId="0229228A" w14:textId="62714D24" w:rsidR="005F4385" w:rsidRPr="00F40F84" w:rsidRDefault="005F4385" w:rsidP="00FB4738">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163523">
              <w:rPr>
                <w:rFonts w:ascii="Wingdings" w:eastAsia="Wingdings" w:hAnsi="Wingdings" w:cs="Wingdings"/>
                <w:b/>
                <w:color w:val="000000"/>
                <w:sz w:val="16"/>
                <w:szCs w:val="16"/>
                <w:lang w:val="en-GB" w:eastAsia="en-GB"/>
              </w:rPr>
              <w:t>ü</w:t>
            </w:r>
          </w:p>
        </w:tc>
        <w:tc>
          <w:tcPr>
            <w:tcW w:w="423" w:type="pct"/>
            <w:shd w:val="clear" w:color="auto" w:fill="FFE3A5" w:themeFill="accent4"/>
          </w:tcPr>
          <w:p w14:paraId="7F1EB922" w14:textId="0D4E1BF5" w:rsidR="005F4385" w:rsidRPr="00F40F84" w:rsidRDefault="005F4385" w:rsidP="00FB4738">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163523">
              <w:rPr>
                <w:rFonts w:eastAsia="Times New Roman"/>
                <w:b/>
                <w:color w:val="000000"/>
                <w:sz w:val="16"/>
                <w:szCs w:val="16"/>
                <w:lang w:val="en-GB" w:eastAsia="en-GB"/>
              </w:rPr>
              <w:t>Medium</w:t>
            </w:r>
          </w:p>
        </w:tc>
        <w:tc>
          <w:tcPr>
            <w:tcW w:w="398" w:type="pct"/>
            <w:shd w:val="clear" w:color="auto" w:fill="FFE3A5" w:themeFill="accent4"/>
          </w:tcPr>
          <w:p w14:paraId="58B1459D" w14:textId="11450A0D" w:rsidR="005F4385" w:rsidRPr="00F40F84" w:rsidRDefault="005F4385" w:rsidP="00FB4738">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163523">
              <w:rPr>
                <w:rFonts w:eastAsia="Arial"/>
                <w:b/>
                <w:sz w:val="16"/>
                <w:szCs w:val="16"/>
                <w:lang w:val="en-GB"/>
              </w:rPr>
              <w:t>Medium</w:t>
            </w:r>
          </w:p>
        </w:tc>
      </w:tr>
      <w:tr w:rsidR="00D702A5" w:rsidRPr="00F40F84" w14:paraId="03B415BC" w14:textId="77777777" w:rsidTr="00AE63C4">
        <w:trPr>
          <w:trHeight w:val="418"/>
        </w:trPr>
        <w:tc>
          <w:tcPr>
            <w:cnfStyle w:val="001000000000" w:firstRow="0" w:lastRow="0" w:firstColumn="1" w:lastColumn="0" w:oddVBand="0" w:evenVBand="0" w:oddHBand="0" w:evenHBand="0" w:firstRowFirstColumn="0" w:firstRowLastColumn="0" w:lastRowFirstColumn="0" w:lastRowLastColumn="0"/>
            <w:tcW w:w="547" w:type="pct"/>
            <w:vMerge/>
            <w:shd w:val="clear" w:color="auto" w:fill="FFFFFF" w:themeFill="background1"/>
          </w:tcPr>
          <w:p w14:paraId="0B1C7651" w14:textId="77777777" w:rsidR="005F4385" w:rsidRPr="00163523" w:rsidRDefault="005F4385" w:rsidP="00FB4738">
            <w:pPr>
              <w:spacing w:line="240" w:lineRule="auto"/>
              <w:ind w:left="0"/>
              <w:rPr>
                <w:sz w:val="16"/>
                <w:szCs w:val="16"/>
                <w:lang w:val="en-GB"/>
              </w:rPr>
            </w:pPr>
          </w:p>
        </w:tc>
        <w:tc>
          <w:tcPr>
            <w:tcW w:w="328" w:type="pct"/>
            <w:shd w:val="clear" w:color="auto" w:fill="FFFFFF" w:themeFill="background1"/>
          </w:tcPr>
          <w:p w14:paraId="5DF3C2C3" w14:textId="77777777" w:rsidR="005F4385" w:rsidRPr="00F40F84" w:rsidRDefault="005F4385" w:rsidP="00FB4738">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F40F84">
              <w:rPr>
                <w:sz w:val="16"/>
                <w:szCs w:val="16"/>
                <w:lang w:val="en-GB"/>
              </w:rPr>
              <w:t>5</w:t>
            </w:r>
          </w:p>
        </w:tc>
        <w:tc>
          <w:tcPr>
            <w:tcW w:w="2536" w:type="pct"/>
            <w:shd w:val="clear" w:color="auto" w:fill="FFFFFF" w:themeFill="background1"/>
          </w:tcPr>
          <w:p w14:paraId="6B839BAA" w14:textId="77777777" w:rsidR="005F4385" w:rsidRPr="00F40F84" w:rsidRDefault="005F4385" w:rsidP="00FB4738">
            <w:pPr>
              <w:spacing w:line="240" w:lineRule="auto"/>
              <w:ind w:left="0"/>
              <w:jc w:val="left"/>
              <w:cnfStyle w:val="000000000000" w:firstRow="0" w:lastRow="0" w:firstColumn="0" w:lastColumn="0" w:oddVBand="0" w:evenVBand="0" w:oddHBand="0" w:evenHBand="0" w:firstRowFirstColumn="0" w:firstRowLastColumn="0" w:lastRowFirstColumn="0" w:lastRowLastColumn="0"/>
              <w:rPr>
                <w:sz w:val="16"/>
                <w:szCs w:val="16"/>
                <w:lang w:val="en-GB"/>
              </w:rPr>
            </w:pPr>
            <w:r w:rsidRPr="00F40F84">
              <w:rPr>
                <w:sz w:val="16"/>
                <w:szCs w:val="16"/>
                <w:lang w:val="en-GB"/>
              </w:rPr>
              <w:t>Fragmentation of regional/national gas networks and markets</w:t>
            </w:r>
          </w:p>
        </w:tc>
        <w:tc>
          <w:tcPr>
            <w:tcW w:w="256" w:type="pct"/>
            <w:shd w:val="clear" w:color="auto" w:fill="FFFFFF" w:themeFill="background1"/>
          </w:tcPr>
          <w:p w14:paraId="61CF31C6" w14:textId="26EA6383" w:rsidR="005F4385" w:rsidRPr="00F40F84" w:rsidRDefault="005F4385" w:rsidP="00FB4738">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163523">
              <w:rPr>
                <w:rFonts w:ascii="Wingdings" w:eastAsia="Wingdings" w:hAnsi="Wingdings" w:cs="Wingdings"/>
                <w:b/>
                <w:color w:val="000000"/>
                <w:sz w:val="16"/>
                <w:szCs w:val="16"/>
                <w:lang w:val="en-GB" w:eastAsia="en-GB"/>
              </w:rPr>
              <w:t>ü</w:t>
            </w:r>
          </w:p>
        </w:tc>
        <w:tc>
          <w:tcPr>
            <w:tcW w:w="256" w:type="pct"/>
            <w:shd w:val="clear" w:color="auto" w:fill="FFFFFF" w:themeFill="background1"/>
          </w:tcPr>
          <w:p w14:paraId="64B5534B" w14:textId="3CF1C727" w:rsidR="005F4385" w:rsidRPr="00F40F84" w:rsidRDefault="005F4385" w:rsidP="00FB4738">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163523">
              <w:rPr>
                <w:rFonts w:ascii="Wingdings" w:eastAsia="Wingdings" w:hAnsi="Wingdings" w:cs="Wingdings"/>
                <w:b/>
                <w:color w:val="000000"/>
                <w:sz w:val="16"/>
                <w:szCs w:val="16"/>
                <w:lang w:val="en-GB" w:eastAsia="en-GB"/>
              </w:rPr>
              <w:t>üü</w:t>
            </w:r>
          </w:p>
        </w:tc>
        <w:tc>
          <w:tcPr>
            <w:tcW w:w="256" w:type="pct"/>
            <w:shd w:val="clear" w:color="auto" w:fill="FFFFFF" w:themeFill="background1"/>
          </w:tcPr>
          <w:p w14:paraId="1B494056" w14:textId="2271F85D" w:rsidR="005F4385" w:rsidRPr="00F40F84" w:rsidRDefault="005F4385" w:rsidP="00FB4738">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163523">
              <w:rPr>
                <w:rFonts w:ascii="Wingdings" w:eastAsia="Wingdings" w:hAnsi="Wingdings" w:cs="Wingdings"/>
                <w:b/>
                <w:color w:val="000000"/>
                <w:sz w:val="16"/>
                <w:szCs w:val="16"/>
                <w:lang w:val="en-GB" w:eastAsia="en-GB"/>
              </w:rPr>
              <w:t>ü</w:t>
            </w:r>
          </w:p>
        </w:tc>
        <w:tc>
          <w:tcPr>
            <w:tcW w:w="423" w:type="pct"/>
            <w:shd w:val="clear" w:color="auto" w:fill="FFE3A5" w:themeFill="accent4"/>
          </w:tcPr>
          <w:p w14:paraId="6435DFC8" w14:textId="228F083A" w:rsidR="005F4385" w:rsidRPr="00F40F84" w:rsidRDefault="005F4385" w:rsidP="00FB4738">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163523">
              <w:rPr>
                <w:rFonts w:eastAsia="Arial"/>
                <w:b/>
                <w:sz w:val="16"/>
                <w:szCs w:val="16"/>
                <w:lang w:val="en-GB"/>
              </w:rPr>
              <w:t>Medium</w:t>
            </w:r>
          </w:p>
        </w:tc>
        <w:tc>
          <w:tcPr>
            <w:tcW w:w="398" w:type="pct"/>
            <w:shd w:val="clear" w:color="auto" w:fill="FFE3A5" w:themeFill="accent4"/>
          </w:tcPr>
          <w:p w14:paraId="01D6F2DF" w14:textId="527B8274" w:rsidR="005F4385" w:rsidRPr="00F40F84" w:rsidRDefault="005F4385" w:rsidP="00FB4738">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163523">
              <w:rPr>
                <w:rFonts w:eastAsia="Arial"/>
                <w:b/>
                <w:sz w:val="16"/>
                <w:szCs w:val="16"/>
                <w:lang w:val="en-GB"/>
              </w:rPr>
              <w:t>Medium</w:t>
            </w:r>
          </w:p>
        </w:tc>
      </w:tr>
      <w:tr w:rsidR="00D702A5" w:rsidRPr="00F40F84" w14:paraId="08E2915A" w14:textId="77777777" w:rsidTr="00AE63C4">
        <w:trPr>
          <w:trHeight w:val="418"/>
        </w:trPr>
        <w:tc>
          <w:tcPr>
            <w:cnfStyle w:val="001000000000" w:firstRow="0" w:lastRow="0" w:firstColumn="1" w:lastColumn="0" w:oddVBand="0" w:evenVBand="0" w:oddHBand="0" w:evenHBand="0" w:firstRowFirstColumn="0" w:firstRowLastColumn="0" w:lastRowFirstColumn="0" w:lastRowLastColumn="0"/>
            <w:tcW w:w="547" w:type="pct"/>
            <w:vMerge/>
            <w:shd w:val="clear" w:color="auto" w:fill="FFFFFF" w:themeFill="background1"/>
            <w:hideMark/>
          </w:tcPr>
          <w:p w14:paraId="2EB28592" w14:textId="77777777" w:rsidR="005F4385" w:rsidRPr="00163523" w:rsidRDefault="005F4385" w:rsidP="00D524D4">
            <w:pPr>
              <w:spacing w:line="240" w:lineRule="auto"/>
              <w:ind w:left="0"/>
              <w:rPr>
                <w:sz w:val="16"/>
                <w:szCs w:val="16"/>
                <w:lang w:val="en-GB"/>
              </w:rPr>
            </w:pPr>
          </w:p>
        </w:tc>
        <w:tc>
          <w:tcPr>
            <w:tcW w:w="328" w:type="pct"/>
            <w:shd w:val="clear" w:color="auto" w:fill="FFFFFF" w:themeFill="background1"/>
          </w:tcPr>
          <w:p w14:paraId="11BAF554" w14:textId="77777777" w:rsidR="005F4385" w:rsidRPr="00F40F84" w:rsidRDefault="005F4385" w:rsidP="00D524D4">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F40F84">
              <w:rPr>
                <w:sz w:val="16"/>
                <w:szCs w:val="16"/>
                <w:lang w:val="en-GB"/>
              </w:rPr>
              <w:t>6</w:t>
            </w:r>
          </w:p>
        </w:tc>
        <w:tc>
          <w:tcPr>
            <w:tcW w:w="2536" w:type="pct"/>
            <w:shd w:val="clear" w:color="auto" w:fill="FFFFFF" w:themeFill="background1"/>
            <w:hideMark/>
          </w:tcPr>
          <w:p w14:paraId="4C624F56" w14:textId="77777777" w:rsidR="005F4385" w:rsidRPr="00163523" w:rsidRDefault="005F4385" w:rsidP="00D524D4">
            <w:pPr>
              <w:spacing w:line="240" w:lineRule="auto"/>
              <w:ind w:left="0"/>
              <w:jc w:val="left"/>
              <w:cnfStyle w:val="000000000000" w:firstRow="0" w:lastRow="0" w:firstColumn="0" w:lastColumn="0" w:oddVBand="0" w:evenVBand="0" w:oddHBand="0" w:evenHBand="0" w:firstRowFirstColumn="0" w:firstRowLastColumn="0" w:lastRowFirstColumn="0" w:lastRowLastColumn="0"/>
              <w:rPr>
                <w:sz w:val="16"/>
                <w:szCs w:val="16"/>
                <w:lang w:val="en-GB"/>
              </w:rPr>
            </w:pPr>
            <w:r w:rsidRPr="00F40F84">
              <w:rPr>
                <w:sz w:val="16"/>
                <w:szCs w:val="16"/>
                <w:lang w:val="en-GB"/>
              </w:rPr>
              <w:t>Infrastructure cannot be adequately or timely developed, including repurposing or adaptation of natural gas infrastructure</w:t>
            </w:r>
          </w:p>
        </w:tc>
        <w:tc>
          <w:tcPr>
            <w:tcW w:w="256" w:type="pct"/>
            <w:shd w:val="clear" w:color="auto" w:fill="FFFFFF" w:themeFill="background1"/>
          </w:tcPr>
          <w:p w14:paraId="45D4F1F6" w14:textId="77777777" w:rsidR="005F4385" w:rsidRPr="00F40F84" w:rsidRDefault="005F4385" w:rsidP="00D524D4">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p>
        </w:tc>
        <w:tc>
          <w:tcPr>
            <w:tcW w:w="256" w:type="pct"/>
            <w:shd w:val="clear" w:color="auto" w:fill="FFFFFF" w:themeFill="background1"/>
          </w:tcPr>
          <w:p w14:paraId="15534E66" w14:textId="107A9AD5" w:rsidR="005F4385" w:rsidRPr="00F40F84" w:rsidRDefault="005F4385" w:rsidP="00D524D4">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163523">
              <w:rPr>
                <w:rFonts w:ascii="Wingdings" w:eastAsia="Wingdings" w:hAnsi="Wingdings" w:cs="Wingdings"/>
                <w:b/>
                <w:color w:val="000000"/>
                <w:sz w:val="16"/>
                <w:szCs w:val="16"/>
                <w:lang w:val="en-GB" w:eastAsia="en-GB"/>
              </w:rPr>
              <w:t>üü</w:t>
            </w:r>
          </w:p>
        </w:tc>
        <w:tc>
          <w:tcPr>
            <w:tcW w:w="256" w:type="pct"/>
            <w:shd w:val="clear" w:color="auto" w:fill="FFFFFF" w:themeFill="background1"/>
          </w:tcPr>
          <w:p w14:paraId="37F36557" w14:textId="77777777" w:rsidR="005F4385" w:rsidRPr="00F40F84" w:rsidRDefault="005F4385" w:rsidP="00D524D4">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p>
        </w:tc>
        <w:tc>
          <w:tcPr>
            <w:tcW w:w="423" w:type="pct"/>
            <w:shd w:val="clear" w:color="auto" w:fill="E0EBEB" w:themeFill="accent3" w:themeFillTint="66"/>
          </w:tcPr>
          <w:p w14:paraId="0F837C9F" w14:textId="74924A4E" w:rsidR="005F4385" w:rsidRPr="00F40F84" w:rsidRDefault="005F4385" w:rsidP="00D524D4">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163523">
              <w:rPr>
                <w:rFonts w:eastAsia="Times New Roman"/>
                <w:b/>
                <w:color w:val="000000"/>
                <w:sz w:val="16"/>
                <w:szCs w:val="16"/>
                <w:lang w:val="en-GB" w:eastAsia="en-GB"/>
              </w:rPr>
              <w:t>Low</w:t>
            </w:r>
          </w:p>
        </w:tc>
        <w:tc>
          <w:tcPr>
            <w:tcW w:w="398" w:type="pct"/>
            <w:shd w:val="clear" w:color="auto" w:fill="F9B7AC" w:themeFill="accent2" w:themeFillTint="66"/>
          </w:tcPr>
          <w:p w14:paraId="42509436" w14:textId="5847C604" w:rsidR="005F4385" w:rsidRPr="00F40F84" w:rsidRDefault="005F4385" w:rsidP="00D524D4">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163523">
              <w:rPr>
                <w:rFonts w:eastAsia="Arial"/>
                <w:b/>
                <w:sz w:val="16"/>
                <w:szCs w:val="16"/>
                <w:lang w:val="en-GB"/>
              </w:rPr>
              <w:t>High</w:t>
            </w:r>
          </w:p>
        </w:tc>
      </w:tr>
      <w:tr w:rsidR="00D702A5" w:rsidRPr="00F40F84" w14:paraId="270B7E0E" w14:textId="77777777" w:rsidTr="00AE63C4">
        <w:trPr>
          <w:trHeight w:val="418"/>
        </w:trPr>
        <w:tc>
          <w:tcPr>
            <w:cnfStyle w:val="001000000000" w:firstRow="0" w:lastRow="0" w:firstColumn="1" w:lastColumn="0" w:oddVBand="0" w:evenVBand="0" w:oddHBand="0" w:evenHBand="0" w:firstRowFirstColumn="0" w:firstRowLastColumn="0" w:lastRowFirstColumn="0" w:lastRowLastColumn="0"/>
            <w:tcW w:w="547" w:type="pct"/>
            <w:vMerge/>
            <w:shd w:val="clear" w:color="auto" w:fill="FFFFFF" w:themeFill="background1"/>
            <w:hideMark/>
          </w:tcPr>
          <w:p w14:paraId="76EED66D" w14:textId="77777777" w:rsidR="005F4385" w:rsidRPr="00163523" w:rsidRDefault="005F4385" w:rsidP="00537311">
            <w:pPr>
              <w:spacing w:line="240" w:lineRule="auto"/>
              <w:ind w:left="0"/>
              <w:rPr>
                <w:sz w:val="16"/>
                <w:szCs w:val="16"/>
                <w:lang w:val="en-GB"/>
              </w:rPr>
            </w:pPr>
          </w:p>
        </w:tc>
        <w:tc>
          <w:tcPr>
            <w:tcW w:w="328" w:type="pct"/>
            <w:shd w:val="clear" w:color="auto" w:fill="FFFFFF" w:themeFill="background1"/>
          </w:tcPr>
          <w:p w14:paraId="43A4FE4C" w14:textId="77777777" w:rsidR="005F4385" w:rsidRPr="00F40F84" w:rsidRDefault="005F4385" w:rsidP="00537311">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F40F84">
              <w:rPr>
                <w:sz w:val="16"/>
                <w:szCs w:val="16"/>
                <w:lang w:val="en-GB"/>
              </w:rPr>
              <w:t>7</w:t>
            </w:r>
          </w:p>
        </w:tc>
        <w:tc>
          <w:tcPr>
            <w:tcW w:w="2536" w:type="pct"/>
            <w:shd w:val="clear" w:color="auto" w:fill="FFFFFF" w:themeFill="background1"/>
            <w:hideMark/>
          </w:tcPr>
          <w:p w14:paraId="2BBC7643" w14:textId="77777777" w:rsidR="005F4385" w:rsidRPr="00163523" w:rsidRDefault="005F4385" w:rsidP="00537311">
            <w:pPr>
              <w:spacing w:line="240" w:lineRule="auto"/>
              <w:ind w:left="0"/>
              <w:jc w:val="left"/>
              <w:cnfStyle w:val="000000000000" w:firstRow="0" w:lastRow="0" w:firstColumn="0" w:lastColumn="0" w:oddVBand="0" w:evenVBand="0" w:oddHBand="0" w:evenHBand="0" w:firstRowFirstColumn="0" w:firstRowLastColumn="0" w:lastRowFirstColumn="0" w:lastRowLastColumn="0"/>
              <w:rPr>
                <w:sz w:val="16"/>
                <w:szCs w:val="16"/>
                <w:lang w:val="en-GB"/>
              </w:rPr>
            </w:pPr>
            <w:r w:rsidRPr="00F40F84">
              <w:rPr>
                <w:sz w:val="16"/>
                <w:szCs w:val="16"/>
                <w:lang w:val="en-GB"/>
              </w:rPr>
              <w:t>Security of gas supply can be threatened due to adequacy/flexibility issues of domestic/regional energy system</w:t>
            </w:r>
          </w:p>
        </w:tc>
        <w:tc>
          <w:tcPr>
            <w:tcW w:w="256" w:type="pct"/>
            <w:shd w:val="clear" w:color="auto" w:fill="FFFFFF" w:themeFill="background1"/>
          </w:tcPr>
          <w:p w14:paraId="5B47DC69" w14:textId="77777777" w:rsidR="005F4385" w:rsidRPr="00F40F84" w:rsidRDefault="005F4385" w:rsidP="00537311">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p>
        </w:tc>
        <w:tc>
          <w:tcPr>
            <w:tcW w:w="256" w:type="pct"/>
            <w:shd w:val="clear" w:color="auto" w:fill="FFFFFF" w:themeFill="background1"/>
          </w:tcPr>
          <w:p w14:paraId="6EDF813B" w14:textId="08FFDB56" w:rsidR="005F4385" w:rsidRPr="00163523" w:rsidRDefault="005F4385" w:rsidP="00537311">
            <w:pPr>
              <w:spacing w:line="240" w:lineRule="auto"/>
              <w:ind w:left="0"/>
              <w:cnfStyle w:val="000000000000" w:firstRow="0" w:lastRow="0" w:firstColumn="0" w:lastColumn="0" w:oddVBand="0" w:evenVBand="0" w:oddHBand="0" w:evenHBand="0" w:firstRowFirstColumn="0" w:firstRowLastColumn="0" w:lastRowFirstColumn="0" w:lastRowLastColumn="0"/>
              <w:rPr>
                <w:rFonts w:eastAsia="Times New Roman"/>
                <w:b/>
                <w:color w:val="000000"/>
                <w:sz w:val="16"/>
                <w:szCs w:val="16"/>
                <w:lang w:val="en-GB" w:eastAsia="en-GB"/>
              </w:rPr>
            </w:pPr>
            <w:r w:rsidRPr="00163523">
              <w:rPr>
                <w:rFonts w:ascii="Wingdings" w:eastAsia="Wingdings" w:hAnsi="Wingdings" w:cs="Wingdings"/>
                <w:b/>
                <w:color w:val="000000"/>
                <w:sz w:val="16"/>
                <w:szCs w:val="16"/>
                <w:lang w:val="en-GB" w:eastAsia="en-GB"/>
              </w:rPr>
              <w:t>üü</w:t>
            </w:r>
          </w:p>
        </w:tc>
        <w:tc>
          <w:tcPr>
            <w:tcW w:w="256" w:type="pct"/>
            <w:shd w:val="clear" w:color="auto" w:fill="FFFFFF" w:themeFill="background1"/>
          </w:tcPr>
          <w:p w14:paraId="0F6DB384" w14:textId="77777777" w:rsidR="005F4385" w:rsidRPr="00F40F84" w:rsidRDefault="005F4385" w:rsidP="00537311">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p>
        </w:tc>
        <w:tc>
          <w:tcPr>
            <w:tcW w:w="423" w:type="pct"/>
            <w:shd w:val="clear" w:color="auto" w:fill="F9B7AC" w:themeFill="accent2" w:themeFillTint="66"/>
          </w:tcPr>
          <w:p w14:paraId="7E8C84D3" w14:textId="1C663D34" w:rsidR="005F4385" w:rsidRPr="00F40F84" w:rsidRDefault="005F4385" w:rsidP="00537311">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163523">
              <w:rPr>
                <w:rFonts w:eastAsia="Times New Roman"/>
                <w:b/>
                <w:color w:val="000000"/>
                <w:sz w:val="16"/>
                <w:szCs w:val="16"/>
                <w:lang w:val="en-GB" w:eastAsia="en-GB"/>
              </w:rPr>
              <w:t>High</w:t>
            </w:r>
          </w:p>
        </w:tc>
        <w:tc>
          <w:tcPr>
            <w:tcW w:w="398" w:type="pct"/>
            <w:shd w:val="clear" w:color="auto" w:fill="E0EBEB" w:themeFill="accent3" w:themeFillTint="66"/>
          </w:tcPr>
          <w:p w14:paraId="6FD0837E" w14:textId="4B1E9E50" w:rsidR="005F4385" w:rsidRPr="00F40F84" w:rsidRDefault="005F4385" w:rsidP="00537311">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163523">
              <w:rPr>
                <w:rFonts w:eastAsia="Arial"/>
                <w:b/>
                <w:sz w:val="16"/>
                <w:szCs w:val="16"/>
                <w:lang w:val="en-GB"/>
              </w:rPr>
              <w:t>Low</w:t>
            </w:r>
          </w:p>
        </w:tc>
      </w:tr>
      <w:tr w:rsidR="00D702A5" w:rsidRPr="00F40F84" w14:paraId="59228984" w14:textId="77777777" w:rsidTr="00AE63C4">
        <w:trPr>
          <w:trHeight w:val="418"/>
        </w:trPr>
        <w:tc>
          <w:tcPr>
            <w:cnfStyle w:val="001000000000" w:firstRow="0" w:lastRow="0" w:firstColumn="1" w:lastColumn="0" w:oddVBand="0" w:evenVBand="0" w:oddHBand="0" w:evenHBand="0" w:firstRowFirstColumn="0" w:firstRowLastColumn="0" w:lastRowFirstColumn="0" w:lastRowLastColumn="0"/>
            <w:tcW w:w="547" w:type="pct"/>
            <w:vMerge/>
            <w:shd w:val="clear" w:color="auto" w:fill="FFFFFF" w:themeFill="background1"/>
            <w:hideMark/>
          </w:tcPr>
          <w:p w14:paraId="7EEFABF5" w14:textId="77777777" w:rsidR="005F4385" w:rsidRPr="00163523" w:rsidRDefault="005F4385" w:rsidP="00AD5E89">
            <w:pPr>
              <w:spacing w:line="240" w:lineRule="auto"/>
              <w:ind w:left="0"/>
              <w:rPr>
                <w:sz w:val="16"/>
                <w:szCs w:val="16"/>
                <w:lang w:val="en-GB"/>
              </w:rPr>
            </w:pPr>
          </w:p>
        </w:tc>
        <w:tc>
          <w:tcPr>
            <w:tcW w:w="328" w:type="pct"/>
            <w:shd w:val="clear" w:color="auto" w:fill="FFFFFF" w:themeFill="background1"/>
          </w:tcPr>
          <w:p w14:paraId="4BA4E424" w14:textId="77777777" w:rsidR="005F4385" w:rsidRPr="00F40F84" w:rsidRDefault="005F4385" w:rsidP="00AD5E89">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F40F84">
              <w:rPr>
                <w:sz w:val="16"/>
                <w:szCs w:val="16"/>
                <w:lang w:val="en-GB"/>
              </w:rPr>
              <w:t>8</w:t>
            </w:r>
          </w:p>
        </w:tc>
        <w:tc>
          <w:tcPr>
            <w:tcW w:w="2536" w:type="pct"/>
            <w:shd w:val="clear" w:color="auto" w:fill="FFFFFF" w:themeFill="background1"/>
            <w:hideMark/>
          </w:tcPr>
          <w:p w14:paraId="0FD128F3" w14:textId="77777777" w:rsidR="005F4385" w:rsidRPr="00163523" w:rsidRDefault="005F4385" w:rsidP="00AD5E89">
            <w:pPr>
              <w:spacing w:line="240" w:lineRule="auto"/>
              <w:ind w:left="0"/>
              <w:jc w:val="left"/>
              <w:cnfStyle w:val="000000000000" w:firstRow="0" w:lastRow="0" w:firstColumn="0" w:lastColumn="0" w:oddVBand="0" w:evenVBand="0" w:oddHBand="0" w:evenHBand="0" w:firstRowFirstColumn="0" w:firstRowLastColumn="0" w:lastRowFirstColumn="0" w:lastRowLastColumn="0"/>
              <w:rPr>
                <w:sz w:val="16"/>
                <w:szCs w:val="16"/>
                <w:lang w:val="en-GB"/>
              </w:rPr>
            </w:pPr>
            <w:r w:rsidRPr="00F40F84">
              <w:rPr>
                <w:sz w:val="16"/>
                <w:szCs w:val="16"/>
                <w:lang w:val="en-GB"/>
              </w:rPr>
              <w:t>Security of gas supply can be threatened due to external energy dependence</w:t>
            </w:r>
          </w:p>
        </w:tc>
        <w:tc>
          <w:tcPr>
            <w:tcW w:w="256" w:type="pct"/>
            <w:shd w:val="clear" w:color="auto" w:fill="FFFFFF" w:themeFill="background1"/>
          </w:tcPr>
          <w:p w14:paraId="7526823D" w14:textId="6A685579" w:rsidR="005F4385" w:rsidRPr="00F40F84" w:rsidRDefault="005F4385" w:rsidP="00AD5E89">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163523">
              <w:rPr>
                <w:rFonts w:ascii="Wingdings" w:eastAsia="Wingdings" w:hAnsi="Wingdings" w:cs="Wingdings"/>
                <w:b/>
                <w:color w:val="000000"/>
                <w:sz w:val="16"/>
                <w:szCs w:val="16"/>
                <w:lang w:val="en-GB" w:eastAsia="en-GB"/>
              </w:rPr>
              <w:t>ü</w:t>
            </w:r>
          </w:p>
        </w:tc>
        <w:tc>
          <w:tcPr>
            <w:tcW w:w="256" w:type="pct"/>
            <w:shd w:val="clear" w:color="auto" w:fill="FFFFFF" w:themeFill="background1"/>
          </w:tcPr>
          <w:p w14:paraId="615F4DCD" w14:textId="0E31BA93" w:rsidR="005F4385" w:rsidRPr="00F40F84" w:rsidRDefault="005F4385" w:rsidP="00AD5E89">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163523">
              <w:rPr>
                <w:rFonts w:ascii="Wingdings" w:eastAsia="Wingdings" w:hAnsi="Wingdings" w:cs="Wingdings"/>
                <w:b/>
                <w:color w:val="000000"/>
                <w:sz w:val="16"/>
                <w:szCs w:val="16"/>
                <w:lang w:val="en-GB" w:eastAsia="en-GB"/>
              </w:rPr>
              <w:t>ü</w:t>
            </w:r>
          </w:p>
        </w:tc>
        <w:tc>
          <w:tcPr>
            <w:tcW w:w="256" w:type="pct"/>
            <w:shd w:val="clear" w:color="auto" w:fill="FFFFFF" w:themeFill="background1"/>
          </w:tcPr>
          <w:p w14:paraId="2038A431" w14:textId="41E74CD7" w:rsidR="005F4385" w:rsidRPr="00F40F84" w:rsidRDefault="005F4385" w:rsidP="00AD5E89">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163523">
              <w:rPr>
                <w:rFonts w:ascii="Wingdings" w:eastAsia="Wingdings" w:hAnsi="Wingdings" w:cs="Wingdings"/>
                <w:b/>
                <w:color w:val="000000"/>
                <w:sz w:val="16"/>
                <w:szCs w:val="16"/>
                <w:lang w:val="en-GB" w:eastAsia="en-GB"/>
              </w:rPr>
              <w:t>ü</w:t>
            </w:r>
          </w:p>
        </w:tc>
        <w:tc>
          <w:tcPr>
            <w:tcW w:w="423" w:type="pct"/>
            <w:shd w:val="clear" w:color="auto" w:fill="E0EBEB" w:themeFill="accent3" w:themeFillTint="66"/>
          </w:tcPr>
          <w:p w14:paraId="37FFA2CD" w14:textId="5D1E1AD8" w:rsidR="005F4385" w:rsidRPr="00F40F84" w:rsidRDefault="005F4385" w:rsidP="00AD5E89">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163523">
              <w:rPr>
                <w:rFonts w:eastAsia="Times New Roman"/>
                <w:b/>
                <w:color w:val="000000"/>
                <w:sz w:val="16"/>
                <w:szCs w:val="16"/>
                <w:lang w:val="en-GB" w:eastAsia="en-GB"/>
              </w:rPr>
              <w:t>Low</w:t>
            </w:r>
          </w:p>
        </w:tc>
        <w:tc>
          <w:tcPr>
            <w:tcW w:w="398" w:type="pct"/>
            <w:shd w:val="clear" w:color="auto" w:fill="F9B7AC" w:themeFill="accent2" w:themeFillTint="66"/>
          </w:tcPr>
          <w:p w14:paraId="65155262" w14:textId="6C628D9A" w:rsidR="005F4385" w:rsidRPr="00F40F84" w:rsidRDefault="005F4385" w:rsidP="00AD5E89">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163523">
              <w:rPr>
                <w:rFonts w:eastAsia="Arial"/>
                <w:b/>
                <w:sz w:val="16"/>
                <w:szCs w:val="16"/>
                <w:lang w:val="en-GB"/>
              </w:rPr>
              <w:t>High</w:t>
            </w:r>
          </w:p>
        </w:tc>
      </w:tr>
      <w:tr w:rsidR="00D702A5" w:rsidRPr="00567ED1" w14:paraId="66875943" w14:textId="77777777" w:rsidTr="00A61026">
        <w:trPr>
          <w:trHeight w:val="418"/>
        </w:trPr>
        <w:tc>
          <w:tcPr>
            <w:cnfStyle w:val="001000000000" w:firstRow="0" w:lastRow="0" w:firstColumn="1" w:lastColumn="0" w:oddVBand="0" w:evenVBand="0" w:oddHBand="0" w:evenHBand="0" w:firstRowFirstColumn="0" w:firstRowLastColumn="0" w:lastRowFirstColumn="0" w:lastRowLastColumn="0"/>
            <w:tcW w:w="547" w:type="pct"/>
            <w:vMerge/>
            <w:shd w:val="clear" w:color="auto" w:fill="FFFFFF" w:themeFill="background1"/>
            <w:hideMark/>
          </w:tcPr>
          <w:p w14:paraId="1D027315" w14:textId="77777777" w:rsidR="005F4385" w:rsidRPr="00163523" w:rsidRDefault="005F4385">
            <w:pPr>
              <w:spacing w:line="240" w:lineRule="auto"/>
              <w:ind w:left="0"/>
              <w:rPr>
                <w:sz w:val="16"/>
                <w:szCs w:val="16"/>
                <w:lang w:val="en-GB"/>
              </w:rPr>
            </w:pPr>
          </w:p>
        </w:tc>
        <w:tc>
          <w:tcPr>
            <w:tcW w:w="328" w:type="pct"/>
            <w:shd w:val="clear" w:color="auto" w:fill="FFFFFF" w:themeFill="background1"/>
          </w:tcPr>
          <w:p w14:paraId="0205B636" w14:textId="77777777" w:rsidR="005F4385" w:rsidRPr="00F40F84" w:rsidRDefault="005F4385">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F40F84">
              <w:rPr>
                <w:sz w:val="16"/>
                <w:szCs w:val="16"/>
                <w:lang w:val="en-GB"/>
              </w:rPr>
              <w:t>9</w:t>
            </w:r>
          </w:p>
        </w:tc>
        <w:tc>
          <w:tcPr>
            <w:tcW w:w="2536" w:type="pct"/>
            <w:shd w:val="clear" w:color="auto" w:fill="FFFFFF" w:themeFill="background1"/>
            <w:hideMark/>
          </w:tcPr>
          <w:p w14:paraId="302BF755" w14:textId="77777777" w:rsidR="005F4385" w:rsidRPr="00163523" w:rsidRDefault="005F4385">
            <w:pPr>
              <w:spacing w:line="240" w:lineRule="auto"/>
              <w:ind w:left="0"/>
              <w:jc w:val="left"/>
              <w:cnfStyle w:val="000000000000" w:firstRow="0" w:lastRow="0" w:firstColumn="0" w:lastColumn="0" w:oddVBand="0" w:evenVBand="0" w:oddHBand="0" w:evenHBand="0" w:firstRowFirstColumn="0" w:firstRowLastColumn="0" w:lastRowFirstColumn="0" w:lastRowLastColumn="0"/>
              <w:rPr>
                <w:sz w:val="16"/>
                <w:szCs w:val="16"/>
                <w:lang w:val="en-GB"/>
              </w:rPr>
            </w:pPr>
            <w:r w:rsidRPr="00F40F84">
              <w:rPr>
                <w:sz w:val="16"/>
                <w:szCs w:val="16"/>
                <w:lang w:val="en-GB"/>
              </w:rPr>
              <w:t>Available inputs for production of R/LC gases, e.g. renewable electricity or biomass can be insufficient</w:t>
            </w:r>
          </w:p>
        </w:tc>
        <w:tc>
          <w:tcPr>
            <w:tcW w:w="256" w:type="pct"/>
            <w:shd w:val="clear" w:color="auto" w:fill="FFFFFF" w:themeFill="background1"/>
          </w:tcPr>
          <w:p w14:paraId="4C8FF6F2" w14:textId="17B1DFCF" w:rsidR="005F4385" w:rsidRPr="00F40F84" w:rsidRDefault="00632FD0">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163523">
              <w:rPr>
                <w:rFonts w:ascii="Wingdings" w:eastAsia="Wingdings" w:hAnsi="Wingdings" w:cs="Wingdings"/>
                <w:b/>
                <w:color w:val="000000"/>
                <w:sz w:val="16"/>
                <w:szCs w:val="16"/>
                <w:lang w:val="en-GB" w:eastAsia="en-GB"/>
              </w:rPr>
              <w:t>ü</w:t>
            </w:r>
            <w:r w:rsidR="00BA1C24" w:rsidRPr="00163523">
              <w:rPr>
                <w:rFonts w:ascii="Wingdings" w:eastAsia="Wingdings" w:hAnsi="Wingdings" w:cs="Wingdings"/>
                <w:b/>
                <w:color w:val="000000"/>
                <w:sz w:val="16"/>
                <w:szCs w:val="16"/>
                <w:lang w:val="en-GB" w:eastAsia="en-GB"/>
              </w:rPr>
              <w:t>ü</w:t>
            </w:r>
          </w:p>
        </w:tc>
        <w:tc>
          <w:tcPr>
            <w:tcW w:w="256" w:type="pct"/>
            <w:shd w:val="clear" w:color="auto" w:fill="FFFFFF" w:themeFill="background1"/>
          </w:tcPr>
          <w:p w14:paraId="4A0187E4" w14:textId="186938B9" w:rsidR="005F4385" w:rsidRPr="00F40F84" w:rsidRDefault="00632FD0">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163523">
              <w:rPr>
                <w:rFonts w:ascii="Wingdings" w:eastAsia="Wingdings" w:hAnsi="Wingdings" w:cs="Wingdings"/>
                <w:b/>
                <w:color w:val="000000"/>
                <w:sz w:val="16"/>
                <w:szCs w:val="16"/>
                <w:lang w:val="en-GB" w:eastAsia="en-GB"/>
              </w:rPr>
              <w:t>ü</w:t>
            </w:r>
            <w:r w:rsidR="00BA1C24" w:rsidRPr="00163523">
              <w:rPr>
                <w:rFonts w:ascii="Wingdings" w:eastAsia="Wingdings" w:hAnsi="Wingdings" w:cs="Wingdings"/>
                <w:b/>
                <w:color w:val="000000"/>
                <w:sz w:val="16"/>
                <w:szCs w:val="16"/>
                <w:lang w:val="en-GB" w:eastAsia="en-GB"/>
              </w:rPr>
              <w:t>ü</w:t>
            </w:r>
          </w:p>
        </w:tc>
        <w:tc>
          <w:tcPr>
            <w:tcW w:w="256" w:type="pct"/>
            <w:shd w:val="clear" w:color="auto" w:fill="FFFFFF" w:themeFill="background1"/>
          </w:tcPr>
          <w:p w14:paraId="37C717D6" w14:textId="403A5204" w:rsidR="005F4385" w:rsidRPr="00F40F84" w:rsidRDefault="00632FD0">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163523">
              <w:rPr>
                <w:rFonts w:ascii="Wingdings" w:eastAsia="Wingdings" w:hAnsi="Wingdings" w:cs="Wingdings"/>
                <w:b/>
                <w:color w:val="000000"/>
                <w:sz w:val="16"/>
                <w:szCs w:val="16"/>
                <w:lang w:val="en-GB" w:eastAsia="en-GB"/>
              </w:rPr>
              <w:t>ü</w:t>
            </w:r>
            <w:r w:rsidR="00BA1C24" w:rsidRPr="00163523">
              <w:rPr>
                <w:rFonts w:ascii="Wingdings" w:eastAsia="Wingdings" w:hAnsi="Wingdings" w:cs="Wingdings"/>
                <w:b/>
                <w:color w:val="000000"/>
                <w:sz w:val="16"/>
                <w:szCs w:val="16"/>
                <w:lang w:val="en-GB" w:eastAsia="en-GB"/>
              </w:rPr>
              <w:t>ü</w:t>
            </w:r>
          </w:p>
        </w:tc>
        <w:tc>
          <w:tcPr>
            <w:tcW w:w="423" w:type="pct"/>
            <w:shd w:val="clear" w:color="auto" w:fill="FFE3A5" w:themeFill="accent4"/>
          </w:tcPr>
          <w:p w14:paraId="6BEA36B2" w14:textId="2868995B" w:rsidR="005F4385" w:rsidRPr="00F40F84" w:rsidRDefault="00A61026">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163523">
              <w:rPr>
                <w:rFonts w:eastAsia="Times New Roman"/>
                <w:b/>
                <w:color w:val="000000"/>
                <w:sz w:val="16"/>
                <w:szCs w:val="16"/>
                <w:lang w:val="en-GB" w:eastAsia="en-GB"/>
              </w:rPr>
              <w:t>Medium</w:t>
            </w:r>
          </w:p>
        </w:tc>
        <w:tc>
          <w:tcPr>
            <w:tcW w:w="398" w:type="pct"/>
            <w:shd w:val="clear" w:color="auto" w:fill="F9B7AC" w:themeFill="accent2" w:themeFillTint="66"/>
          </w:tcPr>
          <w:p w14:paraId="13412F39" w14:textId="23C014EE" w:rsidR="005F4385" w:rsidRPr="00632FD0" w:rsidRDefault="00A61026">
            <w:pPr>
              <w:spacing w:line="240" w:lineRule="auto"/>
              <w:ind w:left="0"/>
              <w:cnfStyle w:val="000000000000" w:firstRow="0" w:lastRow="0" w:firstColumn="0" w:lastColumn="0" w:oddVBand="0" w:evenVBand="0" w:oddHBand="0" w:evenHBand="0" w:firstRowFirstColumn="0" w:firstRowLastColumn="0" w:lastRowFirstColumn="0" w:lastRowLastColumn="0"/>
              <w:rPr>
                <w:b/>
                <w:sz w:val="16"/>
                <w:szCs w:val="16"/>
                <w:lang w:val="en-GB"/>
              </w:rPr>
            </w:pPr>
            <w:r>
              <w:rPr>
                <w:b/>
                <w:sz w:val="16"/>
                <w:szCs w:val="16"/>
                <w:lang w:val="en-GB"/>
              </w:rPr>
              <w:t>High</w:t>
            </w:r>
          </w:p>
        </w:tc>
      </w:tr>
      <w:tr w:rsidR="00D702A5" w:rsidRPr="00F40F84" w14:paraId="013CD9E8" w14:textId="77777777" w:rsidTr="00AE63C4">
        <w:trPr>
          <w:trHeight w:val="418"/>
        </w:trPr>
        <w:tc>
          <w:tcPr>
            <w:cnfStyle w:val="001000000000" w:firstRow="0" w:lastRow="0" w:firstColumn="1" w:lastColumn="0" w:oddVBand="0" w:evenVBand="0" w:oddHBand="0" w:evenHBand="0" w:firstRowFirstColumn="0" w:firstRowLastColumn="0" w:lastRowFirstColumn="0" w:lastRowLastColumn="0"/>
            <w:tcW w:w="547" w:type="pct"/>
            <w:vMerge/>
            <w:shd w:val="clear" w:color="auto" w:fill="FFFFFF" w:themeFill="background1"/>
            <w:hideMark/>
          </w:tcPr>
          <w:p w14:paraId="71785AE5" w14:textId="77777777" w:rsidR="005F4385" w:rsidRPr="00163523" w:rsidRDefault="005F4385" w:rsidP="00656241">
            <w:pPr>
              <w:spacing w:line="240" w:lineRule="auto"/>
              <w:ind w:left="0"/>
              <w:rPr>
                <w:sz w:val="16"/>
                <w:szCs w:val="16"/>
                <w:lang w:val="en-GB"/>
              </w:rPr>
            </w:pPr>
          </w:p>
        </w:tc>
        <w:tc>
          <w:tcPr>
            <w:tcW w:w="328" w:type="pct"/>
            <w:shd w:val="clear" w:color="auto" w:fill="FFFFFF" w:themeFill="background1"/>
          </w:tcPr>
          <w:p w14:paraId="3143F130" w14:textId="77777777" w:rsidR="005F4385" w:rsidRPr="00F40F84" w:rsidRDefault="005F4385" w:rsidP="00656241">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F40F84">
              <w:rPr>
                <w:sz w:val="16"/>
                <w:szCs w:val="16"/>
                <w:lang w:val="en-GB"/>
              </w:rPr>
              <w:t>10</w:t>
            </w:r>
          </w:p>
        </w:tc>
        <w:tc>
          <w:tcPr>
            <w:tcW w:w="2536" w:type="pct"/>
            <w:shd w:val="clear" w:color="auto" w:fill="FFFFFF" w:themeFill="background1"/>
            <w:hideMark/>
          </w:tcPr>
          <w:p w14:paraId="16888ACB" w14:textId="77777777" w:rsidR="005F4385" w:rsidRPr="00163523" w:rsidRDefault="005F4385" w:rsidP="00656241">
            <w:pPr>
              <w:spacing w:line="240" w:lineRule="auto"/>
              <w:ind w:left="0"/>
              <w:jc w:val="left"/>
              <w:cnfStyle w:val="000000000000" w:firstRow="0" w:lastRow="0" w:firstColumn="0" w:lastColumn="0" w:oddVBand="0" w:evenVBand="0" w:oddHBand="0" w:evenHBand="0" w:firstRowFirstColumn="0" w:firstRowLastColumn="0" w:lastRowFirstColumn="0" w:lastRowLastColumn="0"/>
              <w:rPr>
                <w:sz w:val="16"/>
                <w:szCs w:val="16"/>
                <w:lang w:val="en-GB"/>
              </w:rPr>
            </w:pPr>
            <w:r w:rsidRPr="00F40F84">
              <w:rPr>
                <w:sz w:val="16"/>
                <w:szCs w:val="16"/>
                <w:lang w:val="en-GB"/>
              </w:rPr>
              <w:t>Investments in methane infrastructure can lead to lock-in on natural gas or asset stranding</w:t>
            </w:r>
          </w:p>
        </w:tc>
        <w:tc>
          <w:tcPr>
            <w:tcW w:w="256" w:type="pct"/>
            <w:shd w:val="clear" w:color="auto" w:fill="FFFFFF" w:themeFill="background1"/>
          </w:tcPr>
          <w:p w14:paraId="55F7134D" w14:textId="19569E7B" w:rsidR="005F4385" w:rsidRPr="00F40F84" w:rsidRDefault="005F4385" w:rsidP="00656241">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163523">
              <w:rPr>
                <w:rFonts w:ascii="Wingdings" w:eastAsia="Wingdings" w:hAnsi="Wingdings" w:cs="Wingdings"/>
                <w:b/>
                <w:color w:val="000000"/>
                <w:sz w:val="16"/>
                <w:szCs w:val="16"/>
                <w:lang w:val="en-GB" w:eastAsia="en-GB"/>
              </w:rPr>
              <w:t>üü</w:t>
            </w:r>
          </w:p>
        </w:tc>
        <w:tc>
          <w:tcPr>
            <w:tcW w:w="256" w:type="pct"/>
            <w:shd w:val="clear" w:color="auto" w:fill="FFFFFF" w:themeFill="background1"/>
          </w:tcPr>
          <w:p w14:paraId="02AC487E" w14:textId="2FAF5E75" w:rsidR="005F4385" w:rsidRPr="00F40F84" w:rsidRDefault="005F4385" w:rsidP="00656241">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163523">
              <w:rPr>
                <w:rFonts w:ascii="Wingdings" w:eastAsia="Wingdings" w:hAnsi="Wingdings" w:cs="Wingdings"/>
                <w:b/>
                <w:color w:val="000000"/>
                <w:sz w:val="16"/>
                <w:szCs w:val="16"/>
                <w:lang w:val="en-GB" w:eastAsia="en-GB"/>
              </w:rPr>
              <w:t>ü</w:t>
            </w:r>
            <w:r w:rsidR="00182813" w:rsidRPr="00163523">
              <w:rPr>
                <w:rFonts w:ascii="Wingdings" w:eastAsia="Wingdings" w:hAnsi="Wingdings" w:cs="Wingdings"/>
                <w:b/>
                <w:color w:val="000000"/>
                <w:sz w:val="16"/>
                <w:szCs w:val="16"/>
                <w:lang w:val="en-GB" w:eastAsia="en-GB"/>
              </w:rPr>
              <w:t>ü</w:t>
            </w:r>
          </w:p>
        </w:tc>
        <w:tc>
          <w:tcPr>
            <w:tcW w:w="256" w:type="pct"/>
            <w:shd w:val="clear" w:color="auto" w:fill="FFFFFF" w:themeFill="background1"/>
          </w:tcPr>
          <w:p w14:paraId="2665C33F" w14:textId="4F7ACE88" w:rsidR="005F4385" w:rsidRPr="00F40F84" w:rsidRDefault="005F4385" w:rsidP="00656241">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163523">
              <w:rPr>
                <w:rFonts w:ascii="Wingdings" w:eastAsia="Wingdings" w:hAnsi="Wingdings" w:cs="Wingdings"/>
                <w:b/>
                <w:color w:val="000000"/>
                <w:sz w:val="16"/>
                <w:szCs w:val="16"/>
                <w:lang w:val="en-GB" w:eastAsia="en-GB"/>
              </w:rPr>
              <w:t>ü</w:t>
            </w:r>
          </w:p>
        </w:tc>
        <w:tc>
          <w:tcPr>
            <w:tcW w:w="423" w:type="pct"/>
            <w:shd w:val="clear" w:color="auto" w:fill="FFE3A5" w:themeFill="accent4"/>
          </w:tcPr>
          <w:p w14:paraId="29000794" w14:textId="2683C58C" w:rsidR="005F4385" w:rsidRPr="00F40F84" w:rsidRDefault="005F4385" w:rsidP="00656241">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163523">
              <w:rPr>
                <w:rFonts w:eastAsia="Times New Roman"/>
                <w:b/>
                <w:color w:val="000000"/>
                <w:sz w:val="16"/>
                <w:szCs w:val="16"/>
                <w:lang w:val="en-GB" w:eastAsia="en-GB"/>
              </w:rPr>
              <w:t>Medium</w:t>
            </w:r>
          </w:p>
        </w:tc>
        <w:tc>
          <w:tcPr>
            <w:tcW w:w="398" w:type="pct"/>
            <w:shd w:val="clear" w:color="auto" w:fill="F9B7AC" w:themeFill="accent2" w:themeFillTint="66"/>
          </w:tcPr>
          <w:p w14:paraId="012F9262" w14:textId="7880875B" w:rsidR="005F4385" w:rsidRPr="00F40F84" w:rsidRDefault="005F4385" w:rsidP="00656241">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163523">
              <w:rPr>
                <w:rFonts w:eastAsia="Arial"/>
                <w:b/>
                <w:sz w:val="16"/>
                <w:szCs w:val="16"/>
                <w:lang w:val="en-GB"/>
              </w:rPr>
              <w:t>High</w:t>
            </w:r>
          </w:p>
        </w:tc>
      </w:tr>
      <w:tr w:rsidR="00D702A5" w:rsidRPr="00F40F84" w14:paraId="3CD45124" w14:textId="77777777" w:rsidTr="00AE63C4">
        <w:trPr>
          <w:trHeight w:val="418"/>
        </w:trPr>
        <w:tc>
          <w:tcPr>
            <w:cnfStyle w:val="001000000000" w:firstRow="0" w:lastRow="0" w:firstColumn="1" w:lastColumn="0" w:oddVBand="0" w:evenVBand="0" w:oddHBand="0" w:evenHBand="0" w:firstRowFirstColumn="0" w:firstRowLastColumn="0" w:lastRowFirstColumn="0" w:lastRowLastColumn="0"/>
            <w:tcW w:w="547" w:type="pct"/>
            <w:shd w:val="clear" w:color="auto" w:fill="FFFFFF" w:themeFill="background1"/>
            <w:hideMark/>
          </w:tcPr>
          <w:p w14:paraId="16804B86" w14:textId="77777777" w:rsidR="00B10C0E" w:rsidRPr="00163523" w:rsidRDefault="00B10C0E" w:rsidP="00B10C0E">
            <w:pPr>
              <w:spacing w:line="240" w:lineRule="auto"/>
              <w:ind w:left="0"/>
              <w:rPr>
                <w:sz w:val="16"/>
                <w:szCs w:val="16"/>
                <w:lang w:val="en-GB"/>
              </w:rPr>
            </w:pPr>
            <w:r w:rsidRPr="00F40F84">
              <w:rPr>
                <w:b/>
                <w:bCs/>
                <w:sz w:val="16"/>
                <w:szCs w:val="16"/>
                <w:lang w:val="en-GB"/>
              </w:rPr>
              <w:t>Regulatory</w:t>
            </w:r>
          </w:p>
        </w:tc>
        <w:tc>
          <w:tcPr>
            <w:tcW w:w="328" w:type="pct"/>
            <w:shd w:val="clear" w:color="auto" w:fill="FFFFFF" w:themeFill="background1"/>
          </w:tcPr>
          <w:p w14:paraId="52DE1248" w14:textId="77777777" w:rsidR="00B10C0E" w:rsidRPr="00F40F84" w:rsidRDefault="00B10C0E" w:rsidP="00B10C0E">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F40F84">
              <w:rPr>
                <w:sz w:val="16"/>
                <w:szCs w:val="16"/>
                <w:lang w:val="en-GB"/>
              </w:rPr>
              <w:t>11</w:t>
            </w:r>
          </w:p>
        </w:tc>
        <w:tc>
          <w:tcPr>
            <w:tcW w:w="2536" w:type="pct"/>
            <w:shd w:val="clear" w:color="auto" w:fill="FFFFFF" w:themeFill="background1"/>
            <w:hideMark/>
          </w:tcPr>
          <w:p w14:paraId="2C704380" w14:textId="77777777" w:rsidR="00B10C0E" w:rsidRPr="00163523" w:rsidRDefault="00B10C0E" w:rsidP="00B10C0E">
            <w:pPr>
              <w:spacing w:line="240" w:lineRule="auto"/>
              <w:ind w:left="0"/>
              <w:jc w:val="left"/>
              <w:cnfStyle w:val="000000000000" w:firstRow="0" w:lastRow="0" w:firstColumn="0" w:lastColumn="0" w:oddVBand="0" w:evenVBand="0" w:oddHBand="0" w:evenHBand="0" w:firstRowFirstColumn="0" w:firstRowLastColumn="0" w:lastRowFirstColumn="0" w:lastRowLastColumn="0"/>
              <w:rPr>
                <w:sz w:val="16"/>
                <w:szCs w:val="16"/>
                <w:lang w:val="en-GB"/>
              </w:rPr>
            </w:pPr>
            <w:r w:rsidRPr="00F40F84">
              <w:rPr>
                <w:sz w:val="16"/>
                <w:szCs w:val="16"/>
                <w:lang w:val="en-GB"/>
              </w:rPr>
              <w:t>Policies and regulations can present barriers to implementation of gas decarbonization actions</w:t>
            </w:r>
          </w:p>
        </w:tc>
        <w:tc>
          <w:tcPr>
            <w:tcW w:w="256" w:type="pct"/>
            <w:shd w:val="clear" w:color="auto" w:fill="FFFFFF" w:themeFill="background1"/>
          </w:tcPr>
          <w:p w14:paraId="790FA3B5" w14:textId="634B63AD" w:rsidR="00B10C0E" w:rsidRPr="00F40F84" w:rsidRDefault="00B10C0E" w:rsidP="00B10C0E">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163523">
              <w:rPr>
                <w:rFonts w:ascii="Wingdings" w:eastAsia="Wingdings" w:hAnsi="Wingdings" w:cs="Wingdings"/>
                <w:b/>
                <w:color w:val="000000"/>
                <w:sz w:val="16"/>
                <w:szCs w:val="16"/>
                <w:lang w:val="en-GB" w:eastAsia="en-GB"/>
              </w:rPr>
              <w:t>ü</w:t>
            </w:r>
          </w:p>
        </w:tc>
        <w:tc>
          <w:tcPr>
            <w:tcW w:w="256" w:type="pct"/>
            <w:shd w:val="clear" w:color="auto" w:fill="FFFFFF" w:themeFill="background1"/>
          </w:tcPr>
          <w:p w14:paraId="680843C6" w14:textId="37F6B76F" w:rsidR="00B10C0E" w:rsidRPr="00F40F84" w:rsidRDefault="00B10C0E" w:rsidP="00B10C0E">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163523">
              <w:rPr>
                <w:rFonts w:ascii="Wingdings" w:eastAsia="Wingdings" w:hAnsi="Wingdings" w:cs="Wingdings"/>
                <w:b/>
                <w:color w:val="000000"/>
                <w:sz w:val="16"/>
                <w:szCs w:val="16"/>
                <w:lang w:val="en-GB" w:eastAsia="en-GB"/>
              </w:rPr>
              <w:t>üü</w:t>
            </w:r>
          </w:p>
        </w:tc>
        <w:tc>
          <w:tcPr>
            <w:tcW w:w="256" w:type="pct"/>
            <w:shd w:val="clear" w:color="auto" w:fill="FFFFFF" w:themeFill="background1"/>
          </w:tcPr>
          <w:p w14:paraId="201CE7DC" w14:textId="72AEA730" w:rsidR="00B10C0E" w:rsidRPr="00F40F84" w:rsidRDefault="00B10C0E" w:rsidP="00B10C0E">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163523">
              <w:rPr>
                <w:rFonts w:ascii="Wingdings" w:eastAsia="Wingdings" w:hAnsi="Wingdings" w:cs="Wingdings"/>
                <w:b/>
                <w:color w:val="000000"/>
                <w:sz w:val="16"/>
                <w:szCs w:val="16"/>
                <w:lang w:val="en-GB" w:eastAsia="en-GB"/>
              </w:rPr>
              <w:t>ü</w:t>
            </w:r>
          </w:p>
        </w:tc>
        <w:tc>
          <w:tcPr>
            <w:tcW w:w="423" w:type="pct"/>
            <w:shd w:val="clear" w:color="auto" w:fill="E0EBEB" w:themeFill="accent3" w:themeFillTint="66"/>
          </w:tcPr>
          <w:p w14:paraId="0FF7B01A" w14:textId="368C4537" w:rsidR="00B10C0E" w:rsidRPr="00F40F84" w:rsidRDefault="00B10C0E" w:rsidP="00B10C0E">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163523">
              <w:rPr>
                <w:rFonts w:eastAsia="Times New Roman"/>
                <w:b/>
                <w:color w:val="000000"/>
                <w:sz w:val="16"/>
                <w:szCs w:val="16"/>
                <w:lang w:val="en-GB" w:eastAsia="en-GB"/>
              </w:rPr>
              <w:t>Low</w:t>
            </w:r>
          </w:p>
        </w:tc>
        <w:tc>
          <w:tcPr>
            <w:tcW w:w="398" w:type="pct"/>
            <w:shd w:val="clear" w:color="auto" w:fill="F9B7AC" w:themeFill="accent2" w:themeFillTint="66"/>
          </w:tcPr>
          <w:p w14:paraId="2938BC72" w14:textId="77777777" w:rsidR="00B10C0E" w:rsidRPr="00163523" w:rsidRDefault="00B10C0E" w:rsidP="00B10C0E">
            <w:pPr>
              <w:spacing w:line="240" w:lineRule="auto"/>
              <w:ind w:left="0"/>
              <w:cnfStyle w:val="000000000000" w:firstRow="0" w:lastRow="0" w:firstColumn="0" w:lastColumn="0" w:oddVBand="0" w:evenVBand="0" w:oddHBand="0" w:evenHBand="0" w:firstRowFirstColumn="0" w:firstRowLastColumn="0" w:lastRowFirstColumn="0" w:lastRowLastColumn="0"/>
              <w:rPr>
                <w:rFonts w:eastAsia="Times New Roman"/>
                <w:b/>
                <w:color w:val="000000"/>
                <w:sz w:val="16"/>
                <w:szCs w:val="16"/>
                <w:lang w:val="en-GB" w:eastAsia="en-GB"/>
              </w:rPr>
            </w:pPr>
            <w:r w:rsidRPr="00163523">
              <w:rPr>
                <w:rFonts w:eastAsia="Times New Roman"/>
                <w:b/>
                <w:color w:val="000000"/>
                <w:sz w:val="16"/>
                <w:szCs w:val="16"/>
                <w:lang w:val="en-GB" w:eastAsia="en-GB"/>
              </w:rPr>
              <w:t>Medium/</w:t>
            </w:r>
          </w:p>
          <w:p w14:paraId="2C2B8C5F" w14:textId="0AC7ACB1" w:rsidR="00B10C0E" w:rsidRPr="00F40F84" w:rsidRDefault="00B10C0E" w:rsidP="00B10C0E">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163523">
              <w:rPr>
                <w:rFonts w:eastAsia="Times New Roman"/>
                <w:b/>
                <w:color w:val="000000"/>
                <w:sz w:val="16"/>
                <w:szCs w:val="16"/>
                <w:lang w:val="en-GB" w:eastAsia="en-GB"/>
              </w:rPr>
              <w:t>High</w:t>
            </w:r>
          </w:p>
        </w:tc>
      </w:tr>
      <w:tr w:rsidR="00D702A5" w:rsidRPr="00F40F84" w14:paraId="370DF2AF" w14:textId="77777777" w:rsidTr="00AE63C4">
        <w:trPr>
          <w:trHeight w:val="418"/>
        </w:trPr>
        <w:tc>
          <w:tcPr>
            <w:cnfStyle w:val="001000000000" w:firstRow="0" w:lastRow="0" w:firstColumn="1" w:lastColumn="0" w:oddVBand="0" w:evenVBand="0" w:oddHBand="0" w:evenHBand="0" w:firstRowFirstColumn="0" w:firstRowLastColumn="0" w:lastRowFirstColumn="0" w:lastRowLastColumn="0"/>
            <w:tcW w:w="547" w:type="pct"/>
            <w:vMerge w:val="restart"/>
            <w:shd w:val="clear" w:color="auto" w:fill="FFFFFF" w:themeFill="background1"/>
            <w:hideMark/>
          </w:tcPr>
          <w:p w14:paraId="3839B18A" w14:textId="77777777" w:rsidR="005F4385" w:rsidRPr="00163523" w:rsidRDefault="005F4385" w:rsidP="00576481">
            <w:pPr>
              <w:spacing w:line="240" w:lineRule="auto"/>
              <w:ind w:left="0"/>
              <w:rPr>
                <w:sz w:val="16"/>
                <w:szCs w:val="16"/>
                <w:lang w:val="en-GB"/>
              </w:rPr>
            </w:pPr>
            <w:r w:rsidRPr="00F40F84">
              <w:rPr>
                <w:b/>
                <w:bCs/>
                <w:sz w:val="16"/>
                <w:szCs w:val="16"/>
                <w:lang w:val="en-GB"/>
              </w:rPr>
              <w:t>Social &amp; environmental</w:t>
            </w:r>
          </w:p>
        </w:tc>
        <w:tc>
          <w:tcPr>
            <w:tcW w:w="328" w:type="pct"/>
            <w:shd w:val="clear" w:color="auto" w:fill="FFFFFF" w:themeFill="background1"/>
          </w:tcPr>
          <w:p w14:paraId="185CBE59" w14:textId="77777777" w:rsidR="005F4385" w:rsidRPr="00F40F84" w:rsidRDefault="005F4385" w:rsidP="00576481">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F40F84">
              <w:rPr>
                <w:sz w:val="16"/>
                <w:szCs w:val="16"/>
                <w:lang w:val="en-GB"/>
              </w:rPr>
              <w:t>12</w:t>
            </w:r>
          </w:p>
        </w:tc>
        <w:tc>
          <w:tcPr>
            <w:tcW w:w="2536" w:type="pct"/>
            <w:shd w:val="clear" w:color="auto" w:fill="FFFFFF" w:themeFill="background1"/>
            <w:hideMark/>
          </w:tcPr>
          <w:p w14:paraId="38FF0D30" w14:textId="77777777" w:rsidR="005F4385" w:rsidRPr="00163523" w:rsidRDefault="005F4385" w:rsidP="00576481">
            <w:pPr>
              <w:spacing w:line="240" w:lineRule="auto"/>
              <w:ind w:left="0"/>
              <w:jc w:val="left"/>
              <w:cnfStyle w:val="000000000000" w:firstRow="0" w:lastRow="0" w:firstColumn="0" w:lastColumn="0" w:oddVBand="0" w:evenVBand="0" w:oddHBand="0" w:evenHBand="0" w:firstRowFirstColumn="0" w:firstRowLastColumn="0" w:lastRowFirstColumn="0" w:lastRowLastColumn="0"/>
              <w:rPr>
                <w:sz w:val="16"/>
                <w:szCs w:val="16"/>
                <w:lang w:val="en-GB"/>
              </w:rPr>
            </w:pPr>
            <w:r w:rsidRPr="00F40F84">
              <w:rPr>
                <w:sz w:val="16"/>
                <w:szCs w:val="16"/>
                <w:lang w:val="en-GB"/>
              </w:rPr>
              <w:t>Some specific gas decarbonisation actions can result in adverse environmental and climate impacts</w:t>
            </w:r>
          </w:p>
        </w:tc>
        <w:tc>
          <w:tcPr>
            <w:tcW w:w="256" w:type="pct"/>
            <w:shd w:val="clear" w:color="auto" w:fill="FFFFFF" w:themeFill="background1"/>
          </w:tcPr>
          <w:p w14:paraId="27944F3B" w14:textId="0268F81E" w:rsidR="005F4385" w:rsidRPr="00F40F84" w:rsidRDefault="005F4385" w:rsidP="00576481">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163523">
              <w:rPr>
                <w:rFonts w:ascii="Wingdings" w:eastAsia="Wingdings" w:hAnsi="Wingdings" w:cs="Wingdings"/>
                <w:b/>
                <w:color w:val="000000"/>
                <w:sz w:val="16"/>
                <w:szCs w:val="16"/>
                <w:lang w:val="en-GB" w:eastAsia="en-GB"/>
              </w:rPr>
              <w:t>üü</w:t>
            </w:r>
          </w:p>
        </w:tc>
        <w:tc>
          <w:tcPr>
            <w:tcW w:w="256" w:type="pct"/>
            <w:shd w:val="clear" w:color="auto" w:fill="FFFFFF" w:themeFill="background1"/>
          </w:tcPr>
          <w:p w14:paraId="7FB04B8B" w14:textId="77777777" w:rsidR="005F4385" w:rsidRPr="00F40F84" w:rsidRDefault="005F4385" w:rsidP="00576481">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p>
        </w:tc>
        <w:tc>
          <w:tcPr>
            <w:tcW w:w="256" w:type="pct"/>
            <w:shd w:val="clear" w:color="auto" w:fill="FFFFFF" w:themeFill="background1"/>
          </w:tcPr>
          <w:p w14:paraId="294F0DC8" w14:textId="10034834" w:rsidR="005F4385" w:rsidRPr="00F40F84" w:rsidRDefault="005F4385" w:rsidP="00576481">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163523">
              <w:rPr>
                <w:rFonts w:ascii="Wingdings" w:eastAsia="Wingdings" w:hAnsi="Wingdings" w:cs="Wingdings"/>
                <w:b/>
                <w:color w:val="000000"/>
                <w:sz w:val="16"/>
                <w:szCs w:val="16"/>
                <w:lang w:val="en-GB" w:eastAsia="en-GB"/>
              </w:rPr>
              <w:t>ü</w:t>
            </w:r>
          </w:p>
        </w:tc>
        <w:tc>
          <w:tcPr>
            <w:tcW w:w="423" w:type="pct"/>
            <w:shd w:val="clear" w:color="auto" w:fill="E0EBEB" w:themeFill="accent3" w:themeFillTint="66"/>
          </w:tcPr>
          <w:p w14:paraId="58D075EA" w14:textId="4FA6FCE7" w:rsidR="005F4385" w:rsidRPr="00F40F84" w:rsidRDefault="00E80EED" w:rsidP="00576481">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163523">
              <w:rPr>
                <w:rFonts w:eastAsia="Times New Roman"/>
                <w:b/>
                <w:color w:val="000000"/>
                <w:sz w:val="16"/>
                <w:szCs w:val="16"/>
                <w:lang w:val="en-GB" w:eastAsia="en-GB"/>
              </w:rPr>
              <w:t>Low</w:t>
            </w:r>
          </w:p>
        </w:tc>
        <w:tc>
          <w:tcPr>
            <w:tcW w:w="398" w:type="pct"/>
            <w:shd w:val="clear" w:color="auto" w:fill="FFE3A5" w:themeFill="accent4"/>
          </w:tcPr>
          <w:p w14:paraId="50487E0E" w14:textId="4559721C" w:rsidR="005F4385" w:rsidRPr="00F40F84" w:rsidRDefault="00E80EED" w:rsidP="00576481">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163523">
              <w:rPr>
                <w:rFonts w:eastAsia="Arial"/>
                <w:b/>
                <w:sz w:val="16"/>
                <w:szCs w:val="16"/>
                <w:lang w:val="en-GB"/>
              </w:rPr>
              <w:t>Medium</w:t>
            </w:r>
          </w:p>
        </w:tc>
      </w:tr>
      <w:tr w:rsidR="00D702A5" w:rsidRPr="00F40F84" w14:paraId="4D66ADBD" w14:textId="77777777" w:rsidTr="00632FD0">
        <w:trPr>
          <w:trHeight w:val="418"/>
        </w:trPr>
        <w:tc>
          <w:tcPr>
            <w:cnfStyle w:val="001000000000" w:firstRow="0" w:lastRow="0" w:firstColumn="1" w:lastColumn="0" w:oddVBand="0" w:evenVBand="0" w:oddHBand="0" w:evenHBand="0" w:firstRowFirstColumn="0" w:firstRowLastColumn="0" w:lastRowFirstColumn="0" w:lastRowLastColumn="0"/>
            <w:tcW w:w="547" w:type="pct"/>
            <w:vMerge/>
            <w:shd w:val="clear" w:color="auto" w:fill="FFFFFF" w:themeFill="background1"/>
            <w:hideMark/>
          </w:tcPr>
          <w:p w14:paraId="2D24001D" w14:textId="77777777" w:rsidR="005F4385" w:rsidRPr="00163523" w:rsidRDefault="005F4385" w:rsidP="00AD6D9C">
            <w:pPr>
              <w:spacing w:line="240" w:lineRule="auto"/>
              <w:ind w:left="0"/>
              <w:rPr>
                <w:sz w:val="16"/>
                <w:szCs w:val="16"/>
                <w:lang w:val="en-GB"/>
              </w:rPr>
            </w:pPr>
          </w:p>
        </w:tc>
        <w:tc>
          <w:tcPr>
            <w:tcW w:w="328" w:type="pct"/>
            <w:shd w:val="clear" w:color="auto" w:fill="FFFFFF" w:themeFill="background1"/>
          </w:tcPr>
          <w:p w14:paraId="59251886" w14:textId="77777777" w:rsidR="005F4385" w:rsidRPr="00F40F84" w:rsidRDefault="005F4385" w:rsidP="00AD6D9C">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F40F84">
              <w:rPr>
                <w:sz w:val="16"/>
                <w:szCs w:val="16"/>
                <w:lang w:val="en-GB"/>
              </w:rPr>
              <w:t>13</w:t>
            </w:r>
          </w:p>
        </w:tc>
        <w:tc>
          <w:tcPr>
            <w:tcW w:w="2536" w:type="pct"/>
            <w:shd w:val="clear" w:color="auto" w:fill="FFFFFF" w:themeFill="background1"/>
            <w:hideMark/>
          </w:tcPr>
          <w:p w14:paraId="7F2AAB29" w14:textId="77777777" w:rsidR="005F4385" w:rsidRPr="00163523" w:rsidRDefault="005F4385" w:rsidP="00AD6D9C">
            <w:pPr>
              <w:spacing w:line="240" w:lineRule="auto"/>
              <w:ind w:left="0"/>
              <w:jc w:val="left"/>
              <w:cnfStyle w:val="000000000000" w:firstRow="0" w:lastRow="0" w:firstColumn="0" w:lastColumn="0" w:oddVBand="0" w:evenVBand="0" w:oddHBand="0" w:evenHBand="0" w:firstRowFirstColumn="0" w:firstRowLastColumn="0" w:lastRowFirstColumn="0" w:lastRowLastColumn="0"/>
              <w:rPr>
                <w:sz w:val="16"/>
                <w:szCs w:val="16"/>
                <w:lang w:val="en-GB"/>
              </w:rPr>
            </w:pPr>
            <w:r w:rsidRPr="00163523">
              <w:rPr>
                <w:sz w:val="16"/>
                <w:szCs w:val="16"/>
                <w:lang w:val="en-GB"/>
              </w:rPr>
              <w:t>Public opposition, due to (perception of) negative impacts</w:t>
            </w:r>
          </w:p>
        </w:tc>
        <w:tc>
          <w:tcPr>
            <w:tcW w:w="256" w:type="pct"/>
            <w:shd w:val="clear" w:color="auto" w:fill="FFFFFF" w:themeFill="background1"/>
          </w:tcPr>
          <w:p w14:paraId="368A2186" w14:textId="05496D6B" w:rsidR="005F4385" w:rsidRPr="00163523" w:rsidRDefault="005F4385" w:rsidP="00AD6D9C">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163523">
              <w:rPr>
                <w:rFonts w:ascii="Wingdings" w:eastAsia="Wingdings" w:hAnsi="Wingdings" w:cs="Wingdings"/>
                <w:b/>
                <w:color w:val="000000"/>
                <w:sz w:val="16"/>
                <w:szCs w:val="16"/>
                <w:lang w:val="en-GB" w:eastAsia="en-GB"/>
              </w:rPr>
              <w:t>üü</w:t>
            </w:r>
          </w:p>
        </w:tc>
        <w:tc>
          <w:tcPr>
            <w:tcW w:w="256" w:type="pct"/>
            <w:shd w:val="clear" w:color="auto" w:fill="FFFFFF" w:themeFill="background1"/>
          </w:tcPr>
          <w:p w14:paraId="6C34D0C4" w14:textId="4201930D" w:rsidR="005F4385" w:rsidRPr="00163523" w:rsidRDefault="005F4385" w:rsidP="00AD6D9C">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163523">
              <w:rPr>
                <w:rFonts w:ascii="Wingdings" w:eastAsia="Wingdings" w:hAnsi="Wingdings" w:cs="Wingdings"/>
                <w:b/>
                <w:color w:val="000000"/>
                <w:sz w:val="16"/>
                <w:szCs w:val="16"/>
                <w:lang w:val="en-GB" w:eastAsia="en-GB"/>
              </w:rPr>
              <w:t>ü</w:t>
            </w:r>
            <w:r w:rsidR="0068096D" w:rsidRPr="00163523">
              <w:rPr>
                <w:rFonts w:ascii="Wingdings" w:eastAsia="Wingdings" w:hAnsi="Wingdings" w:cs="Wingdings"/>
                <w:b/>
                <w:color w:val="000000"/>
                <w:sz w:val="16"/>
                <w:szCs w:val="16"/>
                <w:lang w:val="en-GB" w:eastAsia="en-GB"/>
              </w:rPr>
              <w:t>ü</w:t>
            </w:r>
          </w:p>
        </w:tc>
        <w:tc>
          <w:tcPr>
            <w:tcW w:w="256" w:type="pct"/>
            <w:shd w:val="clear" w:color="auto" w:fill="FFFFFF" w:themeFill="background1"/>
          </w:tcPr>
          <w:p w14:paraId="4139ED28" w14:textId="699491DA" w:rsidR="005F4385" w:rsidRPr="00163523" w:rsidRDefault="005F4385" w:rsidP="00AD6D9C">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163523">
              <w:rPr>
                <w:rFonts w:ascii="Wingdings" w:eastAsia="Wingdings" w:hAnsi="Wingdings" w:cs="Wingdings"/>
                <w:b/>
                <w:color w:val="000000"/>
                <w:sz w:val="16"/>
                <w:szCs w:val="16"/>
                <w:lang w:val="en-GB" w:eastAsia="en-GB"/>
              </w:rPr>
              <w:t>üü</w:t>
            </w:r>
          </w:p>
        </w:tc>
        <w:tc>
          <w:tcPr>
            <w:tcW w:w="423" w:type="pct"/>
            <w:shd w:val="clear" w:color="auto" w:fill="F9B7AC" w:themeFill="accent2" w:themeFillTint="66"/>
          </w:tcPr>
          <w:p w14:paraId="664BFE68" w14:textId="75F41ACE" w:rsidR="005F4385" w:rsidRPr="00163523" w:rsidRDefault="00E80EED" w:rsidP="00AD6D9C">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163523">
              <w:rPr>
                <w:rFonts w:eastAsia="Times New Roman"/>
                <w:b/>
                <w:color w:val="000000"/>
                <w:sz w:val="16"/>
                <w:szCs w:val="16"/>
                <w:lang w:val="en-GB" w:eastAsia="en-GB"/>
              </w:rPr>
              <w:t>High</w:t>
            </w:r>
          </w:p>
        </w:tc>
        <w:tc>
          <w:tcPr>
            <w:tcW w:w="398" w:type="pct"/>
            <w:shd w:val="clear" w:color="auto" w:fill="E0EBEB" w:themeFill="accent3" w:themeFillTint="66"/>
          </w:tcPr>
          <w:p w14:paraId="0C6BC4AF" w14:textId="41B112F2" w:rsidR="005F4385" w:rsidRPr="00163523" w:rsidRDefault="00632FD0" w:rsidP="00AD6D9C">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163523">
              <w:rPr>
                <w:rFonts w:eastAsia="Arial"/>
                <w:b/>
                <w:sz w:val="16"/>
                <w:szCs w:val="16"/>
                <w:lang w:val="en-GB"/>
              </w:rPr>
              <w:t>Low</w:t>
            </w:r>
          </w:p>
        </w:tc>
      </w:tr>
      <w:tr w:rsidR="00D702A5" w:rsidRPr="00F40F84" w14:paraId="0ABE6D24" w14:textId="77777777" w:rsidTr="00AE63C4">
        <w:trPr>
          <w:trHeight w:val="418"/>
        </w:trPr>
        <w:tc>
          <w:tcPr>
            <w:cnfStyle w:val="001000000000" w:firstRow="0" w:lastRow="0" w:firstColumn="1" w:lastColumn="0" w:oddVBand="0" w:evenVBand="0" w:oddHBand="0" w:evenHBand="0" w:firstRowFirstColumn="0" w:firstRowLastColumn="0" w:lastRowFirstColumn="0" w:lastRowLastColumn="0"/>
            <w:tcW w:w="547" w:type="pct"/>
            <w:vMerge w:val="restart"/>
            <w:shd w:val="clear" w:color="auto" w:fill="FFFFFF" w:themeFill="background1"/>
            <w:hideMark/>
          </w:tcPr>
          <w:p w14:paraId="7723F875" w14:textId="77777777" w:rsidR="005F4385" w:rsidRPr="00163523" w:rsidRDefault="005F4385" w:rsidP="00AD6D9C">
            <w:pPr>
              <w:spacing w:line="240" w:lineRule="auto"/>
              <w:ind w:left="0"/>
              <w:rPr>
                <w:sz w:val="16"/>
                <w:szCs w:val="16"/>
                <w:lang w:val="en-GB"/>
              </w:rPr>
            </w:pPr>
            <w:r w:rsidRPr="00F40F84">
              <w:rPr>
                <w:b/>
                <w:bCs/>
                <w:sz w:val="16"/>
                <w:szCs w:val="16"/>
                <w:lang w:val="en-GB"/>
              </w:rPr>
              <w:t>Technological</w:t>
            </w:r>
          </w:p>
        </w:tc>
        <w:tc>
          <w:tcPr>
            <w:tcW w:w="328" w:type="pct"/>
            <w:shd w:val="clear" w:color="auto" w:fill="FFFFFF" w:themeFill="background1"/>
          </w:tcPr>
          <w:p w14:paraId="39FFA7AD" w14:textId="77777777" w:rsidR="005F4385" w:rsidRPr="00F40F84" w:rsidRDefault="005F4385" w:rsidP="00AD6D9C">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F40F84">
              <w:rPr>
                <w:sz w:val="16"/>
                <w:szCs w:val="16"/>
                <w:lang w:val="en-GB"/>
              </w:rPr>
              <w:t>14</w:t>
            </w:r>
          </w:p>
        </w:tc>
        <w:tc>
          <w:tcPr>
            <w:tcW w:w="2536" w:type="pct"/>
            <w:shd w:val="clear" w:color="auto" w:fill="FFFFFF" w:themeFill="background1"/>
            <w:hideMark/>
          </w:tcPr>
          <w:p w14:paraId="1FD06567" w14:textId="77777777" w:rsidR="005F4385" w:rsidRPr="00163523" w:rsidRDefault="005F4385" w:rsidP="00AD6D9C">
            <w:pPr>
              <w:spacing w:line="240" w:lineRule="auto"/>
              <w:ind w:left="0"/>
              <w:jc w:val="left"/>
              <w:cnfStyle w:val="000000000000" w:firstRow="0" w:lastRow="0" w:firstColumn="0" w:lastColumn="0" w:oddVBand="0" w:evenVBand="0" w:oddHBand="0" w:evenHBand="0" w:firstRowFirstColumn="0" w:firstRowLastColumn="0" w:lastRowFirstColumn="0" w:lastRowLastColumn="0"/>
              <w:rPr>
                <w:sz w:val="16"/>
                <w:szCs w:val="16"/>
                <w:lang w:val="en-GB"/>
              </w:rPr>
            </w:pPr>
            <w:r w:rsidRPr="00F40F84">
              <w:rPr>
                <w:sz w:val="16"/>
                <w:szCs w:val="16"/>
                <w:lang w:val="en-GB"/>
              </w:rPr>
              <w:t>Key gas decarbonisation technologies may not reach sufficient cost or performance improvements</w:t>
            </w:r>
          </w:p>
        </w:tc>
        <w:tc>
          <w:tcPr>
            <w:tcW w:w="256" w:type="pct"/>
            <w:shd w:val="clear" w:color="auto" w:fill="FFFFFF" w:themeFill="background1"/>
          </w:tcPr>
          <w:p w14:paraId="51A0E9FE" w14:textId="6F096F00" w:rsidR="005F4385" w:rsidRPr="00F40F84" w:rsidRDefault="005F4385" w:rsidP="00AD6D9C">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163523">
              <w:rPr>
                <w:rFonts w:ascii="Wingdings" w:eastAsia="Wingdings" w:hAnsi="Wingdings" w:cs="Wingdings"/>
                <w:b/>
                <w:color w:val="000000"/>
                <w:sz w:val="16"/>
                <w:szCs w:val="16"/>
                <w:lang w:val="en-GB" w:eastAsia="en-GB"/>
              </w:rPr>
              <w:t>üü</w:t>
            </w:r>
          </w:p>
        </w:tc>
        <w:tc>
          <w:tcPr>
            <w:tcW w:w="256" w:type="pct"/>
            <w:shd w:val="clear" w:color="auto" w:fill="FFFFFF" w:themeFill="background1"/>
          </w:tcPr>
          <w:p w14:paraId="253D92C9" w14:textId="703CBA1B" w:rsidR="005F4385" w:rsidRPr="00F40F84" w:rsidRDefault="005F4385" w:rsidP="00AD6D9C">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163523">
              <w:rPr>
                <w:rFonts w:ascii="Wingdings" w:eastAsia="Wingdings" w:hAnsi="Wingdings" w:cs="Wingdings"/>
                <w:b/>
                <w:color w:val="000000"/>
                <w:sz w:val="16"/>
                <w:szCs w:val="16"/>
                <w:lang w:val="en-GB" w:eastAsia="en-GB"/>
              </w:rPr>
              <w:t>ü</w:t>
            </w:r>
            <w:r w:rsidR="00E91B67" w:rsidRPr="00163523">
              <w:rPr>
                <w:rFonts w:ascii="Wingdings" w:eastAsia="Wingdings" w:hAnsi="Wingdings" w:cs="Wingdings"/>
                <w:b/>
                <w:color w:val="000000"/>
                <w:sz w:val="16"/>
                <w:szCs w:val="16"/>
                <w:lang w:val="en-GB" w:eastAsia="en-GB"/>
              </w:rPr>
              <w:t>ü</w:t>
            </w:r>
          </w:p>
        </w:tc>
        <w:tc>
          <w:tcPr>
            <w:tcW w:w="256" w:type="pct"/>
            <w:shd w:val="clear" w:color="auto" w:fill="FFFFFF" w:themeFill="background1"/>
          </w:tcPr>
          <w:p w14:paraId="4634F6DF" w14:textId="4FFB4829" w:rsidR="005F4385" w:rsidRPr="00F40F84" w:rsidRDefault="005F4385" w:rsidP="00AD6D9C">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163523">
              <w:rPr>
                <w:rFonts w:ascii="Wingdings" w:eastAsia="Wingdings" w:hAnsi="Wingdings" w:cs="Wingdings"/>
                <w:b/>
                <w:color w:val="000000"/>
                <w:sz w:val="16"/>
                <w:szCs w:val="16"/>
                <w:lang w:val="en-GB" w:eastAsia="en-GB"/>
              </w:rPr>
              <w:t>üü</w:t>
            </w:r>
          </w:p>
        </w:tc>
        <w:tc>
          <w:tcPr>
            <w:tcW w:w="423" w:type="pct"/>
            <w:tcBorders>
              <w:bottom w:val="single" w:sz="4" w:space="0" w:color="auto"/>
            </w:tcBorders>
            <w:shd w:val="clear" w:color="auto" w:fill="FFE3A5" w:themeFill="accent4"/>
          </w:tcPr>
          <w:p w14:paraId="78EF9848" w14:textId="4D72D23B" w:rsidR="005F4385" w:rsidRPr="00F40F84" w:rsidRDefault="005F4385" w:rsidP="00AD6D9C">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163523">
              <w:rPr>
                <w:rFonts w:eastAsia="Times New Roman"/>
                <w:b/>
                <w:color w:val="000000"/>
                <w:sz w:val="16"/>
                <w:szCs w:val="16"/>
                <w:lang w:val="en-GB" w:eastAsia="en-GB"/>
              </w:rPr>
              <w:t>Medium</w:t>
            </w:r>
          </w:p>
        </w:tc>
        <w:tc>
          <w:tcPr>
            <w:tcW w:w="398" w:type="pct"/>
            <w:shd w:val="clear" w:color="auto" w:fill="F9B7AC" w:themeFill="accent2" w:themeFillTint="66"/>
          </w:tcPr>
          <w:p w14:paraId="1AB2091B" w14:textId="6FF6157E" w:rsidR="005F4385" w:rsidRPr="00F40F84" w:rsidRDefault="005F4385" w:rsidP="00AD6D9C">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163523">
              <w:rPr>
                <w:rFonts w:eastAsia="Arial"/>
                <w:b/>
                <w:sz w:val="16"/>
                <w:szCs w:val="16"/>
                <w:lang w:val="en-GB"/>
              </w:rPr>
              <w:t>High</w:t>
            </w:r>
          </w:p>
        </w:tc>
      </w:tr>
      <w:tr w:rsidR="00D702A5" w:rsidRPr="00F40F84" w14:paraId="2B5B91B7" w14:textId="77777777" w:rsidTr="00AE63C4">
        <w:trPr>
          <w:trHeight w:val="418"/>
        </w:trPr>
        <w:tc>
          <w:tcPr>
            <w:cnfStyle w:val="001000000000" w:firstRow="0" w:lastRow="0" w:firstColumn="1" w:lastColumn="0" w:oddVBand="0" w:evenVBand="0" w:oddHBand="0" w:evenHBand="0" w:firstRowFirstColumn="0" w:firstRowLastColumn="0" w:lastRowFirstColumn="0" w:lastRowLastColumn="0"/>
            <w:tcW w:w="547" w:type="pct"/>
            <w:vMerge/>
            <w:shd w:val="clear" w:color="auto" w:fill="FFFFFF" w:themeFill="background1"/>
          </w:tcPr>
          <w:p w14:paraId="466DC389" w14:textId="77777777" w:rsidR="00706869" w:rsidRPr="00F40F84" w:rsidRDefault="00706869" w:rsidP="00706869">
            <w:pPr>
              <w:spacing w:line="240" w:lineRule="auto"/>
              <w:ind w:left="0"/>
              <w:rPr>
                <w:b/>
                <w:bCs/>
                <w:sz w:val="16"/>
                <w:szCs w:val="16"/>
                <w:lang w:val="en-GB"/>
              </w:rPr>
            </w:pPr>
          </w:p>
        </w:tc>
        <w:tc>
          <w:tcPr>
            <w:tcW w:w="328" w:type="pct"/>
            <w:shd w:val="clear" w:color="auto" w:fill="FFFFFF" w:themeFill="background1"/>
          </w:tcPr>
          <w:p w14:paraId="7BF34737" w14:textId="77777777" w:rsidR="00706869" w:rsidRPr="00F40F84" w:rsidRDefault="00706869" w:rsidP="00706869">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F40F84">
              <w:rPr>
                <w:sz w:val="16"/>
                <w:szCs w:val="16"/>
                <w:lang w:val="en-GB"/>
              </w:rPr>
              <w:t>15</w:t>
            </w:r>
          </w:p>
        </w:tc>
        <w:tc>
          <w:tcPr>
            <w:tcW w:w="2536" w:type="pct"/>
            <w:shd w:val="clear" w:color="auto" w:fill="FFFFFF" w:themeFill="background1"/>
          </w:tcPr>
          <w:p w14:paraId="3F001120" w14:textId="77777777" w:rsidR="00706869" w:rsidRPr="00F40F84" w:rsidRDefault="00706869" w:rsidP="00706869">
            <w:pPr>
              <w:spacing w:line="240" w:lineRule="auto"/>
              <w:ind w:left="0"/>
              <w:jc w:val="left"/>
              <w:cnfStyle w:val="000000000000" w:firstRow="0" w:lastRow="0" w:firstColumn="0" w:lastColumn="0" w:oddVBand="0" w:evenVBand="0" w:oddHBand="0" w:evenHBand="0" w:firstRowFirstColumn="0" w:firstRowLastColumn="0" w:lastRowFirstColumn="0" w:lastRowLastColumn="0"/>
              <w:rPr>
                <w:sz w:val="16"/>
                <w:szCs w:val="16"/>
                <w:lang w:val="en-GB"/>
              </w:rPr>
            </w:pPr>
            <w:r w:rsidRPr="00F40F84">
              <w:rPr>
                <w:sz w:val="16"/>
                <w:szCs w:val="16"/>
                <w:lang w:val="en-GB"/>
              </w:rPr>
              <w:t>Safety risks or their perception restrict infrastructure development or certain supply/demand solutions</w:t>
            </w:r>
          </w:p>
        </w:tc>
        <w:tc>
          <w:tcPr>
            <w:tcW w:w="256" w:type="pct"/>
            <w:shd w:val="clear" w:color="auto" w:fill="FFFFFF" w:themeFill="background1"/>
          </w:tcPr>
          <w:p w14:paraId="41DF2E0F" w14:textId="77777777" w:rsidR="00706869" w:rsidRPr="00F40F84" w:rsidRDefault="00706869" w:rsidP="00706869">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p>
        </w:tc>
        <w:tc>
          <w:tcPr>
            <w:tcW w:w="256" w:type="pct"/>
            <w:shd w:val="clear" w:color="auto" w:fill="FFFFFF" w:themeFill="background1"/>
          </w:tcPr>
          <w:p w14:paraId="29F6C0E8" w14:textId="3BF02A10" w:rsidR="00706869" w:rsidRPr="00F40F84" w:rsidRDefault="00706869" w:rsidP="00706869">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163523">
              <w:rPr>
                <w:rFonts w:ascii="Wingdings" w:eastAsia="Wingdings" w:hAnsi="Wingdings" w:cs="Wingdings"/>
                <w:b/>
                <w:color w:val="000000"/>
                <w:sz w:val="16"/>
                <w:szCs w:val="16"/>
                <w:lang w:val="en-GB" w:eastAsia="en-GB"/>
              </w:rPr>
              <w:t>ü</w:t>
            </w:r>
          </w:p>
        </w:tc>
        <w:tc>
          <w:tcPr>
            <w:tcW w:w="256" w:type="pct"/>
            <w:shd w:val="clear" w:color="auto" w:fill="FFFFFF" w:themeFill="background1"/>
          </w:tcPr>
          <w:p w14:paraId="7A533FD9" w14:textId="77777777" w:rsidR="00706869" w:rsidRPr="00F40F84" w:rsidRDefault="00706869" w:rsidP="00706869">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p>
        </w:tc>
        <w:tc>
          <w:tcPr>
            <w:tcW w:w="423" w:type="pct"/>
            <w:shd w:val="clear" w:color="auto" w:fill="FFE3A5" w:themeFill="accent4"/>
          </w:tcPr>
          <w:p w14:paraId="66C5512E" w14:textId="48B5BF27" w:rsidR="00706869" w:rsidRPr="00F40F84" w:rsidRDefault="00706869" w:rsidP="00706869">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163523">
              <w:rPr>
                <w:rFonts w:eastAsia="Times New Roman"/>
                <w:b/>
                <w:color w:val="000000"/>
                <w:sz w:val="16"/>
                <w:szCs w:val="16"/>
                <w:lang w:val="en-GB" w:eastAsia="en-GB"/>
              </w:rPr>
              <w:t>Medium</w:t>
            </w:r>
          </w:p>
        </w:tc>
        <w:tc>
          <w:tcPr>
            <w:tcW w:w="398" w:type="pct"/>
            <w:shd w:val="clear" w:color="auto" w:fill="E0EBEB" w:themeFill="accent3" w:themeFillTint="66"/>
          </w:tcPr>
          <w:p w14:paraId="3AC83A89" w14:textId="7D4FFB84" w:rsidR="00706869" w:rsidRPr="00F40F84" w:rsidRDefault="00706869" w:rsidP="00706869">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163523">
              <w:rPr>
                <w:rFonts w:eastAsia="Arial"/>
                <w:b/>
                <w:sz w:val="16"/>
                <w:szCs w:val="16"/>
                <w:lang w:val="en-GB"/>
              </w:rPr>
              <w:t>Low</w:t>
            </w:r>
          </w:p>
        </w:tc>
      </w:tr>
      <w:tr w:rsidR="00D702A5" w:rsidRPr="00F82B4C" w14:paraId="71FC972A" w14:textId="77777777" w:rsidTr="00632FD0">
        <w:trPr>
          <w:trHeight w:val="418"/>
        </w:trPr>
        <w:tc>
          <w:tcPr>
            <w:cnfStyle w:val="001000000000" w:firstRow="0" w:lastRow="0" w:firstColumn="1" w:lastColumn="0" w:oddVBand="0" w:evenVBand="0" w:oddHBand="0" w:evenHBand="0" w:firstRowFirstColumn="0" w:firstRowLastColumn="0" w:lastRowFirstColumn="0" w:lastRowLastColumn="0"/>
            <w:tcW w:w="547" w:type="pct"/>
            <w:shd w:val="clear" w:color="auto" w:fill="FFFFFF" w:themeFill="background1"/>
            <w:hideMark/>
          </w:tcPr>
          <w:p w14:paraId="72F1E5E8" w14:textId="77777777" w:rsidR="005F4385" w:rsidRPr="00163523" w:rsidRDefault="005F4385" w:rsidP="000364AF">
            <w:pPr>
              <w:spacing w:line="240" w:lineRule="auto"/>
              <w:ind w:left="0"/>
              <w:rPr>
                <w:sz w:val="16"/>
                <w:szCs w:val="16"/>
                <w:lang w:val="en-GB"/>
              </w:rPr>
            </w:pPr>
            <w:r w:rsidRPr="00F40F84">
              <w:rPr>
                <w:b/>
                <w:bCs/>
                <w:sz w:val="16"/>
                <w:szCs w:val="16"/>
                <w:lang w:val="en-GB"/>
              </w:rPr>
              <w:t>Geopolitical</w:t>
            </w:r>
          </w:p>
        </w:tc>
        <w:tc>
          <w:tcPr>
            <w:tcW w:w="328" w:type="pct"/>
            <w:shd w:val="clear" w:color="auto" w:fill="FFFFFF" w:themeFill="background1"/>
          </w:tcPr>
          <w:p w14:paraId="450DD99C" w14:textId="77777777" w:rsidR="005F4385" w:rsidRPr="00F40F84" w:rsidRDefault="005F4385" w:rsidP="000364AF">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F40F84">
              <w:rPr>
                <w:sz w:val="16"/>
                <w:szCs w:val="16"/>
                <w:lang w:val="en-GB"/>
              </w:rPr>
              <w:t>16</w:t>
            </w:r>
          </w:p>
        </w:tc>
        <w:tc>
          <w:tcPr>
            <w:tcW w:w="2536" w:type="pct"/>
            <w:shd w:val="clear" w:color="auto" w:fill="FFFFFF" w:themeFill="background1"/>
            <w:hideMark/>
          </w:tcPr>
          <w:p w14:paraId="3F6217E7" w14:textId="77777777" w:rsidR="005F4385" w:rsidRPr="00163523" w:rsidRDefault="005F4385" w:rsidP="000364AF">
            <w:pPr>
              <w:spacing w:line="240" w:lineRule="auto"/>
              <w:ind w:left="0"/>
              <w:jc w:val="left"/>
              <w:cnfStyle w:val="000000000000" w:firstRow="0" w:lastRow="0" w:firstColumn="0" w:lastColumn="0" w:oddVBand="0" w:evenVBand="0" w:oddHBand="0" w:evenHBand="0" w:firstRowFirstColumn="0" w:firstRowLastColumn="0" w:lastRowFirstColumn="0" w:lastRowLastColumn="0"/>
              <w:rPr>
                <w:sz w:val="16"/>
                <w:szCs w:val="16"/>
                <w:lang w:val="en-GB"/>
              </w:rPr>
            </w:pPr>
            <w:r w:rsidRPr="00F40F84">
              <w:rPr>
                <w:sz w:val="16"/>
                <w:szCs w:val="16"/>
                <w:lang w:val="en-GB"/>
              </w:rPr>
              <w:t>Geopolitical events can divert resources and attention from gas decarbonisation measures</w:t>
            </w:r>
          </w:p>
        </w:tc>
        <w:tc>
          <w:tcPr>
            <w:tcW w:w="256" w:type="pct"/>
            <w:shd w:val="clear" w:color="auto" w:fill="FFFFFF" w:themeFill="background1"/>
          </w:tcPr>
          <w:p w14:paraId="5FD1C57B" w14:textId="26C368ED" w:rsidR="005F4385" w:rsidRPr="00F40F84" w:rsidRDefault="00632FD0" w:rsidP="000364AF">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163523">
              <w:rPr>
                <w:rFonts w:ascii="Wingdings" w:eastAsia="Wingdings" w:hAnsi="Wingdings" w:cs="Wingdings"/>
                <w:b/>
                <w:color w:val="000000"/>
                <w:sz w:val="16"/>
                <w:szCs w:val="16"/>
                <w:lang w:val="en-GB" w:eastAsia="en-GB"/>
              </w:rPr>
              <w:t>ü</w:t>
            </w:r>
          </w:p>
        </w:tc>
        <w:tc>
          <w:tcPr>
            <w:tcW w:w="256" w:type="pct"/>
            <w:shd w:val="clear" w:color="auto" w:fill="FFFFFF" w:themeFill="background1"/>
          </w:tcPr>
          <w:p w14:paraId="0D91F7DF" w14:textId="3702A47F" w:rsidR="005F4385" w:rsidRPr="00F40F84" w:rsidRDefault="00632FD0" w:rsidP="000364AF">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163523">
              <w:rPr>
                <w:rFonts w:ascii="Wingdings" w:eastAsia="Wingdings" w:hAnsi="Wingdings" w:cs="Wingdings"/>
                <w:b/>
                <w:color w:val="000000"/>
                <w:sz w:val="16"/>
                <w:szCs w:val="16"/>
                <w:lang w:val="en-GB" w:eastAsia="en-GB"/>
              </w:rPr>
              <w:t>ü</w:t>
            </w:r>
          </w:p>
        </w:tc>
        <w:tc>
          <w:tcPr>
            <w:tcW w:w="256" w:type="pct"/>
            <w:shd w:val="clear" w:color="auto" w:fill="FFFFFF" w:themeFill="background1"/>
          </w:tcPr>
          <w:p w14:paraId="33DEE6FA" w14:textId="714FE1B0" w:rsidR="005F4385" w:rsidRPr="00F40F84" w:rsidRDefault="00632FD0" w:rsidP="000364AF">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163523">
              <w:rPr>
                <w:rFonts w:ascii="Wingdings" w:eastAsia="Wingdings" w:hAnsi="Wingdings" w:cs="Wingdings"/>
                <w:b/>
                <w:color w:val="000000"/>
                <w:sz w:val="16"/>
                <w:szCs w:val="16"/>
                <w:lang w:val="en-GB" w:eastAsia="en-GB"/>
              </w:rPr>
              <w:t>ü</w:t>
            </w:r>
          </w:p>
        </w:tc>
        <w:tc>
          <w:tcPr>
            <w:tcW w:w="423" w:type="pct"/>
            <w:shd w:val="clear" w:color="auto" w:fill="FFE3A5" w:themeFill="accent4"/>
          </w:tcPr>
          <w:p w14:paraId="094FCACF" w14:textId="20D4E028" w:rsidR="005F4385" w:rsidRPr="00F40F84" w:rsidRDefault="00632FD0" w:rsidP="000364AF">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163523">
              <w:rPr>
                <w:rFonts w:eastAsia="Times New Roman"/>
                <w:b/>
                <w:color w:val="000000"/>
                <w:sz w:val="16"/>
                <w:szCs w:val="16"/>
                <w:lang w:val="en-GB" w:eastAsia="en-GB"/>
              </w:rPr>
              <w:t>Medium</w:t>
            </w:r>
          </w:p>
        </w:tc>
        <w:tc>
          <w:tcPr>
            <w:tcW w:w="398" w:type="pct"/>
            <w:shd w:val="clear" w:color="auto" w:fill="FFE3A5" w:themeFill="accent4"/>
          </w:tcPr>
          <w:p w14:paraId="55240D56" w14:textId="21A81F1F" w:rsidR="005F4385" w:rsidRPr="00F40F84" w:rsidRDefault="00632FD0" w:rsidP="000364AF">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163523">
              <w:rPr>
                <w:rFonts w:eastAsia="Times New Roman"/>
                <w:b/>
                <w:color w:val="000000"/>
                <w:sz w:val="16"/>
                <w:szCs w:val="16"/>
                <w:lang w:val="en-GB" w:eastAsia="en-GB"/>
              </w:rPr>
              <w:t>Medium</w:t>
            </w:r>
          </w:p>
        </w:tc>
      </w:tr>
    </w:tbl>
    <w:p w14:paraId="39FB7EA8" w14:textId="77777777" w:rsidR="005F4385" w:rsidRDefault="005F4385" w:rsidP="005F4385">
      <w:pPr>
        <w:rPr>
          <w:lang w:val="en-GB"/>
        </w:rPr>
        <w:sectPr w:rsidR="005F4385" w:rsidSect="005F4385">
          <w:footerReference w:type="default" r:id="rId26"/>
          <w:pgSz w:w="16838" w:h="11906" w:orient="landscape" w:code="9"/>
          <w:pgMar w:top="1440" w:right="1440" w:bottom="1440" w:left="1440" w:header="709" w:footer="709" w:gutter="0"/>
          <w:cols w:space="708"/>
          <w:docGrid w:linePitch="360"/>
        </w:sectPr>
      </w:pPr>
    </w:p>
    <w:p w14:paraId="03D1602F" w14:textId="4CA9E38D" w:rsidR="007D61EA" w:rsidRDefault="007D61EA" w:rsidP="001A3CCD">
      <w:pPr>
        <w:pStyle w:val="Kop2"/>
      </w:pPr>
      <w:bookmarkStart w:id="96" w:name="_Toc138492618"/>
      <w:bookmarkStart w:id="97" w:name="_Toc144803025"/>
      <w:r w:rsidRPr="00CC5DB0">
        <w:lastRenderedPageBreak/>
        <w:t>Synthesis of main risk-mitigation strategies</w:t>
      </w:r>
      <w:r w:rsidR="006E3B28">
        <w:t xml:space="preserve"> and</w:t>
      </w:r>
      <w:r w:rsidRPr="00CC5DB0">
        <w:t xml:space="preserve"> no-regret options</w:t>
      </w:r>
      <w:bookmarkEnd w:id="96"/>
      <w:bookmarkEnd w:id="97"/>
    </w:p>
    <w:p w14:paraId="60E3A103" w14:textId="4E1553B6" w:rsidR="009F64E8" w:rsidRDefault="005D2D4E" w:rsidP="009F64E8">
      <w:pPr>
        <w:rPr>
          <w:lang w:val="en-GB"/>
        </w:rPr>
      </w:pPr>
      <w:r>
        <w:rPr>
          <w:lang w:val="en-GB"/>
        </w:rPr>
        <w:t xml:space="preserve">The </w:t>
      </w:r>
      <w:r w:rsidR="009F64E8">
        <w:rPr>
          <w:lang w:val="en-GB"/>
        </w:rPr>
        <w:t xml:space="preserve">possible mitigation measures </w:t>
      </w:r>
      <w:r>
        <w:rPr>
          <w:lang w:val="en-GB"/>
        </w:rPr>
        <w:t xml:space="preserve">are </w:t>
      </w:r>
      <w:r w:rsidR="009F64E8">
        <w:rPr>
          <w:lang w:val="en-GB"/>
        </w:rPr>
        <w:t>identified for each of the assessed risks</w:t>
      </w:r>
      <w:r w:rsidR="00120DBF" w:rsidRPr="00120DBF">
        <w:rPr>
          <w:lang w:val="en-GB"/>
        </w:rPr>
        <w:t xml:space="preserve"> </w:t>
      </w:r>
      <w:r w:rsidR="00120DBF">
        <w:rPr>
          <w:lang w:val="en-GB"/>
        </w:rPr>
        <w:t>in Chapter 3</w:t>
      </w:r>
      <w:r w:rsidR="009F64E8">
        <w:rPr>
          <w:lang w:val="en-GB"/>
        </w:rPr>
        <w:t xml:space="preserve">. </w:t>
      </w:r>
      <w:r w:rsidR="009F64E8">
        <w:rPr>
          <w:lang w:val="en-GB"/>
        </w:rPr>
        <w:fldChar w:fldCharType="begin"/>
      </w:r>
      <w:r w:rsidR="009F64E8">
        <w:rPr>
          <w:lang w:val="en-GB"/>
        </w:rPr>
        <w:instrText xml:space="preserve"> REF _Ref138343875 \h </w:instrText>
      </w:r>
      <w:r w:rsidR="009F64E8">
        <w:rPr>
          <w:lang w:val="en-GB"/>
        </w:rPr>
      </w:r>
      <w:r w:rsidR="009F64E8">
        <w:rPr>
          <w:lang w:val="en-GB"/>
        </w:rPr>
        <w:fldChar w:fldCharType="separate"/>
      </w:r>
      <w:r w:rsidR="009F64E8" w:rsidRPr="00AE63C4">
        <w:rPr>
          <w:lang w:val="en-GB"/>
        </w:rPr>
        <w:t xml:space="preserve">Table </w:t>
      </w:r>
      <w:r w:rsidR="009F64E8">
        <w:rPr>
          <w:noProof/>
          <w:lang w:val="en-GB"/>
        </w:rPr>
        <w:t>4</w:t>
      </w:r>
      <w:r w:rsidR="009F64E8">
        <w:rPr>
          <w:lang w:val="en-GB"/>
        </w:rPr>
        <w:noBreakHyphen/>
      </w:r>
      <w:r w:rsidR="003F137B">
        <w:rPr>
          <w:lang w:val="en-GB"/>
        </w:rPr>
        <w:t>3</w:t>
      </w:r>
      <w:r w:rsidR="009F64E8">
        <w:rPr>
          <w:lang w:val="en-GB"/>
        </w:rPr>
        <w:fldChar w:fldCharType="end"/>
      </w:r>
      <w:r w:rsidR="009F64E8">
        <w:rPr>
          <w:lang w:val="en-GB"/>
        </w:rPr>
        <w:t xml:space="preserve"> summarises these mitigation </w:t>
      </w:r>
      <w:r w:rsidR="00F67CA0">
        <w:rPr>
          <w:lang w:val="en-GB"/>
        </w:rPr>
        <w:t xml:space="preserve">measures </w:t>
      </w:r>
      <w:r w:rsidR="009F64E8">
        <w:rPr>
          <w:lang w:val="en-GB"/>
        </w:rPr>
        <w:t>for the main risks. These mitigation measures also allow to address other assessed risks (see last column).</w:t>
      </w:r>
    </w:p>
    <w:p w14:paraId="34718B7B" w14:textId="77777777" w:rsidR="00ED1718" w:rsidRDefault="00ED1718" w:rsidP="009F64E8">
      <w:pPr>
        <w:rPr>
          <w:lang w:val="en-GB"/>
        </w:rPr>
      </w:pPr>
    </w:p>
    <w:p w14:paraId="5AB9D0D9" w14:textId="77777777" w:rsidR="00ED1718" w:rsidRDefault="00ED1718" w:rsidP="00ED1718">
      <w:pPr>
        <w:rPr>
          <w:lang w:val="en-GB"/>
        </w:rPr>
      </w:pPr>
      <w:r>
        <w:rPr>
          <w:lang w:val="en-GB"/>
        </w:rPr>
        <w:t>While the underlying causes of the main risks are of diverse nature (economic, technical or social), the main channel through which they impact the decarbonisation scenarios is by affecting the deployment of the necessary decarbonisation assets. As such, besides mitigation measures to address the individual root causes of the risks, measures for coordinating the deployment of the required assets and addressing the various risks (not only the main ones) are essential – besides coordination measures such as a regional strategy or roadmap being identified as mitigation measures for specific risks.</w:t>
      </w:r>
    </w:p>
    <w:p w14:paraId="4CD9BBDC" w14:textId="77777777" w:rsidR="009F64E8" w:rsidRPr="006E3B28" w:rsidRDefault="009F64E8" w:rsidP="00ED1718">
      <w:pPr>
        <w:rPr>
          <w:lang w:val="en-GB"/>
        </w:rPr>
      </w:pPr>
    </w:p>
    <w:p w14:paraId="73833A1E" w14:textId="5FF1731B" w:rsidR="009F64E8" w:rsidRPr="00163523" w:rsidRDefault="009F64E8" w:rsidP="009F64E8">
      <w:pPr>
        <w:pStyle w:val="Bijschrift"/>
        <w:rPr>
          <w:lang w:val="en-GB"/>
        </w:rPr>
      </w:pPr>
      <w:r w:rsidRPr="00163523">
        <w:rPr>
          <w:lang w:val="en-GB"/>
        </w:rPr>
        <w:t xml:space="preserve">Table </w:t>
      </w:r>
      <w:r w:rsidRPr="00163523">
        <w:rPr>
          <w:lang w:val="en-GB"/>
        </w:rPr>
        <w:fldChar w:fldCharType="begin"/>
      </w:r>
      <w:r w:rsidRPr="00163523">
        <w:rPr>
          <w:lang w:val="en-GB"/>
        </w:rPr>
        <w:instrText xml:space="preserve"> STYLEREF 1 \s </w:instrText>
      </w:r>
      <w:r w:rsidRPr="00163523">
        <w:rPr>
          <w:lang w:val="en-GB"/>
        </w:rPr>
        <w:fldChar w:fldCharType="separate"/>
      </w:r>
      <w:r w:rsidRPr="00163523">
        <w:rPr>
          <w:lang w:val="en-GB"/>
        </w:rPr>
        <w:t>4</w:t>
      </w:r>
      <w:r w:rsidRPr="00163523">
        <w:rPr>
          <w:lang w:val="en-GB"/>
        </w:rPr>
        <w:fldChar w:fldCharType="end"/>
      </w:r>
      <w:r w:rsidRPr="00163523">
        <w:rPr>
          <w:lang w:val="en-GB"/>
        </w:rPr>
        <w:noBreakHyphen/>
      </w:r>
      <w:r w:rsidRPr="00163523">
        <w:rPr>
          <w:lang w:val="en-GB"/>
        </w:rPr>
        <w:fldChar w:fldCharType="begin"/>
      </w:r>
      <w:r w:rsidRPr="00163523">
        <w:rPr>
          <w:lang w:val="en-GB"/>
        </w:rPr>
        <w:instrText xml:space="preserve"> SEQ Table \* ARABIC \s 1 </w:instrText>
      </w:r>
      <w:r w:rsidRPr="00163523">
        <w:rPr>
          <w:lang w:val="en-GB"/>
        </w:rPr>
        <w:fldChar w:fldCharType="separate"/>
      </w:r>
      <w:r w:rsidRPr="00163523">
        <w:rPr>
          <w:lang w:val="en-GB"/>
        </w:rPr>
        <w:t>3</w:t>
      </w:r>
      <w:r w:rsidRPr="00163523">
        <w:rPr>
          <w:lang w:val="en-GB"/>
        </w:rPr>
        <w:fldChar w:fldCharType="end"/>
      </w:r>
      <w:r w:rsidRPr="00163523">
        <w:rPr>
          <w:lang w:val="en-GB"/>
        </w:rPr>
        <w:t xml:space="preserve"> Mitigation measures for main identified risks</w:t>
      </w:r>
    </w:p>
    <w:tbl>
      <w:tblPr>
        <w:tblStyle w:val="Table1"/>
        <w:tblW w:w="4701" w:type="pct"/>
        <w:tblLayout w:type="fixed"/>
        <w:tblCellMar>
          <w:top w:w="28" w:type="dxa"/>
          <w:bottom w:w="28" w:type="dxa"/>
        </w:tblCellMar>
        <w:tblLook w:val="04A0" w:firstRow="1" w:lastRow="0" w:firstColumn="1" w:lastColumn="0" w:noHBand="0" w:noVBand="1"/>
      </w:tblPr>
      <w:tblGrid>
        <w:gridCol w:w="420"/>
        <w:gridCol w:w="2662"/>
        <w:gridCol w:w="3866"/>
        <w:gridCol w:w="1529"/>
      </w:tblGrid>
      <w:tr w:rsidR="009F64E8" w:rsidRPr="00F40F84" w14:paraId="163AD68B" w14:textId="71B128F2" w:rsidTr="00D4312D">
        <w:trPr>
          <w:cnfStyle w:val="100000000000" w:firstRow="1" w:lastRow="0" w:firstColumn="0" w:lastColumn="0" w:oddVBand="0" w:evenVBand="0" w:oddHBand="0" w:evenHBand="0" w:firstRowFirstColumn="0" w:firstRowLastColumn="0" w:lastRowFirstColumn="0" w:lastRowLastColumn="0"/>
          <w:cantSplit/>
          <w:trHeight w:val="213"/>
          <w:tblHeader/>
        </w:trPr>
        <w:tc>
          <w:tcPr>
            <w:cnfStyle w:val="001000000000" w:firstRow="0" w:lastRow="0" w:firstColumn="1" w:lastColumn="0" w:oddVBand="0" w:evenVBand="0" w:oddHBand="0" w:evenHBand="0" w:firstRowFirstColumn="0" w:firstRowLastColumn="0" w:lastRowFirstColumn="0" w:lastRowLastColumn="0"/>
            <w:tcW w:w="248" w:type="pct"/>
            <w:shd w:val="clear" w:color="auto" w:fill="005962" w:themeFill="accent1"/>
          </w:tcPr>
          <w:p w14:paraId="4AD0A458" w14:textId="77777777" w:rsidR="009F64E8" w:rsidRPr="00F40F84" w:rsidRDefault="009F64E8" w:rsidP="00F96714">
            <w:pPr>
              <w:spacing w:line="240" w:lineRule="auto"/>
              <w:ind w:left="0"/>
              <w:rPr>
                <w:bCs/>
                <w:sz w:val="16"/>
                <w:szCs w:val="16"/>
                <w:lang w:val="en-GB"/>
              </w:rPr>
            </w:pPr>
            <w:r w:rsidRPr="00F40F84">
              <w:rPr>
                <w:bCs/>
                <w:sz w:val="16"/>
                <w:szCs w:val="16"/>
                <w:lang w:val="en-GB"/>
              </w:rPr>
              <w:t>No</w:t>
            </w:r>
          </w:p>
        </w:tc>
        <w:tc>
          <w:tcPr>
            <w:tcW w:w="1570" w:type="pct"/>
            <w:shd w:val="clear" w:color="auto" w:fill="005962" w:themeFill="accent1"/>
            <w:hideMark/>
          </w:tcPr>
          <w:p w14:paraId="413D9A49" w14:textId="77777777" w:rsidR="009F64E8" w:rsidRPr="00163523" w:rsidRDefault="009F64E8" w:rsidP="00F96714">
            <w:pPr>
              <w:spacing w:line="240" w:lineRule="auto"/>
              <w:ind w:left="0"/>
              <w:cnfStyle w:val="100000000000" w:firstRow="1" w:lastRow="0" w:firstColumn="0" w:lastColumn="0" w:oddVBand="0" w:evenVBand="0" w:oddHBand="0" w:evenHBand="0" w:firstRowFirstColumn="0" w:firstRowLastColumn="0" w:lastRowFirstColumn="0" w:lastRowLastColumn="0"/>
              <w:rPr>
                <w:sz w:val="16"/>
                <w:szCs w:val="16"/>
                <w:lang w:val="en-GB"/>
              </w:rPr>
            </w:pPr>
            <w:r w:rsidRPr="00F40F84">
              <w:rPr>
                <w:bCs/>
                <w:sz w:val="16"/>
                <w:szCs w:val="16"/>
                <w:lang w:val="en-GB"/>
              </w:rPr>
              <w:t>Risk</w:t>
            </w:r>
          </w:p>
        </w:tc>
        <w:tc>
          <w:tcPr>
            <w:tcW w:w="2280" w:type="pct"/>
            <w:shd w:val="clear" w:color="auto" w:fill="005962" w:themeFill="accent1"/>
          </w:tcPr>
          <w:p w14:paraId="7354C5F2" w14:textId="77777777" w:rsidR="009F64E8" w:rsidRPr="00F40F84" w:rsidRDefault="009F64E8" w:rsidP="00F96714">
            <w:pPr>
              <w:spacing w:line="240" w:lineRule="auto"/>
              <w:ind w:left="0"/>
              <w:cnfStyle w:val="100000000000" w:firstRow="1" w:lastRow="0" w:firstColumn="0" w:lastColumn="0" w:oddVBand="0" w:evenVBand="0" w:oddHBand="0" w:evenHBand="0" w:firstRowFirstColumn="0" w:firstRowLastColumn="0" w:lastRowFirstColumn="0" w:lastRowLastColumn="0"/>
              <w:rPr>
                <w:bCs/>
                <w:sz w:val="16"/>
                <w:szCs w:val="16"/>
                <w:lang w:val="en-GB"/>
              </w:rPr>
            </w:pPr>
            <w:r>
              <w:rPr>
                <w:bCs/>
                <w:sz w:val="16"/>
                <w:szCs w:val="16"/>
                <w:lang w:val="en-GB"/>
              </w:rPr>
              <w:t>Mitigation measures</w:t>
            </w:r>
          </w:p>
        </w:tc>
        <w:tc>
          <w:tcPr>
            <w:tcW w:w="902" w:type="pct"/>
            <w:shd w:val="clear" w:color="auto" w:fill="005962" w:themeFill="accent1"/>
          </w:tcPr>
          <w:p w14:paraId="347CB3D7" w14:textId="42A62C11" w:rsidR="009F64E8" w:rsidRDefault="009F64E8" w:rsidP="009F64E8">
            <w:pPr>
              <w:spacing w:line="240" w:lineRule="auto"/>
              <w:ind w:left="0"/>
              <w:cnfStyle w:val="100000000000" w:firstRow="1" w:lastRow="0" w:firstColumn="0" w:lastColumn="0" w:oddVBand="0" w:evenVBand="0" w:oddHBand="0" w:evenHBand="0" w:firstRowFirstColumn="0" w:firstRowLastColumn="0" w:lastRowFirstColumn="0" w:lastRowLastColumn="0"/>
              <w:rPr>
                <w:bCs/>
                <w:sz w:val="16"/>
                <w:szCs w:val="16"/>
                <w:lang w:val="en-GB"/>
              </w:rPr>
            </w:pPr>
            <w:r>
              <w:rPr>
                <w:bCs/>
                <w:sz w:val="16"/>
                <w:szCs w:val="16"/>
                <w:lang w:val="en-GB"/>
              </w:rPr>
              <w:t>Other risks addressed</w:t>
            </w:r>
          </w:p>
        </w:tc>
      </w:tr>
      <w:tr w:rsidR="009F64E8" w:rsidRPr="009F64E8" w14:paraId="0B94CF9D" w14:textId="427F9061" w:rsidTr="00D4312D">
        <w:trPr>
          <w:cantSplit/>
          <w:trHeight w:val="418"/>
        </w:trPr>
        <w:tc>
          <w:tcPr>
            <w:cnfStyle w:val="001000000000" w:firstRow="0" w:lastRow="0" w:firstColumn="1" w:lastColumn="0" w:oddVBand="0" w:evenVBand="0" w:oddHBand="0" w:evenHBand="0" w:firstRowFirstColumn="0" w:firstRowLastColumn="0" w:lastRowFirstColumn="0" w:lastRowLastColumn="0"/>
            <w:tcW w:w="248" w:type="pct"/>
            <w:vMerge w:val="restart"/>
            <w:shd w:val="clear" w:color="auto" w:fill="FFFFFF" w:themeFill="background1"/>
          </w:tcPr>
          <w:p w14:paraId="6A454F43" w14:textId="77777777" w:rsidR="009F64E8" w:rsidRPr="00F40F84" w:rsidRDefault="009F64E8" w:rsidP="00F96714">
            <w:pPr>
              <w:spacing w:line="240" w:lineRule="auto"/>
              <w:ind w:left="0"/>
              <w:rPr>
                <w:sz w:val="16"/>
                <w:szCs w:val="16"/>
                <w:lang w:val="en-GB"/>
              </w:rPr>
            </w:pPr>
            <w:r w:rsidRPr="00F40F84">
              <w:rPr>
                <w:sz w:val="16"/>
                <w:szCs w:val="16"/>
                <w:lang w:val="en-GB"/>
              </w:rPr>
              <w:t>1</w:t>
            </w:r>
          </w:p>
        </w:tc>
        <w:tc>
          <w:tcPr>
            <w:tcW w:w="1570" w:type="pct"/>
            <w:vMerge w:val="restart"/>
            <w:shd w:val="clear" w:color="auto" w:fill="FFFFFF" w:themeFill="background1"/>
            <w:hideMark/>
          </w:tcPr>
          <w:p w14:paraId="7FFEA317" w14:textId="77777777" w:rsidR="009F64E8" w:rsidRPr="00163523" w:rsidRDefault="009F64E8" w:rsidP="00F96714">
            <w:pPr>
              <w:spacing w:line="240" w:lineRule="auto"/>
              <w:ind w:left="0"/>
              <w:jc w:val="left"/>
              <w:cnfStyle w:val="000000000000" w:firstRow="0" w:lastRow="0" w:firstColumn="0" w:lastColumn="0" w:oddVBand="0" w:evenVBand="0" w:oddHBand="0" w:evenHBand="0" w:firstRowFirstColumn="0" w:firstRowLastColumn="0" w:lastRowFirstColumn="0" w:lastRowLastColumn="0"/>
              <w:rPr>
                <w:sz w:val="16"/>
                <w:szCs w:val="16"/>
                <w:lang w:val="en-GB"/>
              </w:rPr>
            </w:pPr>
            <w:r w:rsidRPr="00F40F84">
              <w:rPr>
                <w:sz w:val="16"/>
                <w:szCs w:val="16"/>
                <w:lang w:val="en-GB"/>
              </w:rPr>
              <w:t>Economic turndown and instability can limit ability local of gas producers, users, network operators and authorities to invest in gas decarbonisation measures</w:t>
            </w:r>
          </w:p>
        </w:tc>
        <w:tc>
          <w:tcPr>
            <w:tcW w:w="2280" w:type="pct"/>
            <w:shd w:val="clear" w:color="auto" w:fill="FFFFFF" w:themeFill="background1"/>
          </w:tcPr>
          <w:p w14:paraId="7963FAAE" w14:textId="77F4F50A" w:rsidR="009F64E8" w:rsidRPr="009F64E8" w:rsidRDefault="009F64E8" w:rsidP="009F64E8">
            <w:pPr>
              <w:pStyle w:val="Lijstalinea"/>
              <w:numPr>
                <w:ilvl w:val="0"/>
                <w:numId w:val="40"/>
              </w:numPr>
              <w:tabs>
                <w:tab w:val="clear" w:pos="851"/>
              </w:tabs>
              <w:spacing w:line="240" w:lineRule="auto"/>
              <w:ind w:left="105" w:hanging="153"/>
              <w:jc w:val="left"/>
              <w:cnfStyle w:val="000000000000" w:firstRow="0" w:lastRow="0" w:firstColumn="0" w:lastColumn="0" w:oddVBand="0" w:evenVBand="0" w:oddHBand="0" w:evenHBand="0" w:firstRowFirstColumn="0" w:firstRowLastColumn="0" w:lastRowFirstColumn="0" w:lastRowLastColumn="0"/>
              <w:rPr>
                <w:sz w:val="16"/>
                <w:szCs w:val="16"/>
              </w:rPr>
            </w:pPr>
            <w:r w:rsidRPr="007C00D2">
              <w:rPr>
                <w:sz w:val="16"/>
                <w:szCs w:val="16"/>
              </w:rPr>
              <w:t>Economic and financial measures to prevent an economic turndown or reduce its impact</w:t>
            </w:r>
          </w:p>
        </w:tc>
        <w:tc>
          <w:tcPr>
            <w:tcW w:w="902" w:type="pct"/>
            <w:shd w:val="clear" w:color="auto" w:fill="FFFFFF" w:themeFill="background1"/>
          </w:tcPr>
          <w:p w14:paraId="32D2C1EA" w14:textId="5A688151" w:rsidR="009F64E8" w:rsidRPr="00163523" w:rsidRDefault="009F64E8" w:rsidP="009F64E8">
            <w:pPr>
              <w:spacing w:line="240" w:lineRule="auto"/>
              <w:ind w:left="-48"/>
              <w:cnfStyle w:val="000000000000" w:firstRow="0" w:lastRow="0" w:firstColumn="0" w:lastColumn="0" w:oddVBand="0" w:evenVBand="0" w:oddHBand="0" w:evenHBand="0" w:firstRowFirstColumn="0" w:firstRowLastColumn="0" w:lastRowFirstColumn="0" w:lastRowLastColumn="0"/>
              <w:rPr>
                <w:sz w:val="16"/>
                <w:szCs w:val="16"/>
                <w:lang w:val="en-GB"/>
              </w:rPr>
            </w:pPr>
            <w:r w:rsidRPr="00163523">
              <w:rPr>
                <w:sz w:val="16"/>
                <w:szCs w:val="16"/>
                <w:lang w:val="en-GB"/>
              </w:rPr>
              <w:t>4, 13, 16</w:t>
            </w:r>
          </w:p>
        </w:tc>
      </w:tr>
      <w:tr w:rsidR="009F64E8" w:rsidRPr="009F64E8" w14:paraId="7283CF9A" w14:textId="06B46324" w:rsidTr="00D4312D">
        <w:trPr>
          <w:cantSplit/>
          <w:trHeight w:val="418"/>
        </w:trPr>
        <w:tc>
          <w:tcPr>
            <w:cnfStyle w:val="001000000000" w:firstRow="0" w:lastRow="0" w:firstColumn="1" w:lastColumn="0" w:oddVBand="0" w:evenVBand="0" w:oddHBand="0" w:evenHBand="0" w:firstRowFirstColumn="0" w:firstRowLastColumn="0" w:lastRowFirstColumn="0" w:lastRowLastColumn="0"/>
            <w:tcW w:w="248" w:type="pct"/>
            <w:vMerge/>
            <w:shd w:val="clear" w:color="auto" w:fill="FFFFFF" w:themeFill="background1"/>
          </w:tcPr>
          <w:p w14:paraId="6CFE07F2" w14:textId="4C72B9BA" w:rsidR="009F64E8" w:rsidRPr="00F40F84" w:rsidRDefault="009F64E8" w:rsidP="009F64E8">
            <w:pPr>
              <w:spacing w:line="240" w:lineRule="auto"/>
              <w:ind w:left="0"/>
              <w:rPr>
                <w:sz w:val="16"/>
                <w:szCs w:val="16"/>
                <w:lang w:val="en-GB"/>
              </w:rPr>
            </w:pPr>
          </w:p>
        </w:tc>
        <w:tc>
          <w:tcPr>
            <w:tcW w:w="1570" w:type="pct"/>
            <w:vMerge/>
            <w:shd w:val="clear" w:color="auto" w:fill="FFFFFF" w:themeFill="background1"/>
          </w:tcPr>
          <w:p w14:paraId="6883BFD4" w14:textId="49696921" w:rsidR="009F64E8" w:rsidRPr="00F40F84" w:rsidRDefault="009F64E8" w:rsidP="009F64E8">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p>
        </w:tc>
        <w:tc>
          <w:tcPr>
            <w:tcW w:w="2280" w:type="pct"/>
            <w:shd w:val="clear" w:color="auto" w:fill="FFFFFF" w:themeFill="background1"/>
          </w:tcPr>
          <w:p w14:paraId="21631E08" w14:textId="2E603AC5" w:rsidR="009F64E8" w:rsidRPr="007C00D2" w:rsidRDefault="009F64E8" w:rsidP="009F64E8">
            <w:pPr>
              <w:pStyle w:val="Lijstalinea"/>
              <w:numPr>
                <w:ilvl w:val="0"/>
                <w:numId w:val="40"/>
              </w:numPr>
              <w:tabs>
                <w:tab w:val="clear" w:pos="851"/>
              </w:tabs>
              <w:spacing w:line="240" w:lineRule="auto"/>
              <w:ind w:left="105" w:hanging="153"/>
              <w:jc w:val="left"/>
              <w:cnfStyle w:val="000000000000" w:firstRow="0" w:lastRow="0" w:firstColumn="0" w:lastColumn="0" w:oddVBand="0" w:evenVBand="0" w:oddHBand="0" w:evenHBand="0" w:firstRowFirstColumn="0" w:firstRowLastColumn="0" w:lastRowFirstColumn="0" w:lastRowLastColumn="0"/>
              <w:rPr>
                <w:sz w:val="16"/>
                <w:szCs w:val="16"/>
              </w:rPr>
            </w:pPr>
            <w:r w:rsidRPr="007C00D2">
              <w:rPr>
                <w:sz w:val="16"/>
                <w:szCs w:val="16"/>
              </w:rPr>
              <w:t>Provid</w:t>
            </w:r>
            <w:r w:rsidR="00486F1D">
              <w:rPr>
                <w:sz w:val="16"/>
                <w:szCs w:val="16"/>
              </w:rPr>
              <w:t>e</w:t>
            </w:r>
            <w:r w:rsidRPr="007C00D2">
              <w:rPr>
                <w:sz w:val="16"/>
                <w:szCs w:val="16"/>
              </w:rPr>
              <w:t xml:space="preserve"> adequate price signals to economic actors to stimulate investments in decarbonisation measures, such as carbon pricing, energy taxation reform, financial support</w:t>
            </w:r>
            <w:r w:rsidR="00E375AD">
              <w:rPr>
                <w:sz w:val="16"/>
                <w:szCs w:val="16"/>
              </w:rPr>
              <w:t xml:space="preserve">, risk sharing, </w:t>
            </w:r>
            <w:r w:rsidR="00F66C8E">
              <w:rPr>
                <w:sz w:val="16"/>
                <w:szCs w:val="16"/>
              </w:rPr>
              <w:t>public-private</w:t>
            </w:r>
            <w:r w:rsidR="00E375AD">
              <w:rPr>
                <w:sz w:val="16"/>
                <w:szCs w:val="16"/>
              </w:rPr>
              <w:t xml:space="preserve"> </w:t>
            </w:r>
            <w:r w:rsidR="00F66C8E">
              <w:rPr>
                <w:sz w:val="16"/>
                <w:szCs w:val="16"/>
              </w:rPr>
              <w:t>partnerships</w:t>
            </w:r>
          </w:p>
        </w:tc>
        <w:tc>
          <w:tcPr>
            <w:tcW w:w="902" w:type="pct"/>
            <w:shd w:val="clear" w:color="auto" w:fill="FFFFFF" w:themeFill="background1"/>
          </w:tcPr>
          <w:p w14:paraId="514C2116" w14:textId="76B6817A" w:rsidR="009F64E8" w:rsidRPr="00163523" w:rsidRDefault="009F64E8" w:rsidP="009F64E8">
            <w:pPr>
              <w:spacing w:line="240" w:lineRule="auto"/>
              <w:ind w:left="-48"/>
              <w:cnfStyle w:val="000000000000" w:firstRow="0" w:lastRow="0" w:firstColumn="0" w:lastColumn="0" w:oddVBand="0" w:evenVBand="0" w:oddHBand="0" w:evenHBand="0" w:firstRowFirstColumn="0" w:firstRowLastColumn="0" w:lastRowFirstColumn="0" w:lastRowLastColumn="0"/>
              <w:rPr>
                <w:sz w:val="16"/>
                <w:szCs w:val="16"/>
                <w:lang w:val="en-GB"/>
              </w:rPr>
            </w:pPr>
            <w:r w:rsidRPr="00163523">
              <w:rPr>
                <w:sz w:val="16"/>
                <w:szCs w:val="16"/>
                <w:lang w:val="en-GB"/>
              </w:rPr>
              <w:t>3, 4, 6, 13, 14</w:t>
            </w:r>
          </w:p>
        </w:tc>
      </w:tr>
      <w:tr w:rsidR="009F64E8" w:rsidRPr="009F64E8" w14:paraId="073F22A7" w14:textId="569BC8E5" w:rsidTr="00D4312D">
        <w:trPr>
          <w:cantSplit/>
          <w:trHeight w:val="418"/>
        </w:trPr>
        <w:tc>
          <w:tcPr>
            <w:cnfStyle w:val="001000000000" w:firstRow="0" w:lastRow="0" w:firstColumn="1" w:lastColumn="0" w:oddVBand="0" w:evenVBand="0" w:oddHBand="0" w:evenHBand="0" w:firstRowFirstColumn="0" w:firstRowLastColumn="0" w:lastRowFirstColumn="0" w:lastRowLastColumn="0"/>
            <w:tcW w:w="248" w:type="pct"/>
            <w:vMerge w:val="restart"/>
            <w:shd w:val="clear" w:color="auto" w:fill="FFFFFF" w:themeFill="background1"/>
          </w:tcPr>
          <w:p w14:paraId="66ED6AD0" w14:textId="77777777" w:rsidR="009F64E8" w:rsidRPr="00F40F84" w:rsidRDefault="009F64E8" w:rsidP="009F64E8">
            <w:pPr>
              <w:spacing w:line="240" w:lineRule="auto"/>
              <w:ind w:left="0"/>
              <w:rPr>
                <w:sz w:val="16"/>
                <w:szCs w:val="16"/>
                <w:lang w:val="en-GB"/>
              </w:rPr>
            </w:pPr>
            <w:r>
              <w:rPr>
                <w:sz w:val="16"/>
                <w:szCs w:val="16"/>
                <w:lang w:val="en-GB"/>
              </w:rPr>
              <w:t>6</w:t>
            </w:r>
          </w:p>
        </w:tc>
        <w:tc>
          <w:tcPr>
            <w:tcW w:w="1570" w:type="pct"/>
            <w:vMerge w:val="restart"/>
            <w:shd w:val="clear" w:color="auto" w:fill="FFFFFF" w:themeFill="background1"/>
          </w:tcPr>
          <w:p w14:paraId="3D2790EB" w14:textId="77777777" w:rsidR="009F64E8" w:rsidRPr="00F40F84" w:rsidRDefault="009F64E8" w:rsidP="009F64E8">
            <w:pPr>
              <w:spacing w:line="240" w:lineRule="auto"/>
              <w:ind w:left="0"/>
              <w:jc w:val="left"/>
              <w:cnfStyle w:val="000000000000" w:firstRow="0" w:lastRow="0" w:firstColumn="0" w:lastColumn="0" w:oddVBand="0" w:evenVBand="0" w:oddHBand="0" w:evenHBand="0" w:firstRowFirstColumn="0" w:firstRowLastColumn="0" w:lastRowFirstColumn="0" w:lastRowLastColumn="0"/>
              <w:rPr>
                <w:sz w:val="16"/>
                <w:szCs w:val="16"/>
                <w:lang w:val="en-GB"/>
              </w:rPr>
            </w:pPr>
            <w:r w:rsidRPr="004A4EAE">
              <w:rPr>
                <w:sz w:val="16"/>
                <w:szCs w:val="16"/>
                <w:lang w:val="en-GB"/>
              </w:rPr>
              <w:t>Infrastructure cannot be adequately or timely developed, including repurposing or adaptation of natural gas infrastructure</w:t>
            </w:r>
          </w:p>
        </w:tc>
        <w:tc>
          <w:tcPr>
            <w:tcW w:w="2280" w:type="pct"/>
            <w:shd w:val="clear" w:color="auto" w:fill="FFFFFF" w:themeFill="background1"/>
          </w:tcPr>
          <w:p w14:paraId="7A7C225C" w14:textId="48224D52" w:rsidR="009F64E8" w:rsidRPr="009F64E8" w:rsidRDefault="009F64E8" w:rsidP="009F64E8">
            <w:pPr>
              <w:pStyle w:val="Lijstalinea"/>
              <w:numPr>
                <w:ilvl w:val="0"/>
                <w:numId w:val="40"/>
              </w:numPr>
              <w:tabs>
                <w:tab w:val="clear" w:pos="851"/>
              </w:tabs>
              <w:spacing w:line="240" w:lineRule="auto"/>
              <w:ind w:left="105" w:hanging="153"/>
              <w:jc w:val="left"/>
              <w:cnfStyle w:val="000000000000" w:firstRow="0" w:lastRow="0" w:firstColumn="0" w:lastColumn="0" w:oddVBand="0" w:evenVBand="0" w:oddHBand="0" w:evenHBand="0" w:firstRowFirstColumn="0" w:firstRowLastColumn="0" w:lastRowFirstColumn="0" w:lastRowLastColumn="0"/>
              <w:rPr>
                <w:sz w:val="16"/>
                <w:szCs w:val="16"/>
              </w:rPr>
            </w:pPr>
            <w:r w:rsidRPr="007C00D2">
              <w:rPr>
                <w:sz w:val="16"/>
                <w:szCs w:val="16"/>
              </w:rPr>
              <w:t>Proactive national and supra-national planning of methane network investments and of hydrogen network investments</w:t>
            </w:r>
          </w:p>
        </w:tc>
        <w:tc>
          <w:tcPr>
            <w:tcW w:w="902" w:type="pct"/>
            <w:shd w:val="clear" w:color="auto" w:fill="FFFFFF" w:themeFill="background1"/>
          </w:tcPr>
          <w:p w14:paraId="3176DFEB" w14:textId="447BF2C2" w:rsidR="009F64E8" w:rsidRPr="00163523" w:rsidRDefault="00D4275D" w:rsidP="009F64E8">
            <w:pPr>
              <w:spacing w:line="240" w:lineRule="auto"/>
              <w:ind w:left="-48"/>
              <w:cnfStyle w:val="000000000000" w:firstRow="0" w:lastRow="0" w:firstColumn="0" w:lastColumn="0" w:oddVBand="0" w:evenVBand="0" w:oddHBand="0" w:evenHBand="0" w:firstRowFirstColumn="0" w:firstRowLastColumn="0" w:lastRowFirstColumn="0" w:lastRowLastColumn="0"/>
              <w:rPr>
                <w:sz w:val="16"/>
                <w:szCs w:val="16"/>
                <w:lang w:val="en-GB"/>
              </w:rPr>
            </w:pPr>
            <w:r w:rsidRPr="00163523">
              <w:rPr>
                <w:sz w:val="16"/>
                <w:szCs w:val="16"/>
                <w:lang w:val="en-GB"/>
              </w:rPr>
              <w:t>7, 10, 11, 14</w:t>
            </w:r>
          </w:p>
        </w:tc>
      </w:tr>
      <w:tr w:rsidR="009F64E8" w:rsidRPr="009F64E8" w14:paraId="1CF09546" w14:textId="293B7DA2" w:rsidTr="00D4312D">
        <w:trPr>
          <w:cantSplit/>
          <w:trHeight w:val="418"/>
        </w:trPr>
        <w:tc>
          <w:tcPr>
            <w:cnfStyle w:val="001000000000" w:firstRow="0" w:lastRow="0" w:firstColumn="1" w:lastColumn="0" w:oddVBand="0" w:evenVBand="0" w:oddHBand="0" w:evenHBand="0" w:firstRowFirstColumn="0" w:firstRowLastColumn="0" w:lastRowFirstColumn="0" w:lastRowLastColumn="0"/>
            <w:tcW w:w="248" w:type="pct"/>
            <w:vMerge/>
            <w:shd w:val="clear" w:color="auto" w:fill="FFFFFF" w:themeFill="background1"/>
          </w:tcPr>
          <w:p w14:paraId="38FDE876" w14:textId="77777777" w:rsidR="009F64E8" w:rsidRDefault="009F64E8" w:rsidP="009F64E8">
            <w:pPr>
              <w:spacing w:line="240" w:lineRule="auto"/>
              <w:ind w:left="0"/>
              <w:rPr>
                <w:sz w:val="16"/>
                <w:szCs w:val="16"/>
                <w:lang w:val="en-GB"/>
              </w:rPr>
            </w:pPr>
          </w:p>
        </w:tc>
        <w:tc>
          <w:tcPr>
            <w:tcW w:w="1570" w:type="pct"/>
            <w:vMerge/>
            <w:shd w:val="clear" w:color="auto" w:fill="FFFFFF" w:themeFill="background1"/>
          </w:tcPr>
          <w:p w14:paraId="7FCBD80C" w14:textId="77777777" w:rsidR="009F64E8" w:rsidRPr="004A4EAE" w:rsidRDefault="009F64E8" w:rsidP="009F64E8">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p>
        </w:tc>
        <w:tc>
          <w:tcPr>
            <w:tcW w:w="2280" w:type="pct"/>
            <w:shd w:val="clear" w:color="auto" w:fill="FFFFFF" w:themeFill="background1"/>
          </w:tcPr>
          <w:p w14:paraId="4A2C34C0" w14:textId="251734B6" w:rsidR="009F64E8" w:rsidRPr="009F64E8" w:rsidRDefault="009F64E8" w:rsidP="009F64E8">
            <w:pPr>
              <w:pStyle w:val="Lijstalinea"/>
              <w:numPr>
                <w:ilvl w:val="0"/>
                <w:numId w:val="40"/>
              </w:numPr>
              <w:tabs>
                <w:tab w:val="clear" w:pos="851"/>
              </w:tabs>
              <w:spacing w:line="240" w:lineRule="auto"/>
              <w:ind w:left="105" w:hanging="153"/>
              <w:jc w:val="left"/>
              <w:cnfStyle w:val="000000000000" w:firstRow="0" w:lastRow="0" w:firstColumn="0" w:lastColumn="0" w:oddVBand="0" w:evenVBand="0" w:oddHBand="0" w:evenHBand="0" w:firstRowFirstColumn="0" w:firstRowLastColumn="0" w:lastRowFirstColumn="0" w:lastRowLastColumn="0"/>
              <w:rPr>
                <w:sz w:val="16"/>
                <w:szCs w:val="16"/>
              </w:rPr>
            </w:pPr>
            <w:r w:rsidRPr="007C00D2">
              <w:rPr>
                <w:sz w:val="16"/>
                <w:szCs w:val="16"/>
              </w:rPr>
              <w:t>Regular market studies for the Baltic region to identify and assess the expected developments in supply and demand of renewable gases, based on contacts with market operators and sector associations</w:t>
            </w:r>
          </w:p>
        </w:tc>
        <w:tc>
          <w:tcPr>
            <w:tcW w:w="902" w:type="pct"/>
            <w:shd w:val="clear" w:color="auto" w:fill="FFFFFF" w:themeFill="background1"/>
          </w:tcPr>
          <w:p w14:paraId="6A4F83B2" w14:textId="42878045" w:rsidR="009F64E8" w:rsidRPr="00163523" w:rsidRDefault="00F34C70" w:rsidP="009F64E8">
            <w:pPr>
              <w:spacing w:line="240" w:lineRule="auto"/>
              <w:ind w:left="-48"/>
              <w:cnfStyle w:val="000000000000" w:firstRow="0" w:lastRow="0" w:firstColumn="0" w:lastColumn="0" w:oddVBand="0" w:evenVBand="0" w:oddHBand="0" w:evenHBand="0" w:firstRowFirstColumn="0" w:firstRowLastColumn="0" w:lastRowFirstColumn="0" w:lastRowLastColumn="0"/>
              <w:rPr>
                <w:sz w:val="16"/>
                <w:szCs w:val="16"/>
                <w:lang w:val="en-GB"/>
              </w:rPr>
            </w:pPr>
            <w:r w:rsidRPr="00163523">
              <w:rPr>
                <w:sz w:val="16"/>
                <w:szCs w:val="16"/>
                <w:lang w:val="en-GB"/>
              </w:rPr>
              <w:t>7, 9</w:t>
            </w:r>
          </w:p>
        </w:tc>
      </w:tr>
      <w:tr w:rsidR="009F64E8" w:rsidRPr="009F64E8" w14:paraId="1F39FBA6" w14:textId="4E5723D6" w:rsidTr="00D4312D">
        <w:trPr>
          <w:cantSplit/>
          <w:trHeight w:val="418"/>
        </w:trPr>
        <w:tc>
          <w:tcPr>
            <w:cnfStyle w:val="001000000000" w:firstRow="0" w:lastRow="0" w:firstColumn="1" w:lastColumn="0" w:oddVBand="0" w:evenVBand="0" w:oddHBand="0" w:evenHBand="0" w:firstRowFirstColumn="0" w:firstRowLastColumn="0" w:lastRowFirstColumn="0" w:lastRowLastColumn="0"/>
            <w:tcW w:w="248" w:type="pct"/>
            <w:vMerge/>
            <w:shd w:val="clear" w:color="auto" w:fill="FFFFFF" w:themeFill="background1"/>
          </w:tcPr>
          <w:p w14:paraId="08480910" w14:textId="77777777" w:rsidR="009F64E8" w:rsidRDefault="009F64E8" w:rsidP="009F64E8">
            <w:pPr>
              <w:spacing w:line="240" w:lineRule="auto"/>
              <w:ind w:left="0"/>
              <w:rPr>
                <w:sz w:val="16"/>
                <w:szCs w:val="16"/>
                <w:lang w:val="en-GB"/>
              </w:rPr>
            </w:pPr>
          </w:p>
        </w:tc>
        <w:tc>
          <w:tcPr>
            <w:tcW w:w="1570" w:type="pct"/>
            <w:vMerge/>
            <w:shd w:val="clear" w:color="auto" w:fill="FFFFFF" w:themeFill="background1"/>
          </w:tcPr>
          <w:p w14:paraId="4E9059B8" w14:textId="77777777" w:rsidR="009F64E8" w:rsidRPr="004A4EAE" w:rsidRDefault="009F64E8" w:rsidP="009F64E8">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p>
        </w:tc>
        <w:tc>
          <w:tcPr>
            <w:tcW w:w="2280" w:type="pct"/>
            <w:shd w:val="clear" w:color="auto" w:fill="FFFFFF" w:themeFill="background1"/>
          </w:tcPr>
          <w:p w14:paraId="12CEB672" w14:textId="366F58A5" w:rsidR="009F64E8" w:rsidRPr="007C00D2" w:rsidRDefault="009F64E8" w:rsidP="009F64E8">
            <w:pPr>
              <w:pStyle w:val="Lijstalinea"/>
              <w:numPr>
                <w:ilvl w:val="0"/>
                <w:numId w:val="40"/>
              </w:numPr>
              <w:tabs>
                <w:tab w:val="clear" w:pos="851"/>
              </w:tabs>
              <w:spacing w:line="240" w:lineRule="auto"/>
              <w:ind w:left="105" w:hanging="153"/>
              <w:jc w:val="left"/>
              <w:cnfStyle w:val="000000000000" w:firstRow="0" w:lastRow="0" w:firstColumn="0" w:lastColumn="0" w:oddVBand="0" w:evenVBand="0" w:oddHBand="0" w:evenHBand="0" w:firstRowFirstColumn="0" w:firstRowLastColumn="0" w:lastRowFirstColumn="0" w:lastRowLastColumn="0"/>
              <w:rPr>
                <w:sz w:val="16"/>
                <w:szCs w:val="16"/>
              </w:rPr>
            </w:pPr>
            <w:r w:rsidRPr="007C00D2">
              <w:rPr>
                <w:sz w:val="16"/>
                <w:szCs w:val="16"/>
              </w:rPr>
              <w:t>Ensure appropriate regulation and public control of gas networks, in particular when these are partially or fully privately owned and need to be refurbished or repurposed, in order to ensure timely investments in renewable or decarbonized gas transport (and large-scale storage) infrastructure</w:t>
            </w:r>
          </w:p>
        </w:tc>
        <w:tc>
          <w:tcPr>
            <w:tcW w:w="902" w:type="pct"/>
            <w:shd w:val="clear" w:color="auto" w:fill="FFFFFF" w:themeFill="background1"/>
          </w:tcPr>
          <w:p w14:paraId="0006A1B0" w14:textId="5B3661F1" w:rsidR="009F64E8" w:rsidRPr="00163523" w:rsidRDefault="00305A3F" w:rsidP="009F64E8">
            <w:pPr>
              <w:spacing w:line="240" w:lineRule="auto"/>
              <w:ind w:left="-48"/>
              <w:cnfStyle w:val="000000000000" w:firstRow="0" w:lastRow="0" w:firstColumn="0" w:lastColumn="0" w:oddVBand="0" w:evenVBand="0" w:oddHBand="0" w:evenHBand="0" w:firstRowFirstColumn="0" w:firstRowLastColumn="0" w:lastRowFirstColumn="0" w:lastRowLastColumn="0"/>
              <w:rPr>
                <w:sz w:val="16"/>
                <w:szCs w:val="16"/>
                <w:lang w:val="en-GB"/>
              </w:rPr>
            </w:pPr>
            <w:r w:rsidRPr="00163523">
              <w:rPr>
                <w:sz w:val="16"/>
                <w:szCs w:val="16"/>
                <w:lang w:val="en-GB"/>
              </w:rPr>
              <w:t>2,</w:t>
            </w:r>
            <w:r w:rsidR="00A27F2C" w:rsidRPr="00163523">
              <w:rPr>
                <w:sz w:val="16"/>
                <w:szCs w:val="16"/>
                <w:lang w:val="en-GB"/>
              </w:rPr>
              <w:t xml:space="preserve"> 5,</w:t>
            </w:r>
            <w:r w:rsidRPr="00163523">
              <w:rPr>
                <w:sz w:val="16"/>
                <w:szCs w:val="16"/>
                <w:lang w:val="en-GB"/>
              </w:rPr>
              <w:t xml:space="preserve"> 11</w:t>
            </w:r>
            <w:r w:rsidR="00A27F2C" w:rsidRPr="00163523">
              <w:rPr>
                <w:sz w:val="16"/>
                <w:szCs w:val="16"/>
                <w:lang w:val="en-GB"/>
              </w:rPr>
              <w:t>, 15</w:t>
            </w:r>
          </w:p>
        </w:tc>
      </w:tr>
      <w:tr w:rsidR="009F64E8" w:rsidRPr="009F64E8" w14:paraId="00CE46AE" w14:textId="5A8E1BBB" w:rsidTr="00D4312D">
        <w:trPr>
          <w:cantSplit/>
          <w:trHeight w:val="418"/>
        </w:trPr>
        <w:tc>
          <w:tcPr>
            <w:cnfStyle w:val="001000000000" w:firstRow="0" w:lastRow="0" w:firstColumn="1" w:lastColumn="0" w:oddVBand="0" w:evenVBand="0" w:oddHBand="0" w:evenHBand="0" w:firstRowFirstColumn="0" w:firstRowLastColumn="0" w:lastRowFirstColumn="0" w:lastRowLastColumn="0"/>
            <w:tcW w:w="248" w:type="pct"/>
            <w:vMerge w:val="restart"/>
            <w:shd w:val="clear" w:color="auto" w:fill="FFFFFF" w:themeFill="background1"/>
          </w:tcPr>
          <w:p w14:paraId="1C2124A1" w14:textId="77777777" w:rsidR="009F64E8" w:rsidRPr="00F40F84" w:rsidRDefault="009F64E8" w:rsidP="009F64E8">
            <w:pPr>
              <w:spacing w:line="240" w:lineRule="auto"/>
              <w:ind w:left="0"/>
              <w:rPr>
                <w:sz w:val="16"/>
                <w:szCs w:val="16"/>
                <w:lang w:val="en-GB"/>
              </w:rPr>
            </w:pPr>
            <w:r>
              <w:rPr>
                <w:sz w:val="16"/>
                <w:szCs w:val="16"/>
                <w:lang w:val="en-GB"/>
              </w:rPr>
              <w:t>8</w:t>
            </w:r>
          </w:p>
        </w:tc>
        <w:tc>
          <w:tcPr>
            <w:tcW w:w="1570" w:type="pct"/>
            <w:vMerge w:val="restart"/>
            <w:shd w:val="clear" w:color="auto" w:fill="FFFFFF" w:themeFill="background1"/>
          </w:tcPr>
          <w:p w14:paraId="3E8704A9" w14:textId="77777777" w:rsidR="009F64E8" w:rsidRPr="00F40F84" w:rsidRDefault="009F64E8" w:rsidP="009F64E8">
            <w:pPr>
              <w:spacing w:line="240" w:lineRule="auto"/>
              <w:ind w:left="0"/>
              <w:jc w:val="left"/>
              <w:cnfStyle w:val="000000000000" w:firstRow="0" w:lastRow="0" w:firstColumn="0" w:lastColumn="0" w:oddVBand="0" w:evenVBand="0" w:oddHBand="0" w:evenHBand="0" w:firstRowFirstColumn="0" w:firstRowLastColumn="0" w:lastRowFirstColumn="0" w:lastRowLastColumn="0"/>
              <w:rPr>
                <w:sz w:val="16"/>
                <w:szCs w:val="16"/>
                <w:lang w:val="en-GB"/>
              </w:rPr>
            </w:pPr>
            <w:r w:rsidRPr="007C00D2">
              <w:rPr>
                <w:sz w:val="16"/>
                <w:szCs w:val="16"/>
                <w:lang w:val="en-GB"/>
              </w:rPr>
              <w:t>Security of gas supply can be threatened due to external energy dependence</w:t>
            </w:r>
          </w:p>
        </w:tc>
        <w:tc>
          <w:tcPr>
            <w:tcW w:w="2280" w:type="pct"/>
            <w:shd w:val="clear" w:color="auto" w:fill="FFFFFF" w:themeFill="background1"/>
          </w:tcPr>
          <w:p w14:paraId="27C9B916" w14:textId="6C342F67" w:rsidR="009F64E8" w:rsidRPr="009F64E8" w:rsidRDefault="009F64E8" w:rsidP="009F64E8">
            <w:pPr>
              <w:pStyle w:val="Lijstalinea"/>
              <w:numPr>
                <w:ilvl w:val="0"/>
                <w:numId w:val="40"/>
              </w:numPr>
              <w:tabs>
                <w:tab w:val="clear" w:pos="851"/>
              </w:tabs>
              <w:spacing w:line="240" w:lineRule="auto"/>
              <w:ind w:left="105" w:hanging="153"/>
              <w:jc w:val="left"/>
              <w:cnfStyle w:val="000000000000" w:firstRow="0" w:lastRow="0" w:firstColumn="0" w:lastColumn="0" w:oddVBand="0" w:evenVBand="0" w:oddHBand="0" w:evenHBand="0" w:firstRowFirstColumn="0" w:firstRowLastColumn="0" w:lastRowFirstColumn="0" w:lastRowLastColumn="0"/>
              <w:rPr>
                <w:sz w:val="16"/>
                <w:szCs w:val="16"/>
              </w:rPr>
            </w:pPr>
            <w:r w:rsidRPr="007C00D2">
              <w:rPr>
                <w:sz w:val="16"/>
                <w:szCs w:val="16"/>
              </w:rPr>
              <w:t>Work on further solidarity arrangements aimed at ensuring that protected customers have continued access to gas in times of crisis</w:t>
            </w:r>
          </w:p>
        </w:tc>
        <w:tc>
          <w:tcPr>
            <w:tcW w:w="902" w:type="pct"/>
            <w:shd w:val="clear" w:color="auto" w:fill="FFFFFF" w:themeFill="background1"/>
          </w:tcPr>
          <w:p w14:paraId="18CAC554" w14:textId="5D21819B" w:rsidR="009F64E8" w:rsidRPr="00163523" w:rsidRDefault="00A27F2C" w:rsidP="009F64E8">
            <w:pPr>
              <w:spacing w:line="240" w:lineRule="auto"/>
              <w:ind w:left="-48"/>
              <w:cnfStyle w:val="000000000000" w:firstRow="0" w:lastRow="0" w:firstColumn="0" w:lastColumn="0" w:oddVBand="0" w:evenVBand="0" w:oddHBand="0" w:evenHBand="0" w:firstRowFirstColumn="0" w:firstRowLastColumn="0" w:lastRowFirstColumn="0" w:lastRowLastColumn="0"/>
              <w:rPr>
                <w:sz w:val="16"/>
                <w:szCs w:val="16"/>
                <w:lang w:val="en-GB"/>
              </w:rPr>
            </w:pPr>
            <w:r w:rsidRPr="00163523">
              <w:rPr>
                <w:sz w:val="16"/>
                <w:szCs w:val="16"/>
                <w:lang w:val="en-GB"/>
              </w:rPr>
              <w:t>4, 13, 16</w:t>
            </w:r>
          </w:p>
        </w:tc>
      </w:tr>
      <w:tr w:rsidR="009F64E8" w:rsidRPr="009F64E8" w14:paraId="6B18ACB5" w14:textId="6099A280" w:rsidTr="00D4312D">
        <w:trPr>
          <w:cantSplit/>
          <w:trHeight w:val="418"/>
        </w:trPr>
        <w:tc>
          <w:tcPr>
            <w:cnfStyle w:val="001000000000" w:firstRow="0" w:lastRow="0" w:firstColumn="1" w:lastColumn="0" w:oddVBand="0" w:evenVBand="0" w:oddHBand="0" w:evenHBand="0" w:firstRowFirstColumn="0" w:firstRowLastColumn="0" w:lastRowFirstColumn="0" w:lastRowLastColumn="0"/>
            <w:tcW w:w="248" w:type="pct"/>
            <w:vMerge/>
            <w:shd w:val="clear" w:color="auto" w:fill="FFFFFF" w:themeFill="background1"/>
          </w:tcPr>
          <w:p w14:paraId="0C652384" w14:textId="77777777" w:rsidR="009F64E8" w:rsidRDefault="009F64E8" w:rsidP="009F64E8">
            <w:pPr>
              <w:spacing w:line="240" w:lineRule="auto"/>
              <w:ind w:left="0"/>
              <w:rPr>
                <w:sz w:val="16"/>
                <w:szCs w:val="16"/>
                <w:lang w:val="en-GB"/>
              </w:rPr>
            </w:pPr>
          </w:p>
        </w:tc>
        <w:tc>
          <w:tcPr>
            <w:tcW w:w="1570" w:type="pct"/>
            <w:vMerge/>
            <w:shd w:val="clear" w:color="auto" w:fill="FFFFFF" w:themeFill="background1"/>
          </w:tcPr>
          <w:p w14:paraId="1F102EAF" w14:textId="77777777" w:rsidR="009F64E8" w:rsidRPr="007C00D2" w:rsidRDefault="009F64E8" w:rsidP="009F64E8">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p>
        </w:tc>
        <w:tc>
          <w:tcPr>
            <w:tcW w:w="2280" w:type="pct"/>
            <w:shd w:val="clear" w:color="auto" w:fill="FFFFFF" w:themeFill="background1"/>
          </w:tcPr>
          <w:p w14:paraId="4ADBBE19" w14:textId="4D492F5B" w:rsidR="009F64E8" w:rsidRPr="009F64E8" w:rsidRDefault="009F64E8" w:rsidP="009F64E8">
            <w:pPr>
              <w:pStyle w:val="Lijstalinea"/>
              <w:numPr>
                <w:ilvl w:val="0"/>
                <w:numId w:val="40"/>
              </w:numPr>
              <w:tabs>
                <w:tab w:val="clear" w:pos="851"/>
              </w:tabs>
              <w:spacing w:line="240" w:lineRule="auto"/>
              <w:ind w:left="105" w:hanging="153"/>
              <w:jc w:val="left"/>
              <w:cnfStyle w:val="000000000000" w:firstRow="0" w:lastRow="0" w:firstColumn="0" w:lastColumn="0" w:oddVBand="0" w:evenVBand="0" w:oddHBand="0" w:evenHBand="0" w:firstRowFirstColumn="0" w:firstRowLastColumn="0" w:lastRowFirstColumn="0" w:lastRowLastColumn="0"/>
              <w:rPr>
                <w:sz w:val="16"/>
                <w:szCs w:val="16"/>
              </w:rPr>
            </w:pPr>
            <w:r w:rsidRPr="007C00D2">
              <w:rPr>
                <w:sz w:val="16"/>
                <w:szCs w:val="16"/>
              </w:rPr>
              <w:t xml:space="preserve">Decrease the overall natural gas consumption by implementing energy efficiency measures and by shifting towards locally generated renewable energy sources </w:t>
            </w:r>
          </w:p>
        </w:tc>
        <w:tc>
          <w:tcPr>
            <w:tcW w:w="902" w:type="pct"/>
            <w:shd w:val="clear" w:color="auto" w:fill="FFFFFF" w:themeFill="background1"/>
          </w:tcPr>
          <w:p w14:paraId="00FBE26B" w14:textId="69760E84" w:rsidR="009F64E8" w:rsidRPr="00163523" w:rsidRDefault="00A27F2C" w:rsidP="009F64E8">
            <w:pPr>
              <w:spacing w:line="240" w:lineRule="auto"/>
              <w:ind w:left="-48"/>
              <w:cnfStyle w:val="000000000000" w:firstRow="0" w:lastRow="0" w:firstColumn="0" w:lastColumn="0" w:oddVBand="0" w:evenVBand="0" w:oddHBand="0" w:evenHBand="0" w:firstRowFirstColumn="0" w:firstRowLastColumn="0" w:lastRowFirstColumn="0" w:lastRowLastColumn="0"/>
              <w:rPr>
                <w:sz w:val="16"/>
                <w:szCs w:val="16"/>
                <w:lang w:val="en-GB"/>
              </w:rPr>
            </w:pPr>
            <w:r w:rsidRPr="00163523">
              <w:rPr>
                <w:sz w:val="16"/>
                <w:szCs w:val="16"/>
                <w:lang w:val="en-GB"/>
              </w:rPr>
              <w:t>3</w:t>
            </w:r>
          </w:p>
        </w:tc>
      </w:tr>
      <w:tr w:rsidR="009F64E8" w:rsidRPr="009F64E8" w14:paraId="0210DA6F" w14:textId="48EDFAF7" w:rsidTr="00D4312D">
        <w:trPr>
          <w:cantSplit/>
          <w:trHeight w:val="418"/>
        </w:trPr>
        <w:tc>
          <w:tcPr>
            <w:cnfStyle w:val="001000000000" w:firstRow="0" w:lastRow="0" w:firstColumn="1" w:lastColumn="0" w:oddVBand="0" w:evenVBand="0" w:oddHBand="0" w:evenHBand="0" w:firstRowFirstColumn="0" w:firstRowLastColumn="0" w:lastRowFirstColumn="0" w:lastRowLastColumn="0"/>
            <w:tcW w:w="248" w:type="pct"/>
            <w:vMerge/>
            <w:shd w:val="clear" w:color="auto" w:fill="FFFFFF" w:themeFill="background1"/>
          </w:tcPr>
          <w:p w14:paraId="0B06A10D" w14:textId="77777777" w:rsidR="009F64E8" w:rsidRDefault="009F64E8" w:rsidP="009F64E8">
            <w:pPr>
              <w:spacing w:line="240" w:lineRule="auto"/>
              <w:ind w:left="0"/>
              <w:rPr>
                <w:sz w:val="16"/>
                <w:szCs w:val="16"/>
                <w:lang w:val="en-GB"/>
              </w:rPr>
            </w:pPr>
          </w:p>
        </w:tc>
        <w:tc>
          <w:tcPr>
            <w:tcW w:w="1570" w:type="pct"/>
            <w:vMerge/>
            <w:shd w:val="clear" w:color="auto" w:fill="FFFFFF" w:themeFill="background1"/>
          </w:tcPr>
          <w:p w14:paraId="185D1CAF" w14:textId="77777777" w:rsidR="009F64E8" w:rsidRPr="007C00D2" w:rsidRDefault="009F64E8" w:rsidP="009F64E8">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p>
        </w:tc>
        <w:tc>
          <w:tcPr>
            <w:tcW w:w="2280" w:type="pct"/>
            <w:shd w:val="clear" w:color="auto" w:fill="FFFFFF" w:themeFill="background1"/>
          </w:tcPr>
          <w:p w14:paraId="47221873" w14:textId="67EAA1D8" w:rsidR="009F64E8" w:rsidRPr="007C00D2" w:rsidRDefault="009F64E8" w:rsidP="009F64E8">
            <w:pPr>
              <w:pStyle w:val="Lijstalinea"/>
              <w:numPr>
                <w:ilvl w:val="0"/>
                <w:numId w:val="40"/>
              </w:numPr>
              <w:tabs>
                <w:tab w:val="clear" w:pos="851"/>
              </w:tabs>
              <w:spacing w:line="240" w:lineRule="auto"/>
              <w:ind w:left="105" w:hanging="153"/>
              <w:jc w:val="left"/>
              <w:cnfStyle w:val="000000000000" w:firstRow="0" w:lastRow="0" w:firstColumn="0" w:lastColumn="0" w:oddVBand="0" w:evenVBand="0" w:oddHBand="0" w:evenHBand="0" w:firstRowFirstColumn="0" w:firstRowLastColumn="0" w:lastRowFirstColumn="0" w:lastRowLastColumn="0"/>
              <w:rPr>
                <w:sz w:val="16"/>
                <w:szCs w:val="16"/>
              </w:rPr>
            </w:pPr>
            <w:r w:rsidRPr="007C00D2">
              <w:rPr>
                <w:sz w:val="16"/>
                <w:szCs w:val="16"/>
              </w:rPr>
              <w:t xml:space="preserve">Pool gas demand of the BRGM countries to have a greater bargaining power in procurement negotiations with </w:t>
            </w:r>
            <w:r w:rsidR="001345EC">
              <w:rPr>
                <w:sz w:val="16"/>
                <w:szCs w:val="16"/>
              </w:rPr>
              <w:t xml:space="preserve">gas </w:t>
            </w:r>
            <w:r w:rsidRPr="007C00D2">
              <w:rPr>
                <w:sz w:val="16"/>
                <w:szCs w:val="16"/>
              </w:rPr>
              <w:t>exporting countries</w:t>
            </w:r>
          </w:p>
        </w:tc>
        <w:tc>
          <w:tcPr>
            <w:tcW w:w="902" w:type="pct"/>
            <w:shd w:val="clear" w:color="auto" w:fill="FFFFFF" w:themeFill="background1"/>
          </w:tcPr>
          <w:p w14:paraId="6CC1BC4E" w14:textId="7554FA66" w:rsidR="009F64E8" w:rsidRPr="00163523" w:rsidRDefault="00A27F2C" w:rsidP="009F64E8">
            <w:pPr>
              <w:spacing w:line="240" w:lineRule="auto"/>
              <w:ind w:left="-48"/>
              <w:cnfStyle w:val="000000000000" w:firstRow="0" w:lastRow="0" w:firstColumn="0" w:lastColumn="0" w:oddVBand="0" w:evenVBand="0" w:oddHBand="0" w:evenHBand="0" w:firstRowFirstColumn="0" w:firstRowLastColumn="0" w:lastRowFirstColumn="0" w:lastRowLastColumn="0"/>
              <w:rPr>
                <w:sz w:val="16"/>
                <w:szCs w:val="16"/>
                <w:lang w:val="en-GB"/>
              </w:rPr>
            </w:pPr>
            <w:r w:rsidRPr="00163523">
              <w:rPr>
                <w:sz w:val="16"/>
                <w:szCs w:val="16"/>
                <w:lang w:val="en-GB"/>
              </w:rPr>
              <w:t>4, 16</w:t>
            </w:r>
          </w:p>
        </w:tc>
      </w:tr>
      <w:tr w:rsidR="00D4312D" w:rsidRPr="00D4312D" w14:paraId="06901B0C" w14:textId="77777777" w:rsidTr="00D4312D">
        <w:trPr>
          <w:cantSplit/>
          <w:trHeight w:val="418"/>
        </w:trPr>
        <w:tc>
          <w:tcPr>
            <w:cnfStyle w:val="001000000000" w:firstRow="0" w:lastRow="0" w:firstColumn="1" w:lastColumn="0" w:oddVBand="0" w:evenVBand="0" w:oddHBand="0" w:evenHBand="0" w:firstRowFirstColumn="0" w:firstRowLastColumn="0" w:lastRowFirstColumn="0" w:lastRowLastColumn="0"/>
            <w:tcW w:w="248" w:type="pct"/>
            <w:vMerge w:val="restart"/>
            <w:shd w:val="clear" w:color="auto" w:fill="FFFFFF" w:themeFill="background1"/>
          </w:tcPr>
          <w:p w14:paraId="3E12E6B5" w14:textId="616A51AE" w:rsidR="00D4312D" w:rsidRPr="00F40F84" w:rsidRDefault="00D4312D" w:rsidP="009F64E8">
            <w:pPr>
              <w:spacing w:line="240" w:lineRule="auto"/>
              <w:ind w:left="0"/>
              <w:rPr>
                <w:sz w:val="16"/>
                <w:szCs w:val="16"/>
                <w:lang w:val="en-GB"/>
              </w:rPr>
            </w:pPr>
            <w:r>
              <w:rPr>
                <w:sz w:val="16"/>
                <w:szCs w:val="16"/>
                <w:lang w:val="en-GB"/>
              </w:rPr>
              <w:t>9</w:t>
            </w:r>
          </w:p>
        </w:tc>
        <w:tc>
          <w:tcPr>
            <w:tcW w:w="1570" w:type="pct"/>
            <w:vMerge w:val="restart"/>
            <w:shd w:val="clear" w:color="auto" w:fill="FFFFFF" w:themeFill="background1"/>
          </w:tcPr>
          <w:p w14:paraId="7629795B" w14:textId="549B0554" w:rsidR="00D4312D" w:rsidRPr="00F40F84" w:rsidRDefault="00D4312D" w:rsidP="00D4312D">
            <w:pPr>
              <w:spacing w:line="240" w:lineRule="auto"/>
              <w:ind w:left="0"/>
              <w:jc w:val="left"/>
              <w:cnfStyle w:val="000000000000" w:firstRow="0" w:lastRow="0" w:firstColumn="0" w:lastColumn="0" w:oddVBand="0" w:evenVBand="0" w:oddHBand="0" w:evenHBand="0" w:firstRowFirstColumn="0" w:firstRowLastColumn="0" w:lastRowFirstColumn="0" w:lastRowLastColumn="0"/>
              <w:rPr>
                <w:sz w:val="16"/>
                <w:szCs w:val="16"/>
                <w:lang w:val="en-GB"/>
              </w:rPr>
            </w:pPr>
            <w:r w:rsidRPr="00D4312D">
              <w:rPr>
                <w:sz w:val="16"/>
                <w:szCs w:val="16"/>
                <w:lang w:val="en-GB"/>
              </w:rPr>
              <w:t>Available inputs for production of R/LC gases, e.g. renewable electricity or biomass can be insufficient</w:t>
            </w:r>
          </w:p>
        </w:tc>
        <w:tc>
          <w:tcPr>
            <w:tcW w:w="2280" w:type="pct"/>
            <w:shd w:val="clear" w:color="auto" w:fill="FFFFFF" w:themeFill="background1"/>
          </w:tcPr>
          <w:p w14:paraId="30217C77" w14:textId="63CC0F3B" w:rsidR="00D4312D" w:rsidRPr="00D617A7" w:rsidRDefault="00D4312D" w:rsidP="00D4312D">
            <w:pPr>
              <w:pStyle w:val="Lijstalinea"/>
              <w:numPr>
                <w:ilvl w:val="0"/>
                <w:numId w:val="40"/>
              </w:numPr>
              <w:tabs>
                <w:tab w:val="clear" w:pos="851"/>
              </w:tabs>
              <w:spacing w:line="240" w:lineRule="auto"/>
              <w:ind w:left="105" w:hanging="153"/>
              <w:jc w:val="left"/>
              <w:cnfStyle w:val="000000000000" w:firstRow="0" w:lastRow="0" w:firstColumn="0" w:lastColumn="0" w:oddVBand="0" w:evenVBand="0" w:oddHBand="0" w:evenHBand="0" w:firstRowFirstColumn="0" w:firstRowLastColumn="0" w:lastRowFirstColumn="0" w:lastRowLastColumn="0"/>
              <w:rPr>
                <w:sz w:val="16"/>
                <w:szCs w:val="16"/>
              </w:rPr>
            </w:pPr>
            <w:r w:rsidRPr="00D4312D">
              <w:rPr>
                <w:sz w:val="16"/>
                <w:szCs w:val="16"/>
              </w:rPr>
              <w:t xml:space="preserve">Allocate adequate funding and incentives to promote the development of renewable energy sources, including solar, wind, and biomass. </w:t>
            </w:r>
          </w:p>
        </w:tc>
        <w:tc>
          <w:tcPr>
            <w:tcW w:w="902" w:type="pct"/>
            <w:shd w:val="clear" w:color="auto" w:fill="FFFFFF" w:themeFill="background1"/>
          </w:tcPr>
          <w:p w14:paraId="0FB0A3FF" w14:textId="034CA6B6" w:rsidR="00D4312D" w:rsidRPr="00163523" w:rsidRDefault="008C11DF" w:rsidP="009F64E8">
            <w:pPr>
              <w:spacing w:line="240" w:lineRule="auto"/>
              <w:ind w:left="-48"/>
              <w:cnfStyle w:val="000000000000" w:firstRow="0" w:lastRow="0" w:firstColumn="0" w:lastColumn="0" w:oddVBand="0" w:evenVBand="0" w:oddHBand="0" w:evenHBand="0" w:firstRowFirstColumn="0" w:firstRowLastColumn="0" w:lastRowFirstColumn="0" w:lastRowLastColumn="0"/>
              <w:rPr>
                <w:sz w:val="16"/>
                <w:szCs w:val="16"/>
                <w:lang w:val="en-GB"/>
              </w:rPr>
            </w:pPr>
            <w:r w:rsidRPr="00163523">
              <w:rPr>
                <w:sz w:val="16"/>
                <w:szCs w:val="16"/>
                <w:lang w:val="en-GB"/>
              </w:rPr>
              <w:t>3, 4, 8, 14</w:t>
            </w:r>
          </w:p>
        </w:tc>
      </w:tr>
      <w:tr w:rsidR="00D4312D" w:rsidRPr="00D4312D" w14:paraId="35D77DC7" w14:textId="77777777" w:rsidTr="00D4312D">
        <w:trPr>
          <w:cantSplit/>
          <w:trHeight w:val="418"/>
        </w:trPr>
        <w:tc>
          <w:tcPr>
            <w:cnfStyle w:val="001000000000" w:firstRow="0" w:lastRow="0" w:firstColumn="1" w:lastColumn="0" w:oddVBand="0" w:evenVBand="0" w:oddHBand="0" w:evenHBand="0" w:firstRowFirstColumn="0" w:firstRowLastColumn="0" w:lastRowFirstColumn="0" w:lastRowLastColumn="0"/>
            <w:tcW w:w="248" w:type="pct"/>
            <w:vMerge/>
            <w:shd w:val="clear" w:color="auto" w:fill="FFFFFF" w:themeFill="background1"/>
          </w:tcPr>
          <w:p w14:paraId="686FD910" w14:textId="77777777" w:rsidR="00D4312D" w:rsidRDefault="00D4312D" w:rsidP="009F64E8">
            <w:pPr>
              <w:spacing w:line="240" w:lineRule="auto"/>
              <w:ind w:left="0"/>
              <w:rPr>
                <w:sz w:val="16"/>
                <w:szCs w:val="16"/>
                <w:lang w:val="en-GB"/>
              </w:rPr>
            </w:pPr>
          </w:p>
        </w:tc>
        <w:tc>
          <w:tcPr>
            <w:tcW w:w="1570" w:type="pct"/>
            <w:vMerge/>
            <w:shd w:val="clear" w:color="auto" w:fill="FFFFFF" w:themeFill="background1"/>
          </w:tcPr>
          <w:p w14:paraId="25E72D61" w14:textId="77777777" w:rsidR="00D4312D" w:rsidRPr="00D4312D" w:rsidRDefault="00D4312D" w:rsidP="00D4312D">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p>
        </w:tc>
        <w:tc>
          <w:tcPr>
            <w:tcW w:w="2280" w:type="pct"/>
            <w:shd w:val="clear" w:color="auto" w:fill="FFFFFF" w:themeFill="background1"/>
          </w:tcPr>
          <w:p w14:paraId="30C4B1AA" w14:textId="26712E51" w:rsidR="00D4312D" w:rsidRPr="00D617A7" w:rsidRDefault="00D4312D" w:rsidP="00D4312D">
            <w:pPr>
              <w:pStyle w:val="Lijstalinea"/>
              <w:numPr>
                <w:ilvl w:val="0"/>
                <w:numId w:val="40"/>
              </w:numPr>
              <w:tabs>
                <w:tab w:val="clear" w:pos="851"/>
              </w:tabs>
              <w:spacing w:line="240" w:lineRule="auto"/>
              <w:ind w:left="105" w:hanging="153"/>
              <w:jc w:val="left"/>
              <w:cnfStyle w:val="000000000000" w:firstRow="0" w:lastRow="0" w:firstColumn="0" w:lastColumn="0" w:oddVBand="0" w:evenVBand="0" w:oddHBand="0" w:evenHBand="0" w:firstRowFirstColumn="0" w:firstRowLastColumn="0" w:lastRowFirstColumn="0" w:lastRowLastColumn="0"/>
              <w:rPr>
                <w:sz w:val="16"/>
                <w:szCs w:val="16"/>
              </w:rPr>
            </w:pPr>
            <w:r w:rsidRPr="00D4312D">
              <w:rPr>
                <w:sz w:val="16"/>
                <w:szCs w:val="16"/>
              </w:rPr>
              <w:t xml:space="preserve">Invest in upgrading and expanding the power grid infrastructure to accommodate the increasing penetration of renewable energy sources. </w:t>
            </w:r>
          </w:p>
        </w:tc>
        <w:tc>
          <w:tcPr>
            <w:tcW w:w="902" w:type="pct"/>
            <w:shd w:val="clear" w:color="auto" w:fill="FFFFFF" w:themeFill="background1"/>
          </w:tcPr>
          <w:p w14:paraId="04E08EEB" w14:textId="2EA43696" w:rsidR="00D4312D" w:rsidRPr="00163523" w:rsidRDefault="008C11DF" w:rsidP="009F64E8">
            <w:pPr>
              <w:spacing w:line="240" w:lineRule="auto"/>
              <w:ind w:left="-48"/>
              <w:cnfStyle w:val="000000000000" w:firstRow="0" w:lastRow="0" w:firstColumn="0" w:lastColumn="0" w:oddVBand="0" w:evenVBand="0" w:oddHBand="0" w:evenHBand="0" w:firstRowFirstColumn="0" w:firstRowLastColumn="0" w:lastRowFirstColumn="0" w:lastRowLastColumn="0"/>
              <w:rPr>
                <w:sz w:val="16"/>
                <w:szCs w:val="16"/>
                <w:lang w:val="en-GB"/>
              </w:rPr>
            </w:pPr>
            <w:r w:rsidRPr="00163523">
              <w:rPr>
                <w:sz w:val="16"/>
                <w:szCs w:val="16"/>
                <w:lang w:val="en-GB"/>
              </w:rPr>
              <w:t>7</w:t>
            </w:r>
          </w:p>
        </w:tc>
      </w:tr>
      <w:tr w:rsidR="00D4312D" w:rsidRPr="00D4312D" w14:paraId="62B10D7D" w14:textId="77777777" w:rsidTr="00D4312D">
        <w:trPr>
          <w:cantSplit/>
          <w:trHeight w:val="418"/>
        </w:trPr>
        <w:tc>
          <w:tcPr>
            <w:cnfStyle w:val="001000000000" w:firstRow="0" w:lastRow="0" w:firstColumn="1" w:lastColumn="0" w:oddVBand="0" w:evenVBand="0" w:oddHBand="0" w:evenHBand="0" w:firstRowFirstColumn="0" w:firstRowLastColumn="0" w:lastRowFirstColumn="0" w:lastRowLastColumn="0"/>
            <w:tcW w:w="248" w:type="pct"/>
            <w:vMerge/>
            <w:shd w:val="clear" w:color="auto" w:fill="FFFFFF" w:themeFill="background1"/>
          </w:tcPr>
          <w:p w14:paraId="25FBED02" w14:textId="77777777" w:rsidR="00D4312D" w:rsidRDefault="00D4312D" w:rsidP="009F64E8">
            <w:pPr>
              <w:spacing w:line="240" w:lineRule="auto"/>
              <w:ind w:left="0"/>
              <w:rPr>
                <w:sz w:val="16"/>
                <w:szCs w:val="16"/>
                <w:lang w:val="en-GB"/>
              </w:rPr>
            </w:pPr>
          </w:p>
        </w:tc>
        <w:tc>
          <w:tcPr>
            <w:tcW w:w="1570" w:type="pct"/>
            <w:vMerge/>
            <w:shd w:val="clear" w:color="auto" w:fill="FFFFFF" w:themeFill="background1"/>
          </w:tcPr>
          <w:p w14:paraId="4CC0208B" w14:textId="77777777" w:rsidR="00D4312D" w:rsidRPr="00D4312D" w:rsidRDefault="00D4312D" w:rsidP="00D4312D">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p>
        </w:tc>
        <w:tc>
          <w:tcPr>
            <w:tcW w:w="2280" w:type="pct"/>
            <w:shd w:val="clear" w:color="auto" w:fill="FFFFFF" w:themeFill="background1"/>
          </w:tcPr>
          <w:p w14:paraId="01AD64E5" w14:textId="679307C7" w:rsidR="00D4312D" w:rsidRPr="00D617A7" w:rsidRDefault="00D4312D" w:rsidP="00D4312D">
            <w:pPr>
              <w:pStyle w:val="Lijstalinea"/>
              <w:numPr>
                <w:ilvl w:val="0"/>
                <w:numId w:val="40"/>
              </w:numPr>
              <w:tabs>
                <w:tab w:val="clear" w:pos="851"/>
              </w:tabs>
              <w:spacing w:line="240" w:lineRule="auto"/>
              <w:ind w:left="105" w:hanging="153"/>
              <w:jc w:val="left"/>
              <w:cnfStyle w:val="000000000000" w:firstRow="0" w:lastRow="0" w:firstColumn="0" w:lastColumn="0" w:oddVBand="0" w:evenVBand="0" w:oddHBand="0" w:evenHBand="0" w:firstRowFirstColumn="0" w:firstRowLastColumn="0" w:lastRowFirstColumn="0" w:lastRowLastColumn="0"/>
              <w:rPr>
                <w:sz w:val="16"/>
                <w:szCs w:val="16"/>
              </w:rPr>
            </w:pPr>
            <w:r w:rsidRPr="00D4312D">
              <w:rPr>
                <w:sz w:val="16"/>
                <w:szCs w:val="16"/>
              </w:rPr>
              <w:t>Implement climate resilience strategies to address the potential impact of natural fluctuations on renewable energy production. This includes improving forecasting capabilities, investing in energy storage systems, and promoting diversification of renewable energy sources</w:t>
            </w:r>
            <w:r w:rsidR="002E50F7">
              <w:rPr>
                <w:sz w:val="16"/>
                <w:szCs w:val="16"/>
              </w:rPr>
              <w:t>.</w:t>
            </w:r>
          </w:p>
        </w:tc>
        <w:tc>
          <w:tcPr>
            <w:tcW w:w="902" w:type="pct"/>
            <w:shd w:val="clear" w:color="auto" w:fill="FFFFFF" w:themeFill="background1"/>
          </w:tcPr>
          <w:p w14:paraId="740443FC" w14:textId="6CCEE13F" w:rsidR="00D4312D" w:rsidRPr="00163523" w:rsidRDefault="008C11DF" w:rsidP="009F64E8">
            <w:pPr>
              <w:spacing w:line="240" w:lineRule="auto"/>
              <w:ind w:left="-48"/>
              <w:cnfStyle w:val="000000000000" w:firstRow="0" w:lastRow="0" w:firstColumn="0" w:lastColumn="0" w:oddVBand="0" w:evenVBand="0" w:oddHBand="0" w:evenHBand="0" w:firstRowFirstColumn="0" w:firstRowLastColumn="0" w:lastRowFirstColumn="0" w:lastRowLastColumn="0"/>
              <w:rPr>
                <w:sz w:val="16"/>
                <w:szCs w:val="16"/>
                <w:lang w:val="en-GB"/>
              </w:rPr>
            </w:pPr>
            <w:r w:rsidRPr="00163523">
              <w:rPr>
                <w:sz w:val="16"/>
                <w:szCs w:val="16"/>
                <w:lang w:val="en-GB"/>
              </w:rPr>
              <w:t>-</w:t>
            </w:r>
          </w:p>
        </w:tc>
      </w:tr>
      <w:tr w:rsidR="00D4312D" w:rsidRPr="00D4312D" w14:paraId="01867E03" w14:textId="77777777" w:rsidTr="00D4312D">
        <w:trPr>
          <w:cantSplit/>
          <w:trHeight w:val="418"/>
        </w:trPr>
        <w:tc>
          <w:tcPr>
            <w:cnfStyle w:val="001000000000" w:firstRow="0" w:lastRow="0" w:firstColumn="1" w:lastColumn="0" w:oddVBand="0" w:evenVBand="0" w:oddHBand="0" w:evenHBand="0" w:firstRowFirstColumn="0" w:firstRowLastColumn="0" w:lastRowFirstColumn="0" w:lastRowLastColumn="0"/>
            <w:tcW w:w="248" w:type="pct"/>
            <w:vMerge/>
            <w:shd w:val="clear" w:color="auto" w:fill="FFFFFF" w:themeFill="background1"/>
          </w:tcPr>
          <w:p w14:paraId="244593F8" w14:textId="77777777" w:rsidR="00D4312D" w:rsidRDefault="00D4312D" w:rsidP="009F64E8">
            <w:pPr>
              <w:spacing w:line="240" w:lineRule="auto"/>
              <w:ind w:left="0"/>
              <w:rPr>
                <w:sz w:val="16"/>
                <w:szCs w:val="16"/>
                <w:lang w:val="en-GB"/>
              </w:rPr>
            </w:pPr>
          </w:p>
        </w:tc>
        <w:tc>
          <w:tcPr>
            <w:tcW w:w="1570" w:type="pct"/>
            <w:vMerge/>
            <w:shd w:val="clear" w:color="auto" w:fill="FFFFFF" w:themeFill="background1"/>
          </w:tcPr>
          <w:p w14:paraId="1C4A48D8" w14:textId="77777777" w:rsidR="00D4312D" w:rsidRPr="00D4312D" w:rsidRDefault="00D4312D" w:rsidP="00D4312D">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p>
        </w:tc>
        <w:tc>
          <w:tcPr>
            <w:tcW w:w="2280" w:type="pct"/>
            <w:shd w:val="clear" w:color="auto" w:fill="FFFFFF" w:themeFill="background1"/>
          </w:tcPr>
          <w:p w14:paraId="68D93F56" w14:textId="78672053" w:rsidR="00D4312D" w:rsidRPr="00D617A7" w:rsidRDefault="00D4312D" w:rsidP="00D4312D">
            <w:pPr>
              <w:pStyle w:val="Lijstalinea"/>
              <w:numPr>
                <w:ilvl w:val="0"/>
                <w:numId w:val="40"/>
              </w:numPr>
              <w:tabs>
                <w:tab w:val="clear" w:pos="851"/>
              </w:tabs>
              <w:spacing w:line="240" w:lineRule="auto"/>
              <w:ind w:left="105" w:hanging="153"/>
              <w:jc w:val="left"/>
              <w:cnfStyle w:val="000000000000" w:firstRow="0" w:lastRow="0" w:firstColumn="0" w:lastColumn="0" w:oddVBand="0" w:evenVBand="0" w:oddHBand="0" w:evenHBand="0" w:firstRowFirstColumn="0" w:firstRowLastColumn="0" w:lastRowFirstColumn="0" w:lastRowLastColumn="0"/>
              <w:rPr>
                <w:sz w:val="16"/>
                <w:szCs w:val="16"/>
              </w:rPr>
            </w:pPr>
            <w:r w:rsidRPr="00D4312D">
              <w:rPr>
                <w:sz w:val="16"/>
                <w:szCs w:val="16"/>
              </w:rPr>
              <w:t>Promote sustainable biomass sourcing and cultivation practices to ensure a reliable and environmentally responsible feedstock supply for biomethane production. Encourage circular economy approaches, waste-to-energy initiatives, and land-use planning that prioritizes sustainable biomass production.</w:t>
            </w:r>
          </w:p>
        </w:tc>
        <w:tc>
          <w:tcPr>
            <w:tcW w:w="902" w:type="pct"/>
            <w:shd w:val="clear" w:color="auto" w:fill="FFFFFF" w:themeFill="background1"/>
          </w:tcPr>
          <w:p w14:paraId="715FC146" w14:textId="5060BBEA" w:rsidR="00D4312D" w:rsidRPr="00163523" w:rsidRDefault="008C11DF" w:rsidP="009F64E8">
            <w:pPr>
              <w:spacing w:line="240" w:lineRule="auto"/>
              <w:ind w:left="-48"/>
              <w:cnfStyle w:val="000000000000" w:firstRow="0" w:lastRow="0" w:firstColumn="0" w:lastColumn="0" w:oddVBand="0" w:evenVBand="0" w:oddHBand="0" w:evenHBand="0" w:firstRowFirstColumn="0" w:firstRowLastColumn="0" w:lastRowFirstColumn="0" w:lastRowLastColumn="0"/>
              <w:rPr>
                <w:sz w:val="16"/>
                <w:szCs w:val="16"/>
                <w:lang w:val="en-GB"/>
              </w:rPr>
            </w:pPr>
            <w:r w:rsidRPr="00163523">
              <w:rPr>
                <w:sz w:val="16"/>
                <w:szCs w:val="16"/>
                <w:lang w:val="en-GB"/>
              </w:rPr>
              <w:t>12</w:t>
            </w:r>
          </w:p>
        </w:tc>
      </w:tr>
      <w:tr w:rsidR="009F64E8" w:rsidRPr="009F64E8" w14:paraId="762560B2" w14:textId="0522FBED" w:rsidTr="00D4312D">
        <w:trPr>
          <w:cantSplit/>
          <w:trHeight w:val="418"/>
        </w:trPr>
        <w:tc>
          <w:tcPr>
            <w:cnfStyle w:val="001000000000" w:firstRow="0" w:lastRow="0" w:firstColumn="1" w:lastColumn="0" w:oddVBand="0" w:evenVBand="0" w:oddHBand="0" w:evenHBand="0" w:firstRowFirstColumn="0" w:firstRowLastColumn="0" w:lastRowFirstColumn="0" w:lastRowLastColumn="0"/>
            <w:tcW w:w="248" w:type="pct"/>
            <w:vMerge w:val="restart"/>
            <w:shd w:val="clear" w:color="auto" w:fill="FFFFFF" w:themeFill="background1"/>
          </w:tcPr>
          <w:p w14:paraId="047A31D8" w14:textId="77777777" w:rsidR="009F64E8" w:rsidRPr="00F40F84" w:rsidRDefault="009F64E8" w:rsidP="009F64E8">
            <w:pPr>
              <w:spacing w:line="240" w:lineRule="auto"/>
              <w:ind w:left="0"/>
              <w:rPr>
                <w:sz w:val="16"/>
                <w:szCs w:val="16"/>
                <w:lang w:val="en-GB"/>
              </w:rPr>
            </w:pPr>
            <w:r w:rsidRPr="00F40F84">
              <w:rPr>
                <w:sz w:val="16"/>
                <w:szCs w:val="16"/>
                <w:lang w:val="en-GB"/>
              </w:rPr>
              <w:t>10</w:t>
            </w:r>
          </w:p>
        </w:tc>
        <w:tc>
          <w:tcPr>
            <w:tcW w:w="1570" w:type="pct"/>
            <w:vMerge w:val="restart"/>
            <w:shd w:val="clear" w:color="auto" w:fill="FFFFFF" w:themeFill="background1"/>
            <w:hideMark/>
          </w:tcPr>
          <w:p w14:paraId="5ED6DA86" w14:textId="77777777" w:rsidR="009F64E8" w:rsidRPr="00163523" w:rsidRDefault="009F64E8" w:rsidP="009F64E8">
            <w:pPr>
              <w:spacing w:line="240" w:lineRule="auto"/>
              <w:ind w:left="0"/>
              <w:jc w:val="left"/>
              <w:cnfStyle w:val="000000000000" w:firstRow="0" w:lastRow="0" w:firstColumn="0" w:lastColumn="0" w:oddVBand="0" w:evenVBand="0" w:oddHBand="0" w:evenHBand="0" w:firstRowFirstColumn="0" w:firstRowLastColumn="0" w:lastRowFirstColumn="0" w:lastRowLastColumn="0"/>
              <w:rPr>
                <w:sz w:val="16"/>
                <w:szCs w:val="16"/>
                <w:lang w:val="en-GB"/>
              </w:rPr>
            </w:pPr>
            <w:r w:rsidRPr="00F40F84">
              <w:rPr>
                <w:sz w:val="16"/>
                <w:szCs w:val="16"/>
                <w:lang w:val="en-GB"/>
              </w:rPr>
              <w:t>Investments in methane infrastructure can lead to lock-in on natural gas or asset stranding</w:t>
            </w:r>
          </w:p>
        </w:tc>
        <w:tc>
          <w:tcPr>
            <w:tcW w:w="2280" w:type="pct"/>
            <w:shd w:val="clear" w:color="auto" w:fill="FFFFFF" w:themeFill="background1"/>
          </w:tcPr>
          <w:p w14:paraId="7DC127EB" w14:textId="25FE3E21" w:rsidR="009F64E8" w:rsidRPr="009F64E8" w:rsidRDefault="009F64E8" w:rsidP="009F64E8">
            <w:pPr>
              <w:pStyle w:val="Lijstalinea"/>
              <w:numPr>
                <w:ilvl w:val="0"/>
                <w:numId w:val="40"/>
              </w:numPr>
              <w:tabs>
                <w:tab w:val="clear" w:pos="851"/>
              </w:tabs>
              <w:spacing w:line="240" w:lineRule="auto"/>
              <w:ind w:left="105" w:hanging="153"/>
              <w:jc w:val="left"/>
              <w:cnfStyle w:val="000000000000" w:firstRow="0" w:lastRow="0" w:firstColumn="0" w:lastColumn="0" w:oddVBand="0" w:evenVBand="0" w:oddHBand="0" w:evenHBand="0" w:firstRowFirstColumn="0" w:firstRowLastColumn="0" w:lastRowFirstColumn="0" w:lastRowLastColumn="0"/>
              <w:rPr>
                <w:sz w:val="16"/>
                <w:szCs w:val="16"/>
              </w:rPr>
            </w:pPr>
            <w:r w:rsidRPr="00D617A7">
              <w:rPr>
                <w:sz w:val="16"/>
                <w:szCs w:val="16"/>
              </w:rPr>
              <w:t>Reduce investments in new natural gas network infrastructure to the strict minimum, and ensure that any new asset is future-proof</w:t>
            </w:r>
          </w:p>
        </w:tc>
        <w:tc>
          <w:tcPr>
            <w:tcW w:w="902" w:type="pct"/>
            <w:shd w:val="clear" w:color="auto" w:fill="FFFFFF" w:themeFill="background1"/>
          </w:tcPr>
          <w:p w14:paraId="2A2767A0" w14:textId="11C8FC8C" w:rsidR="009F64E8" w:rsidRPr="00163523" w:rsidRDefault="00C55E97" w:rsidP="009F64E8">
            <w:pPr>
              <w:spacing w:line="240" w:lineRule="auto"/>
              <w:ind w:left="-48"/>
              <w:cnfStyle w:val="000000000000" w:firstRow="0" w:lastRow="0" w:firstColumn="0" w:lastColumn="0" w:oddVBand="0" w:evenVBand="0" w:oddHBand="0" w:evenHBand="0" w:firstRowFirstColumn="0" w:firstRowLastColumn="0" w:lastRowFirstColumn="0" w:lastRowLastColumn="0"/>
              <w:rPr>
                <w:sz w:val="16"/>
                <w:szCs w:val="16"/>
                <w:lang w:val="en-GB"/>
              </w:rPr>
            </w:pPr>
            <w:r w:rsidRPr="00163523">
              <w:rPr>
                <w:sz w:val="16"/>
                <w:szCs w:val="16"/>
                <w:lang w:val="en-GB"/>
              </w:rPr>
              <w:t>-</w:t>
            </w:r>
          </w:p>
        </w:tc>
      </w:tr>
      <w:tr w:rsidR="009F64E8" w:rsidRPr="009F64E8" w14:paraId="0D3692DD" w14:textId="0E6A7750" w:rsidTr="00D4312D">
        <w:trPr>
          <w:cantSplit/>
          <w:trHeight w:val="418"/>
        </w:trPr>
        <w:tc>
          <w:tcPr>
            <w:cnfStyle w:val="001000000000" w:firstRow="0" w:lastRow="0" w:firstColumn="1" w:lastColumn="0" w:oddVBand="0" w:evenVBand="0" w:oddHBand="0" w:evenHBand="0" w:firstRowFirstColumn="0" w:firstRowLastColumn="0" w:lastRowFirstColumn="0" w:lastRowLastColumn="0"/>
            <w:tcW w:w="248" w:type="pct"/>
            <w:vMerge/>
            <w:shd w:val="clear" w:color="auto" w:fill="FFFFFF" w:themeFill="background1"/>
          </w:tcPr>
          <w:p w14:paraId="11319CAA" w14:textId="77777777" w:rsidR="009F64E8" w:rsidRPr="00F40F84" w:rsidRDefault="009F64E8" w:rsidP="009F64E8">
            <w:pPr>
              <w:spacing w:line="240" w:lineRule="auto"/>
              <w:ind w:left="0"/>
              <w:rPr>
                <w:sz w:val="16"/>
                <w:szCs w:val="16"/>
                <w:lang w:val="en-GB"/>
              </w:rPr>
            </w:pPr>
          </w:p>
        </w:tc>
        <w:tc>
          <w:tcPr>
            <w:tcW w:w="1570" w:type="pct"/>
            <w:vMerge/>
            <w:shd w:val="clear" w:color="auto" w:fill="FFFFFF" w:themeFill="background1"/>
          </w:tcPr>
          <w:p w14:paraId="3753DD6E" w14:textId="77777777" w:rsidR="009F64E8" w:rsidRPr="00F40F84" w:rsidRDefault="009F64E8" w:rsidP="009F64E8">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p>
        </w:tc>
        <w:tc>
          <w:tcPr>
            <w:tcW w:w="2280" w:type="pct"/>
            <w:shd w:val="clear" w:color="auto" w:fill="FFFFFF" w:themeFill="background1"/>
          </w:tcPr>
          <w:p w14:paraId="27629D3A" w14:textId="599A5CFB" w:rsidR="009F64E8" w:rsidRPr="009F64E8" w:rsidRDefault="009F64E8" w:rsidP="009F64E8">
            <w:pPr>
              <w:pStyle w:val="Lijstalinea"/>
              <w:numPr>
                <w:ilvl w:val="0"/>
                <w:numId w:val="40"/>
              </w:numPr>
              <w:tabs>
                <w:tab w:val="clear" w:pos="851"/>
              </w:tabs>
              <w:spacing w:line="240" w:lineRule="auto"/>
              <w:ind w:left="105" w:hanging="153"/>
              <w:jc w:val="left"/>
              <w:cnfStyle w:val="000000000000" w:firstRow="0" w:lastRow="0" w:firstColumn="0" w:lastColumn="0" w:oddVBand="0" w:evenVBand="0" w:oddHBand="0" w:evenHBand="0" w:firstRowFirstColumn="0" w:firstRowLastColumn="0" w:lastRowFirstColumn="0" w:lastRowLastColumn="0"/>
              <w:rPr>
                <w:sz w:val="16"/>
                <w:szCs w:val="16"/>
              </w:rPr>
            </w:pPr>
            <w:r w:rsidRPr="00D617A7">
              <w:rPr>
                <w:sz w:val="16"/>
                <w:szCs w:val="16"/>
              </w:rPr>
              <w:t>Introduce a legal ban on connecting new residential and tertiary buildings to the natural gas grid</w:t>
            </w:r>
            <w:r w:rsidR="00144B89">
              <w:rPr>
                <w:sz w:val="16"/>
                <w:szCs w:val="16"/>
              </w:rPr>
              <w:t xml:space="preserve"> (unless </w:t>
            </w:r>
            <w:r w:rsidR="00CD6AF0">
              <w:rPr>
                <w:sz w:val="16"/>
                <w:szCs w:val="16"/>
              </w:rPr>
              <w:t>the concerned buildings will mainly use renewable energy)</w:t>
            </w:r>
            <w:r w:rsidR="00F84BF9">
              <w:rPr>
                <w:sz w:val="16"/>
                <w:szCs w:val="16"/>
              </w:rPr>
              <w:t>.</w:t>
            </w:r>
          </w:p>
        </w:tc>
        <w:tc>
          <w:tcPr>
            <w:tcW w:w="902" w:type="pct"/>
            <w:shd w:val="clear" w:color="auto" w:fill="FFFFFF" w:themeFill="background1"/>
          </w:tcPr>
          <w:p w14:paraId="256FF907" w14:textId="668D4EA3" w:rsidR="009F64E8" w:rsidRPr="00163523" w:rsidRDefault="00C55E97" w:rsidP="009F64E8">
            <w:pPr>
              <w:spacing w:line="240" w:lineRule="auto"/>
              <w:ind w:left="-48"/>
              <w:cnfStyle w:val="000000000000" w:firstRow="0" w:lastRow="0" w:firstColumn="0" w:lastColumn="0" w:oddVBand="0" w:evenVBand="0" w:oddHBand="0" w:evenHBand="0" w:firstRowFirstColumn="0" w:firstRowLastColumn="0" w:lastRowFirstColumn="0" w:lastRowLastColumn="0"/>
              <w:rPr>
                <w:sz w:val="16"/>
                <w:szCs w:val="16"/>
                <w:lang w:val="en-GB"/>
              </w:rPr>
            </w:pPr>
            <w:r w:rsidRPr="00163523">
              <w:rPr>
                <w:sz w:val="16"/>
                <w:szCs w:val="16"/>
                <w:lang w:val="en-GB"/>
              </w:rPr>
              <w:t>-</w:t>
            </w:r>
          </w:p>
        </w:tc>
      </w:tr>
      <w:tr w:rsidR="009F64E8" w:rsidRPr="009F64E8" w14:paraId="6637EFFE" w14:textId="6DC709CA" w:rsidTr="00D4312D">
        <w:trPr>
          <w:cantSplit/>
          <w:trHeight w:val="418"/>
        </w:trPr>
        <w:tc>
          <w:tcPr>
            <w:cnfStyle w:val="001000000000" w:firstRow="0" w:lastRow="0" w:firstColumn="1" w:lastColumn="0" w:oddVBand="0" w:evenVBand="0" w:oddHBand="0" w:evenHBand="0" w:firstRowFirstColumn="0" w:firstRowLastColumn="0" w:lastRowFirstColumn="0" w:lastRowLastColumn="0"/>
            <w:tcW w:w="248" w:type="pct"/>
            <w:vMerge/>
            <w:shd w:val="clear" w:color="auto" w:fill="FFFFFF" w:themeFill="background1"/>
          </w:tcPr>
          <w:p w14:paraId="4C3A1EC2" w14:textId="77777777" w:rsidR="009F64E8" w:rsidRPr="00F40F84" w:rsidRDefault="009F64E8" w:rsidP="009F64E8">
            <w:pPr>
              <w:spacing w:line="240" w:lineRule="auto"/>
              <w:ind w:left="0"/>
              <w:rPr>
                <w:sz w:val="16"/>
                <w:szCs w:val="16"/>
                <w:lang w:val="en-GB"/>
              </w:rPr>
            </w:pPr>
          </w:p>
        </w:tc>
        <w:tc>
          <w:tcPr>
            <w:tcW w:w="1570" w:type="pct"/>
            <w:vMerge/>
            <w:shd w:val="clear" w:color="auto" w:fill="FFFFFF" w:themeFill="background1"/>
          </w:tcPr>
          <w:p w14:paraId="6CBACF51" w14:textId="77777777" w:rsidR="009F64E8" w:rsidRPr="00F40F84" w:rsidRDefault="009F64E8" w:rsidP="009F64E8">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p>
        </w:tc>
        <w:tc>
          <w:tcPr>
            <w:tcW w:w="2280" w:type="pct"/>
            <w:shd w:val="clear" w:color="auto" w:fill="FFFFFF" w:themeFill="background1"/>
          </w:tcPr>
          <w:p w14:paraId="55B04445" w14:textId="357AE67B" w:rsidR="009F64E8" w:rsidRPr="00D617A7" w:rsidRDefault="009F64E8" w:rsidP="009F64E8">
            <w:pPr>
              <w:pStyle w:val="Lijstalinea"/>
              <w:numPr>
                <w:ilvl w:val="0"/>
                <w:numId w:val="40"/>
              </w:numPr>
              <w:tabs>
                <w:tab w:val="clear" w:pos="851"/>
              </w:tabs>
              <w:spacing w:line="240" w:lineRule="auto"/>
              <w:ind w:left="105" w:hanging="153"/>
              <w:jc w:val="left"/>
              <w:cnfStyle w:val="000000000000" w:firstRow="0" w:lastRow="0" w:firstColumn="0" w:lastColumn="0" w:oddVBand="0" w:evenVBand="0" w:oddHBand="0" w:evenHBand="0" w:firstRowFirstColumn="0" w:firstRowLastColumn="0" w:lastRowFirstColumn="0" w:lastRowLastColumn="0"/>
              <w:rPr>
                <w:sz w:val="16"/>
                <w:szCs w:val="16"/>
              </w:rPr>
            </w:pPr>
            <w:r w:rsidRPr="00D617A7">
              <w:rPr>
                <w:sz w:val="16"/>
                <w:szCs w:val="16"/>
              </w:rPr>
              <w:t xml:space="preserve">Assess whether and how the natural gas network </w:t>
            </w:r>
            <w:proofErr w:type="spellStart"/>
            <w:r w:rsidRPr="00D617A7">
              <w:rPr>
                <w:sz w:val="16"/>
                <w:szCs w:val="16"/>
              </w:rPr>
              <w:t>tarification</w:t>
            </w:r>
            <w:proofErr w:type="spellEnd"/>
            <w:r w:rsidRPr="00D617A7">
              <w:rPr>
                <w:sz w:val="16"/>
                <w:szCs w:val="16"/>
              </w:rPr>
              <w:t xml:space="preserve"> can be reviewed to anticipate the consequences of reduced natural gas use and stranded assets.  </w:t>
            </w:r>
          </w:p>
        </w:tc>
        <w:tc>
          <w:tcPr>
            <w:tcW w:w="902" w:type="pct"/>
            <w:shd w:val="clear" w:color="auto" w:fill="FFFFFF" w:themeFill="background1"/>
          </w:tcPr>
          <w:p w14:paraId="07CF8EC9" w14:textId="0F7CF0C5" w:rsidR="009F64E8" w:rsidRPr="00163523" w:rsidRDefault="00C55E97" w:rsidP="009F64E8">
            <w:pPr>
              <w:spacing w:line="240" w:lineRule="auto"/>
              <w:ind w:left="-48"/>
              <w:cnfStyle w:val="000000000000" w:firstRow="0" w:lastRow="0" w:firstColumn="0" w:lastColumn="0" w:oddVBand="0" w:evenVBand="0" w:oddHBand="0" w:evenHBand="0" w:firstRowFirstColumn="0" w:firstRowLastColumn="0" w:lastRowFirstColumn="0" w:lastRowLastColumn="0"/>
              <w:rPr>
                <w:sz w:val="16"/>
                <w:szCs w:val="16"/>
                <w:lang w:val="en-GB"/>
              </w:rPr>
            </w:pPr>
            <w:r w:rsidRPr="00163523">
              <w:rPr>
                <w:sz w:val="16"/>
                <w:szCs w:val="16"/>
                <w:lang w:val="en-GB"/>
              </w:rPr>
              <w:t>11</w:t>
            </w:r>
          </w:p>
        </w:tc>
      </w:tr>
      <w:tr w:rsidR="009F64E8" w:rsidRPr="009F64E8" w14:paraId="528CEFC8" w14:textId="0A1A15C7" w:rsidTr="00D4312D">
        <w:trPr>
          <w:cantSplit/>
          <w:trHeight w:val="418"/>
        </w:trPr>
        <w:tc>
          <w:tcPr>
            <w:cnfStyle w:val="001000000000" w:firstRow="0" w:lastRow="0" w:firstColumn="1" w:lastColumn="0" w:oddVBand="0" w:evenVBand="0" w:oddHBand="0" w:evenHBand="0" w:firstRowFirstColumn="0" w:firstRowLastColumn="0" w:lastRowFirstColumn="0" w:lastRowLastColumn="0"/>
            <w:tcW w:w="248" w:type="pct"/>
            <w:vMerge w:val="restart"/>
            <w:shd w:val="clear" w:color="auto" w:fill="FFFFFF" w:themeFill="background1"/>
          </w:tcPr>
          <w:p w14:paraId="12FB9676" w14:textId="77777777" w:rsidR="009F64E8" w:rsidRPr="00F40F84" w:rsidRDefault="009F64E8" w:rsidP="009F64E8">
            <w:pPr>
              <w:spacing w:line="240" w:lineRule="auto"/>
              <w:ind w:left="0"/>
              <w:rPr>
                <w:sz w:val="16"/>
                <w:szCs w:val="16"/>
                <w:lang w:val="en-GB"/>
              </w:rPr>
            </w:pPr>
            <w:r>
              <w:rPr>
                <w:sz w:val="16"/>
                <w:szCs w:val="16"/>
                <w:lang w:val="en-GB"/>
              </w:rPr>
              <w:t>11</w:t>
            </w:r>
          </w:p>
        </w:tc>
        <w:tc>
          <w:tcPr>
            <w:tcW w:w="1570" w:type="pct"/>
            <w:vMerge w:val="restart"/>
            <w:shd w:val="clear" w:color="auto" w:fill="FFFFFF" w:themeFill="background1"/>
          </w:tcPr>
          <w:p w14:paraId="58C7E1D7" w14:textId="77777777" w:rsidR="009F64E8" w:rsidRPr="00F40F84" w:rsidRDefault="009F64E8" w:rsidP="009F64E8">
            <w:pPr>
              <w:spacing w:line="240" w:lineRule="auto"/>
              <w:ind w:left="0"/>
              <w:jc w:val="left"/>
              <w:cnfStyle w:val="000000000000" w:firstRow="0" w:lastRow="0" w:firstColumn="0" w:lastColumn="0" w:oddVBand="0" w:evenVBand="0" w:oddHBand="0" w:evenHBand="0" w:firstRowFirstColumn="0" w:firstRowLastColumn="0" w:lastRowFirstColumn="0" w:lastRowLastColumn="0"/>
              <w:rPr>
                <w:sz w:val="16"/>
                <w:szCs w:val="16"/>
                <w:lang w:val="en-GB"/>
              </w:rPr>
            </w:pPr>
            <w:r w:rsidRPr="00EB0A2B">
              <w:rPr>
                <w:sz w:val="16"/>
                <w:szCs w:val="16"/>
                <w:lang w:val="en-GB"/>
              </w:rPr>
              <w:t>Policies and regulations can present barriers to implementation of gas decarbonization actions</w:t>
            </w:r>
          </w:p>
        </w:tc>
        <w:tc>
          <w:tcPr>
            <w:tcW w:w="2280" w:type="pct"/>
            <w:shd w:val="clear" w:color="auto" w:fill="FFFFFF" w:themeFill="background1"/>
          </w:tcPr>
          <w:p w14:paraId="072FDF0F" w14:textId="77777777" w:rsidR="009F64E8" w:rsidRPr="00D617A7" w:rsidRDefault="009F64E8" w:rsidP="009F64E8">
            <w:pPr>
              <w:pStyle w:val="Lijstalinea"/>
              <w:numPr>
                <w:ilvl w:val="0"/>
                <w:numId w:val="40"/>
              </w:numPr>
              <w:tabs>
                <w:tab w:val="clear" w:pos="851"/>
              </w:tabs>
              <w:spacing w:line="240" w:lineRule="auto"/>
              <w:ind w:left="105" w:hanging="153"/>
              <w:jc w:val="lef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D</w:t>
            </w:r>
            <w:r w:rsidRPr="00EB0A2B">
              <w:rPr>
                <w:sz w:val="16"/>
                <w:szCs w:val="16"/>
              </w:rPr>
              <w:t>evelopment of a coordinated strategy for the gas and hydrogen sectors in the BRGM region as well in the individual concerned Member States</w:t>
            </w:r>
          </w:p>
        </w:tc>
        <w:tc>
          <w:tcPr>
            <w:tcW w:w="902" w:type="pct"/>
            <w:shd w:val="clear" w:color="auto" w:fill="FFFFFF" w:themeFill="background1"/>
          </w:tcPr>
          <w:p w14:paraId="25C23A07" w14:textId="0C32EBC6" w:rsidR="009F64E8" w:rsidRPr="00163523" w:rsidRDefault="00C55E97" w:rsidP="009F64E8">
            <w:pPr>
              <w:spacing w:line="240" w:lineRule="auto"/>
              <w:ind w:left="-48"/>
              <w:cnfStyle w:val="000000000000" w:firstRow="0" w:lastRow="0" w:firstColumn="0" w:lastColumn="0" w:oddVBand="0" w:evenVBand="0" w:oddHBand="0" w:evenHBand="0" w:firstRowFirstColumn="0" w:firstRowLastColumn="0" w:lastRowFirstColumn="0" w:lastRowLastColumn="0"/>
              <w:rPr>
                <w:sz w:val="16"/>
                <w:szCs w:val="16"/>
                <w:lang w:val="en-GB"/>
              </w:rPr>
            </w:pPr>
            <w:r w:rsidRPr="00163523">
              <w:rPr>
                <w:sz w:val="16"/>
                <w:szCs w:val="16"/>
                <w:lang w:val="en-GB"/>
              </w:rPr>
              <w:t xml:space="preserve">3, </w:t>
            </w:r>
            <w:r w:rsidR="00CF1847" w:rsidRPr="00163523">
              <w:rPr>
                <w:sz w:val="16"/>
                <w:szCs w:val="16"/>
                <w:lang w:val="en-GB"/>
              </w:rPr>
              <w:t xml:space="preserve">4, </w:t>
            </w:r>
            <w:r w:rsidRPr="00163523">
              <w:rPr>
                <w:sz w:val="16"/>
                <w:szCs w:val="16"/>
                <w:lang w:val="en-GB"/>
              </w:rPr>
              <w:t xml:space="preserve">5, 6, </w:t>
            </w:r>
            <w:r w:rsidR="00CF1847" w:rsidRPr="00163523">
              <w:rPr>
                <w:sz w:val="16"/>
                <w:szCs w:val="16"/>
                <w:lang w:val="en-GB"/>
              </w:rPr>
              <w:t>7, 8, 10, 13, 14</w:t>
            </w:r>
          </w:p>
        </w:tc>
      </w:tr>
      <w:tr w:rsidR="00294090" w:rsidRPr="00294090" w14:paraId="1EA2CE9D" w14:textId="77777777" w:rsidTr="00D4312D">
        <w:trPr>
          <w:cantSplit/>
          <w:trHeight w:val="418"/>
        </w:trPr>
        <w:tc>
          <w:tcPr>
            <w:cnfStyle w:val="001000000000" w:firstRow="0" w:lastRow="0" w:firstColumn="1" w:lastColumn="0" w:oddVBand="0" w:evenVBand="0" w:oddHBand="0" w:evenHBand="0" w:firstRowFirstColumn="0" w:firstRowLastColumn="0" w:lastRowFirstColumn="0" w:lastRowLastColumn="0"/>
            <w:tcW w:w="248" w:type="pct"/>
            <w:vMerge/>
            <w:shd w:val="clear" w:color="auto" w:fill="FFFFFF" w:themeFill="background1"/>
          </w:tcPr>
          <w:p w14:paraId="2706D2AA" w14:textId="77777777" w:rsidR="00294090" w:rsidRDefault="00294090" w:rsidP="009F64E8">
            <w:pPr>
              <w:spacing w:line="240" w:lineRule="auto"/>
              <w:ind w:left="0"/>
              <w:rPr>
                <w:sz w:val="16"/>
                <w:szCs w:val="16"/>
                <w:lang w:val="en-GB"/>
              </w:rPr>
            </w:pPr>
          </w:p>
        </w:tc>
        <w:tc>
          <w:tcPr>
            <w:tcW w:w="1570" w:type="pct"/>
            <w:vMerge/>
            <w:shd w:val="clear" w:color="auto" w:fill="FFFFFF" w:themeFill="background1"/>
          </w:tcPr>
          <w:p w14:paraId="4BCC888B" w14:textId="77777777" w:rsidR="00294090" w:rsidRPr="00EB0A2B" w:rsidRDefault="00294090" w:rsidP="009F64E8">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p>
        </w:tc>
        <w:tc>
          <w:tcPr>
            <w:tcW w:w="2280" w:type="pct"/>
            <w:shd w:val="clear" w:color="auto" w:fill="FFFFFF" w:themeFill="background1"/>
          </w:tcPr>
          <w:p w14:paraId="009F0C99" w14:textId="436D7D31" w:rsidR="00294090" w:rsidRDefault="00294090" w:rsidP="00294090">
            <w:pPr>
              <w:pStyle w:val="Lijstalinea"/>
              <w:numPr>
                <w:ilvl w:val="0"/>
                <w:numId w:val="40"/>
              </w:numPr>
              <w:tabs>
                <w:tab w:val="clear" w:pos="851"/>
              </w:tabs>
              <w:spacing w:line="240" w:lineRule="auto"/>
              <w:ind w:left="105" w:hanging="153"/>
              <w:jc w:val="left"/>
              <w:cnfStyle w:val="000000000000" w:firstRow="0" w:lastRow="0" w:firstColumn="0" w:lastColumn="0" w:oddVBand="0" w:evenVBand="0" w:oddHBand="0" w:evenHBand="0" w:firstRowFirstColumn="0" w:firstRowLastColumn="0" w:lastRowFirstColumn="0" w:lastRowLastColumn="0"/>
              <w:rPr>
                <w:sz w:val="16"/>
                <w:szCs w:val="16"/>
              </w:rPr>
            </w:pPr>
            <w:r w:rsidRPr="00294090">
              <w:rPr>
                <w:sz w:val="16"/>
                <w:szCs w:val="16"/>
              </w:rPr>
              <w:t>Develop clear and supportive legal frameworks and regulations for renewable energy and low-carbon gas production. Streamline permitting processes, provide incentives for project development, and ensure compliance with environmental standards to expedite the deployment of hydrogen and biomethane projects</w:t>
            </w:r>
          </w:p>
        </w:tc>
        <w:tc>
          <w:tcPr>
            <w:tcW w:w="902" w:type="pct"/>
            <w:shd w:val="clear" w:color="auto" w:fill="FFFFFF" w:themeFill="background1"/>
          </w:tcPr>
          <w:p w14:paraId="70B303B9" w14:textId="29783656" w:rsidR="00294090" w:rsidRPr="00163523" w:rsidRDefault="00014FBA" w:rsidP="009F64E8">
            <w:pPr>
              <w:spacing w:line="240" w:lineRule="auto"/>
              <w:ind w:left="-48"/>
              <w:cnfStyle w:val="000000000000" w:firstRow="0" w:lastRow="0" w:firstColumn="0" w:lastColumn="0" w:oddVBand="0" w:evenVBand="0" w:oddHBand="0" w:evenHBand="0" w:firstRowFirstColumn="0" w:firstRowLastColumn="0" w:lastRowFirstColumn="0" w:lastRowLastColumn="0"/>
              <w:rPr>
                <w:sz w:val="16"/>
                <w:szCs w:val="16"/>
                <w:lang w:val="en-GB"/>
              </w:rPr>
            </w:pPr>
            <w:r w:rsidRPr="00163523">
              <w:rPr>
                <w:sz w:val="16"/>
                <w:szCs w:val="16"/>
                <w:lang w:val="en-GB"/>
              </w:rPr>
              <w:t>9</w:t>
            </w:r>
          </w:p>
        </w:tc>
      </w:tr>
      <w:tr w:rsidR="009F64E8" w:rsidRPr="00767708" w14:paraId="7A558805" w14:textId="413D698F" w:rsidTr="00D4312D">
        <w:trPr>
          <w:cantSplit/>
          <w:trHeight w:val="418"/>
        </w:trPr>
        <w:tc>
          <w:tcPr>
            <w:cnfStyle w:val="001000000000" w:firstRow="0" w:lastRow="0" w:firstColumn="1" w:lastColumn="0" w:oddVBand="0" w:evenVBand="0" w:oddHBand="0" w:evenHBand="0" w:firstRowFirstColumn="0" w:firstRowLastColumn="0" w:lastRowFirstColumn="0" w:lastRowLastColumn="0"/>
            <w:tcW w:w="248" w:type="pct"/>
            <w:vMerge w:val="restart"/>
            <w:shd w:val="clear" w:color="auto" w:fill="FFFFFF" w:themeFill="background1"/>
          </w:tcPr>
          <w:p w14:paraId="03D7A161" w14:textId="77777777" w:rsidR="009F64E8" w:rsidRPr="00F40F84" w:rsidRDefault="009F64E8" w:rsidP="009F64E8">
            <w:pPr>
              <w:spacing w:line="240" w:lineRule="auto"/>
              <w:ind w:left="0"/>
              <w:rPr>
                <w:sz w:val="16"/>
                <w:szCs w:val="16"/>
                <w:lang w:val="en-GB"/>
              </w:rPr>
            </w:pPr>
            <w:r w:rsidRPr="00F40F84">
              <w:rPr>
                <w:sz w:val="16"/>
                <w:szCs w:val="16"/>
                <w:lang w:val="en-GB"/>
              </w:rPr>
              <w:t>14</w:t>
            </w:r>
          </w:p>
        </w:tc>
        <w:tc>
          <w:tcPr>
            <w:tcW w:w="1570" w:type="pct"/>
            <w:vMerge w:val="restart"/>
            <w:shd w:val="clear" w:color="auto" w:fill="FFFFFF" w:themeFill="background1"/>
            <w:hideMark/>
          </w:tcPr>
          <w:p w14:paraId="0256B1ED" w14:textId="77777777" w:rsidR="009F64E8" w:rsidRPr="00163523" w:rsidRDefault="009F64E8" w:rsidP="009F64E8">
            <w:pPr>
              <w:spacing w:line="240" w:lineRule="auto"/>
              <w:ind w:left="0"/>
              <w:jc w:val="left"/>
              <w:cnfStyle w:val="000000000000" w:firstRow="0" w:lastRow="0" w:firstColumn="0" w:lastColumn="0" w:oddVBand="0" w:evenVBand="0" w:oddHBand="0" w:evenHBand="0" w:firstRowFirstColumn="0" w:firstRowLastColumn="0" w:lastRowFirstColumn="0" w:lastRowLastColumn="0"/>
              <w:rPr>
                <w:sz w:val="16"/>
                <w:szCs w:val="16"/>
                <w:lang w:val="en-GB"/>
              </w:rPr>
            </w:pPr>
            <w:r w:rsidRPr="00F40F84">
              <w:rPr>
                <w:sz w:val="16"/>
                <w:szCs w:val="16"/>
                <w:lang w:val="en-GB"/>
              </w:rPr>
              <w:t>Key gas decarbonisation technologies may not reach sufficient cost or performance improvements</w:t>
            </w:r>
          </w:p>
        </w:tc>
        <w:tc>
          <w:tcPr>
            <w:tcW w:w="2280" w:type="pct"/>
            <w:shd w:val="clear" w:color="auto" w:fill="FFFFFF" w:themeFill="background1"/>
          </w:tcPr>
          <w:p w14:paraId="71CA5616" w14:textId="42F4A94E" w:rsidR="009F64E8" w:rsidRPr="009F64E8" w:rsidRDefault="009F64E8" w:rsidP="009F64E8">
            <w:pPr>
              <w:pStyle w:val="Lijstalinea"/>
              <w:numPr>
                <w:ilvl w:val="0"/>
                <w:numId w:val="40"/>
              </w:numPr>
              <w:tabs>
                <w:tab w:val="clear" w:pos="851"/>
              </w:tabs>
              <w:spacing w:line="240" w:lineRule="auto"/>
              <w:ind w:left="105" w:hanging="153"/>
              <w:jc w:val="left"/>
              <w:cnfStyle w:val="000000000000" w:firstRow="0" w:lastRow="0" w:firstColumn="0" w:lastColumn="0" w:oddVBand="0" w:evenVBand="0" w:oddHBand="0" w:evenHBand="0" w:firstRowFirstColumn="0" w:firstRowLastColumn="0" w:lastRowFirstColumn="0" w:lastRowLastColumn="0"/>
              <w:rPr>
                <w:sz w:val="16"/>
                <w:szCs w:val="16"/>
              </w:rPr>
            </w:pPr>
            <w:r w:rsidRPr="00E75520">
              <w:rPr>
                <w:sz w:val="16"/>
                <w:szCs w:val="16"/>
              </w:rPr>
              <w:t xml:space="preserve">Publicly </w:t>
            </w:r>
            <w:r w:rsidR="00014FBA" w:rsidRPr="00014FBA">
              <w:rPr>
                <w:sz w:val="16"/>
                <w:szCs w:val="16"/>
              </w:rPr>
              <w:t>funded</w:t>
            </w:r>
            <w:r w:rsidRPr="00E75520">
              <w:rPr>
                <w:sz w:val="16"/>
                <w:szCs w:val="16"/>
              </w:rPr>
              <w:t xml:space="preserve"> R&amp;D&amp;I programs focused on the development and improvement of gas decarbonisation technologies</w:t>
            </w:r>
            <w:r w:rsidR="00014FBA" w:rsidRPr="00014FBA">
              <w:rPr>
                <w:sz w:val="16"/>
                <w:szCs w:val="16"/>
              </w:rPr>
              <w:t>, renewable energy technologies, energy storage and biomass conversion processes. This will enhance the efficiency and scalability of both hydrogen and biomethane production methods, making them more cost-effective and commercially viable.</w:t>
            </w:r>
          </w:p>
        </w:tc>
        <w:tc>
          <w:tcPr>
            <w:tcW w:w="902" w:type="pct"/>
            <w:shd w:val="clear" w:color="auto" w:fill="FFFFFF" w:themeFill="background1"/>
          </w:tcPr>
          <w:p w14:paraId="6C076E5C" w14:textId="066345C4" w:rsidR="009F64E8" w:rsidRPr="00163523" w:rsidRDefault="00CF1847" w:rsidP="009F64E8">
            <w:pPr>
              <w:spacing w:line="240" w:lineRule="auto"/>
              <w:ind w:left="-48"/>
              <w:cnfStyle w:val="000000000000" w:firstRow="0" w:lastRow="0" w:firstColumn="0" w:lastColumn="0" w:oddVBand="0" w:evenVBand="0" w:oddHBand="0" w:evenHBand="0" w:firstRowFirstColumn="0" w:firstRowLastColumn="0" w:lastRowFirstColumn="0" w:lastRowLastColumn="0"/>
              <w:rPr>
                <w:sz w:val="16"/>
                <w:szCs w:val="16"/>
                <w:lang w:val="en-GB"/>
              </w:rPr>
            </w:pPr>
            <w:r w:rsidRPr="00163523">
              <w:rPr>
                <w:sz w:val="16"/>
                <w:szCs w:val="16"/>
                <w:lang w:val="en-GB"/>
              </w:rPr>
              <w:t xml:space="preserve">1, 3, 4, </w:t>
            </w:r>
            <w:r w:rsidR="00014FBA" w:rsidRPr="00163523">
              <w:rPr>
                <w:sz w:val="16"/>
                <w:szCs w:val="16"/>
                <w:lang w:val="en-GB"/>
              </w:rPr>
              <w:t xml:space="preserve">9, </w:t>
            </w:r>
            <w:r w:rsidRPr="00163523">
              <w:rPr>
                <w:sz w:val="16"/>
                <w:szCs w:val="16"/>
                <w:lang w:val="en-GB"/>
              </w:rPr>
              <w:t>11, 13</w:t>
            </w:r>
          </w:p>
        </w:tc>
      </w:tr>
      <w:tr w:rsidR="009F64E8" w:rsidRPr="00767708" w14:paraId="64A268F2" w14:textId="27139FC0" w:rsidTr="00D4312D">
        <w:trPr>
          <w:cantSplit/>
          <w:trHeight w:val="418"/>
        </w:trPr>
        <w:tc>
          <w:tcPr>
            <w:cnfStyle w:val="001000000000" w:firstRow="0" w:lastRow="0" w:firstColumn="1" w:lastColumn="0" w:oddVBand="0" w:evenVBand="0" w:oddHBand="0" w:evenHBand="0" w:firstRowFirstColumn="0" w:firstRowLastColumn="0" w:lastRowFirstColumn="0" w:lastRowLastColumn="0"/>
            <w:tcW w:w="248" w:type="pct"/>
            <w:vMerge/>
            <w:shd w:val="clear" w:color="auto" w:fill="FFFFFF" w:themeFill="background1"/>
          </w:tcPr>
          <w:p w14:paraId="0BBA45A3" w14:textId="77777777" w:rsidR="009F64E8" w:rsidRPr="00F40F84" w:rsidRDefault="009F64E8" w:rsidP="009F64E8">
            <w:pPr>
              <w:spacing w:line="240" w:lineRule="auto"/>
              <w:ind w:left="0"/>
              <w:rPr>
                <w:sz w:val="16"/>
                <w:szCs w:val="16"/>
                <w:lang w:val="en-GB"/>
              </w:rPr>
            </w:pPr>
          </w:p>
        </w:tc>
        <w:tc>
          <w:tcPr>
            <w:tcW w:w="1570" w:type="pct"/>
            <w:vMerge/>
            <w:shd w:val="clear" w:color="auto" w:fill="FFFFFF" w:themeFill="background1"/>
          </w:tcPr>
          <w:p w14:paraId="040E233C" w14:textId="77777777" w:rsidR="009F64E8" w:rsidRPr="00F40F84" w:rsidRDefault="009F64E8" w:rsidP="009F64E8">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p>
        </w:tc>
        <w:tc>
          <w:tcPr>
            <w:tcW w:w="2280" w:type="pct"/>
            <w:shd w:val="clear" w:color="auto" w:fill="FFFFFF" w:themeFill="background1"/>
          </w:tcPr>
          <w:p w14:paraId="2D6A5DEF" w14:textId="3D7AA576" w:rsidR="009F64E8" w:rsidRPr="009F64E8" w:rsidRDefault="009F64E8" w:rsidP="009F64E8">
            <w:pPr>
              <w:pStyle w:val="Lijstalinea"/>
              <w:numPr>
                <w:ilvl w:val="0"/>
                <w:numId w:val="40"/>
              </w:numPr>
              <w:tabs>
                <w:tab w:val="clear" w:pos="851"/>
              </w:tabs>
              <w:spacing w:line="240" w:lineRule="auto"/>
              <w:ind w:left="105" w:hanging="153"/>
              <w:jc w:val="left"/>
              <w:cnfStyle w:val="000000000000" w:firstRow="0" w:lastRow="0" w:firstColumn="0" w:lastColumn="0" w:oddVBand="0" w:evenVBand="0" w:oddHBand="0" w:evenHBand="0" w:firstRowFirstColumn="0" w:firstRowLastColumn="0" w:lastRowFirstColumn="0" w:lastRowLastColumn="0"/>
              <w:rPr>
                <w:sz w:val="16"/>
                <w:szCs w:val="16"/>
              </w:rPr>
            </w:pPr>
            <w:r w:rsidRPr="00E75520">
              <w:rPr>
                <w:sz w:val="16"/>
                <w:szCs w:val="16"/>
              </w:rPr>
              <w:t>Reducing subsidies to fossil fuel-based technologies to increase the competitiveness of gas decarbonisation technologies.</w:t>
            </w:r>
          </w:p>
        </w:tc>
        <w:tc>
          <w:tcPr>
            <w:tcW w:w="902" w:type="pct"/>
            <w:shd w:val="clear" w:color="auto" w:fill="FFFFFF" w:themeFill="background1"/>
          </w:tcPr>
          <w:p w14:paraId="36E45A1F" w14:textId="639C6B09" w:rsidR="009F64E8" w:rsidRPr="00163523" w:rsidRDefault="00CF1847" w:rsidP="009F64E8">
            <w:pPr>
              <w:spacing w:line="240" w:lineRule="auto"/>
              <w:ind w:left="-48"/>
              <w:cnfStyle w:val="000000000000" w:firstRow="0" w:lastRow="0" w:firstColumn="0" w:lastColumn="0" w:oddVBand="0" w:evenVBand="0" w:oddHBand="0" w:evenHBand="0" w:firstRowFirstColumn="0" w:firstRowLastColumn="0" w:lastRowFirstColumn="0" w:lastRowLastColumn="0"/>
              <w:rPr>
                <w:sz w:val="16"/>
                <w:szCs w:val="16"/>
                <w:lang w:val="en-GB"/>
              </w:rPr>
            </w:pPr>
            <w:r w:rsidRPr="00163523">
              <w:rPr>
                <w:sz w:val="16"/>
                <w:szCs w:val="16"/>
                <w:lang w:val="en-GB"/>
              </w:rPr>
              <w:t>3, 4, 16</w:t>
            </w:r>
          </w:p>
        </w:tc>
      </w:tr>
      <w:tr w:rsidR="00CF1847" w:rsidRPr="00767708" w14:paraId="5E338859" w14:textId="376EB9A3" w:rsidTr="00D4312D">
        <w:trPr>
          <w:cantSplit/>
          <w:trHeight w:val="418"/>
        </w:trPr>
        <w:tc>
          <w:tcPr>
            <w:cnfStyle w:val="001000000000" w:firstRow="0" w:lastRow="0" w:firstColumn="1" w:lastColumn="0" w:oddVBand="0" w:evenVBand="0" w:oddHBand="0" w:evenHBand="0" w:firstRowFirstColumn="0" w:firstRowLastColumn="0" w:lastRowFirstColumn="0" w:lastRowLastColumn="0"/>
            <w:tcW w:w="248" w:type="pct"/>
            <w:vMerge/>
            <w:shd w:val="clear" w:color="auto" w:fill="FFFFFF" w:themeFill="background1"/>
          </w:tcPr>
          <w:p w14:paraId="2BE5D4B9" w14:textId="77777777" w:rsidR="00CF1847" w:rsidRPr="00F40F84" w:rsidRDefault="00CF1847" w:rsidP="00CF1847">
            <w:pPr>
              <w:spacing w:line="240" w:lineRule="auto"/>
              <w:ind w:left="0"/>
              <w:rPr>
                <w:sz w:val="16"/>
                <w:szCs w:val="16"/>
                <w:lang w:val="en-GB"/>
              </w:rPr>
            </w:pPr>
          </w:p>
        </w:tc>
        <w:tc>
          <w:tcPr>
            <w:tcW w:w="1570" w:type="pct"/>
            <w:vMerge/>
            <w:shd w:val="clear" w:color="auto" w:fill="FFFFFF" w:themeFill="background1"/>
          </w:tcPr>
          <w:p w14:paraId="2B1E81C5" w14:textId="77777777" w:rsidR="00CF1847" w:rsidRPr="00F40F84" w:rsidRDefault="00CF1847" w:rsidP="00CF1847">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p>
        </w:tc>
        <w:tc>
          <w:tcPr>
            <w:tcW w:w="2280" w:type="pct"/>
            <w:shd w:val="clear" w:color="auto" w:fill="FFFFFF" w:themeFill="background1"/>
          </w:tcPr>
          <w:p w14:paraId="4C651DC2" w14:textId="43700AEC" w:rsidR="00CF1847" w:rsidRPr="00E75520" w:rsidRDefault="00CF1847" w:rsidP="00CF1847">
            <w:pPr>
              <w:pStyle w:val="Lijstalinea"/>
              <w:numPr>
                <w:ilvl w:val="0"/>
                <w:numId w:val="40"/>
              </w:numPr>
              <w:tabs>
                <w:tab w:val="clear" w:pos="851"/>
              </w:tabs>
              <w:spacing w:line="240" w:lineRule="auto"/>
              <w:ind w:left="105" w:hanging="153"/>
              <w:jc w:val="left"/>
              <w:cnfStyle w:val="000000000000" w:firstRow="0" w:lastRow="0" w:firstColumn="0" w:lastColumn="0" w:oddVBand="0" w:evenVBand="0" w:oddHBand="0" w:evenHBand="0" w:firstRowFirstColumn="0" w:firstRowLastColumn="0" w:lastRowFirstColumn="0" w:lastRowLastColumn="0"/>
              <w:rPr>
                <w:sz w:val="16"/>
                <w:szCs w:val="16"/>
              </w:rPr>
            </w:pPr>
            <w:r w:rsidRPr="00E75520">
              <w:rPr>
                <w:sz w:val="16"/>
                <w:szCs w:val="16"/>
              </w:rPr>
              <w:t xml:space="preserve">Transparent ambitions and clear planning at national level to reduce the uncertainty and risks for investing in gas decarbonization technologies. </w:t>
            </w:r>
          </w:p>
        </w:tc>
        <w:tc>
          <w:tcPr>
            <w:tcW w:w="902" w:type="pct"/>
            <w:shd w:val="clear" w:color="auto" w:fill="FFFFFF" w:themeFill="background1"/>
          </w:tcPr>
          <w:p w14:paraId="2DD47C48" w14:textId="54B9DE63" w:rsidR="00CF1847" w:rsidRPr="00163523" w:rsidRDefault="00CF1847" w:rsidP="00CF1847">
            <w:pPr>
              <w:spacing w:line="240" w:lineRule="auto"/>
              <w:ind w:left="-48"/>
              <w:cnfStyle w:val="000000000000" w:firstRow="0" w:lastRow="0" w:firstColumn="0" w:lastColumn="0" w:oddVBand="0" w:evenVBand="0" w:oddHBand="0" w:evenHBand="0" w:firstRowFirstColumn="0" w:firstRowLastColumn="0" w:lastRowFirstColumn="0" w:lastRowLastColumn="0"/>
              <w:rPr>
                <w:sz w:val="16"/>
                <w:szCs w:val="16"/>
                <w:lang w:val="en-GB"/>
              </w:rPr>
            </w:pPr>
            <w:r w:rsidRPr="00163523">
              <w:rPr>
                <w:sz w:val="16"/>
                <w:szCs w:val="16"/>
                <w:lang w:val="en-GB"/>
              </w:rPr>
              <w:t>3, 4, 5, 6, 7, 8, 10, 13, 14</w:t>
            </w:r>
          </w:p>
        </w:tc>
      </w:tr>
    </w:tbl>
    <w:p w14:paraId="0EBB8457" w14:textId="77777777" w:rsidR="009F64E8" w:rsidRPr="00163523" w:rsidRDefault="009F64E8" w:rsidP="009F64E8">
      <w:pPr>
        <w:ind w:left="0"/>
        <w:rPr>
          <w:lang w:val="en-GB"/>
        </w:rPr>
      </w:pPr>
    </w:p>
    <w:p w14:paraId="05592437" w14:textId="47CEF56C" w:rsidR="00383613" w:rsidRDefault="00383613" w:rsidP="00383613">
      <w:pPr>
        <w:rPr>
          <w:lang w:val="en-GB"/>
        </w:rPr>
      </w:pPr>
    </w:p>
    <w:p w14:paraId="1A0548FF" w14:textId="2211762B" w:rsidR="00383613" w:rsidRPr="00163523" w:rsidRDefault="00081373">
      <w:pPr>
        <w:spacing w:after="200" w:line="276" w:lineRule="auto"/>
        <w:ind w:left="0"/>
        <w:rPr>
          <w:lang w:val="en-GB"/>
        </w:rPr>
      </w:pPr>
      <w:r w:rsidRPr="00163523">
        <w:rPr>
          <w:lang w:val="en-GB"/>
        </w:rPr>
        <w:br w:type="page"/>
      </w:r>
    </w:p>
    <w:p w14:paraId="0FAB56E3" w14:textId="77777777" w:rsidR="00383613" w:rsidRPr="00832561" w:rsidRDefault="00383613" w:rsidP="00383613">
      <w:pPr>
        <w:rPr>
          <w:lang w:val="en-GB"/>
        </w:rPr>
      </w:pPr>
    </w:p>
    <w:p w14:paraId="3B310680" w14:textId="77777777" w:rsidR="00383613" w:rsidRPr="00832561" w:rsidRDefault="00383613" w:rsidP="00383613">
      <w:pPr>
        <w:rPr>
          <w:lang w:val="en-GB"/>
        </w:rPr>
      </w:pPr>
    </w:p>
    <w:p w14:paraId="62D333A4" w14:textId="77777777" w:rsidR="00383613" w:rsidRPr="00832561" w:rsidRDefault="00383613" w:rsidP="00383613">
      <w:pPr>
        <w:rPr>
          <w:lang w:val="en-GB"/>
        </w:rPr>
      </w:pPr>
    </w:p>
    <w:p w14:paraId="5B70FDEF" w14:textId="77777777" w:rsidR="00383613" w:rsidRPr="00832561" w:rsidRDefault="00383613" w:rsidP="00383613">
      <w:pPr>
        <w:rPr>
          <w:lang w:val="en-GB"/>
        </w:rPr>
      </w:pPr>
    </w:p>
    <w:p w14:paraId="18CA8E1F" w14:textId="77777777" w:rsidR="00383613" w:rsidRPr="00832561" w:rsidRDefault="00383613" w:rsidP="00383613">
      <w:pPr>
        <w:rPr>
          <w:lang w:val="en-GB"/>
        </w:rPr>
      </w:pPr>
    </w:p>
    <w:p w14:paraId="2DBAFC00" w14:textId="77777777" w:rsidR="00383613" w:rsidRPr="00832561" w:rsidRDefault="00383613" w:rsidP="00383613">
      <w:pPr>
        <w:rPr>
          <w:lang w:val="en-GB"/>
        </w:rPr>
      </w:pPr>
    </w:p>
    <w:p w14:paraId="79626370" w14:textId="77777777" w:rsidR="00383613" w:rsidRPr="00832561" w:rsidRDefault="00383613" w:rsidP="00383613">
      <w:pPr>
        <w:rPr>
          <w:lang w:val="en-GB"/>
        </w:rPr>
      </w:pPr>
    </w:p>
    <w:p w14:paraId="4E8DBEEA" w14:textId="77777777" w:rsidR="00383613" w:rsidRPr="00832561" w:rsidRDefault="00383613" w:rsidP="00383613">
      <w:pPr>
        <w:rPr>
          <w:lang w:val="en-GB"/>
        </w:rPr>
      </w:pPr>
    </w:p>
    <w:p w14:paraId="2EE20155" w14:textId="77777777" w:rsidR="00383613" w:rsidRPr="00832561" w:rsidRDefault="00383613" w:rsidP="00383613">
      <w:pPr>
        <w:rPr>
          <w:lang w:val="en-GB"/>
        </w:rPr>
      </w:pPr>
    </w:p>
    <w:p w14:paraId="2F59EA0E" w14:textId="77777777" w:rsidR="00383613" w:rsidRPr="00832561" w:rsidRDefault="00383613" w:rsidP="00383613">
      <w:pPr>
        <w:rPr>
          <w:lang w:val="en-GB"/>
        </w:rPr>
      </w:pPr>
    </w:p>
    <w:p w14:paraId="2774DC33" w14:textId="77777777" w:rsidR="00383613" w:rsidRPr="00832561" w:rsidRDefault="00383613" w:rsidP="00383613">
      <w:pPr>
        <w:rPr>
          <w:lang w:val="en-GB"/>
        </w:rPr>
      </w:pPr>
    </w:p>
    <w:p w14:paraId="49306472" w14:textId="77777777" w:rsidR="00383613" w:rsidRPr="00832561" w:rsidRDefault="00383613" w:rsidP="00383613">
      <w:pPr>
        <w:rPr>
          <w:lang w:val="en-GB"/>
        </w:rPr>
      </w:pPr>
    </w:p>
    <w:p w14:paraId="608A5409" w14:textId="77777777" w:rsidR="00383613" w:rsidRPr="00832561" w:rsidRDefault="00383613" w:rsidP="00383613">
      <w:pPr>
        <w:rPr>
          <w:lang w:val="en-GB"/>
        </w:rPr>
      </w:pPr>
    </w:p>
    <w:p w14:paraId="35C6C951" w14:textId="77777777" w:rsidR="00383613" w:rsidRPr="00832561" w:rsidRDefault="00383613" w:rsidP="00383613">
      <w:pPr>
        <w:rPr>
          <w:lang w:val="en-GB"/>
        </w:rPr>
      </w:pPr>
    </w:p>
    <w:p w14:paraId="2625FF6B" w14:textId="77777777" w:rsidR="00383613" w:rsidRPr="00832561" w:rsidRDefault="00383613" w:rsidP="00383613">
      <w:pPr>
        <w:rPr>
          <w:lang w:val="en-GB"/>
        </w:rPr>
      </w:pPr>
    </w:p>
    <w:p w14:paraId="1AC4814B" w14:textId="77777777" w:rsidR="00383613" w:rsidRPr="00832561" w:rsidRDefault="00383613" w:rsidP="00383613">
      <w:pPr>
        <w:rPr>
          <w:lang w:val="en-GB"/>
        </w:rPr>
      </w:pPr>
    </w:p>
    <w:p w14:paraId="7FA0D06A" w14:textId="77777777" w:rsidR="00383613" w:rsidRPr="00832561" w:rsidRDefault="00383613" w:rsidP="00383613">
      <w:pPr>
        <w:rPr>
          <w:lang w:val="en-GB"/>
        </w:rPr>
      </w:pPr>
    </w:p>
    <w:p w14:paraId="57687F39" w14:textId="77777777" w:rsidR="00383613" w:rsidRPr="00832561" w:rsidRDefault="00383613" w:rsidP="00383613">
      <w:pPr>
        <w:rPr>
          <w:lang w:val="en-GB"/>
        </w:rPr>
      </w:pPr>
    </w:p>
    <w:p w14:paraId="5EE58C57" w14:textId="77777777" w:rsidR="00383613" w:rsidRPr="00832561" w:rsidRDefault="00383613" w:rsidP="00383613">
      <w:pPr>
        <w:rPr>
          <w:lang w:val="en-GB"/>
        </w:rPr>
      </w:pPr>
    </w:p>
    <w:p w14:paraId="2745CF42" w14:textId="77777777" w:rsidR="00383613" w:rsidRPr="00832561" w:rsidRDefault="00383613" w:rsidP="00383613">
      <w:pPr>
        <w:rPr>
          <w:lang w:val="en-GB"/>
        </w:rPr>
      </w:pPr>
    </w:p>
    <w:p w14:paraId="3C2CCECC" w14:textId="77777777" w:rsidR="00383613" w:rsidRPr="00832561" w:rsidRDefault="00383613" w:rsidP="00383613">
      <w:pPr>
        <w:rPr>
          <w:lang w:val="en-GB"/>
        </w:rPr>
      </w:pPr>
    </w:p>
    <w:p w14:paraId="1E064E50" w14:textId="77777777" w:rsidR="00383613" w:rsidRPr="00832561" w:rsidRDefault="00383613" w:rsidP="00383613">
      <w:pPr>
        <w:rPr>
          <w:lang w:val="en-GB"/>
        </w:rPr>
      </w:pPr>
    </w:p>
    <w:p w14:paraId="72F7239C" w14:textId="77777777" w:rsidR="00383613" w:rsidRPr="00832561" w:rsidRDefault="00383613" w:rsidP="00383613">
      <w:pPr>
        <w:rPr>
          <w:lang w:val="en-GB"/>
        </w:rPr>
      </w:pPr>
      <w:r w:rsidRPr="00163523">
        <w:rPr>
          <w:lang w:val="en-GB" w:eastAsia="fr-BE"/>
        </w:rPr>
        <mc:AlternateContent>
          <mc:Choice Requires="wps">
            <w:drawing>
              <wp:anchor distT="0" distB="0" distL="114300" distR="114300" simplePos="0" relativeHeight="251658247" behindDoc="0" locked="0" layoutInCell="1" allowOverlap="1" wp14:anchorId="2BF84CB6" wp14:editId="6FA39E6F">
                <wp:simplePos x="0" y="0"/>
                <wp:positionH relativeFrom="column">
                  <wp:posOffset>-183515</wp:posOffset>
                </wp:positionH>
                <wp:positionV relativeFrom="paragraph">
                  <wp:posOffset>228600</wp:posOffset>
                </wp:positionV>
                <wp:extent cx="3883231" cy="2066400"/>
                <wp:effectExtent l="0" t="0" r="0" b="0"/>
                <wp:wrapNone/>
                <wp:docPr id="307" name="Tekstvak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3231" cy="2066400"/>
                        </a:xfrm>
                        <a:prstGeom prst="rect">
                          <a:avLst/>
                        </a:prstGeom>
                        <a:noFill/>
                        <a:ln w="9525">
                          <a:noFill/>
                          <a:miter lim="800000"/>
                          <a:headEnd/>
                          <a:tailEnd/>
                        </a:ln>
                      </wps:spPr>
                      <wps:txbx>
                        <w:txbxContent>
                          <w:p w14:paraId="3AD5B223" w14:textId="77777777" w:rsidR="00383613" w:rsidRPr="009E69A2" w:rsidRDefault="00383613" w:rsidP="00383613">
                            <w:pPr>
                              <w:ind w:left="0"/>
                              <w:rPr>
                                <w:lang w:val="en-US"/>
                              </w:rPr>
                            </w:pPr>
                            <w:r w:rsidRPr="009E69A2">
                              <w:rPr>
                                <w:lang w:val="en-US"/>
                              </w:rPr>
                              <w:t>Trinomics B.V.</w:t>
                            </w:r>
                          </w:p>
                          <w:p w14:paraId="7E78AEA9" w14:textId="6C60BCC2" w:rsidR="00042C65" w:rsidRPr="009E69A2" w:rsidRDefault="00042C65" w:rsidP="00383613">
                            <w:pPr>
                              <w:ind w:left="0"/>
                              <w:rPr>
                                <w:lang w:val="en-US"/>
                              </w:rPr>
                            </w:pPr>
                            <w:proofErr w:type="spellStart"/>
                            <w:r w:rsidRPr="009E69A2">
                              <w:rPr>
                                <w:lang w:val="en-US"/>
                              </w:rPr>
                              <w:t>Mauritsweg</w:t>
                            </w:r>
                            <w:proofErr w:type="spellEnd"/>
                            <w:r w:rsidRPr="009E69A2">
                              <w:rPr>
                                <w:lang w:val="en-US"/>
                              </w:rPr>
                              <w:t xml:space="preserve"> 44</w:t>
                            </w:r>
                          </w:p>
                          <w:p w14:paraId="6235CD40" w14:textId="7ED26B44" w:rsidR="00383613" w:rsidRPr="009E69A2" w:rsidRDefault="00383613" w:rsidP="00383613">
                            <w:pPr>
                              <w:ind w:left="0"/>
                              <w:rPr>
                                <w:lang w:val="en-US"/>
                              </w:rPr>
                            </w:pPr>
                            <w:r w:rsidRPr="009E69A2">
                              <w:rPr>
                                <w:lang w:val="en-US"/>
                              </w:rPr>
                              <w:t>301</w:t>
                            </w:r>
                            <w:r w:rsidR="00042C65" w:rsidRPr="009E69A2">
                              <w:rPr>
                                <w:lang w:val="en-US"/>
                              </w:rPr>
                              <w:t>2</w:t>
                            </w:r>
                            <w:r w:rsidRPr="009E69A2">
                              <w:rPr>
                                <w:lang w:val="en-US"/>
                              </w:rPr>
                              <w:t xml:space="preserve"> </w:t>
                            </w:r>
                            <w:r w:rsidR="00612C48" w:rsidRPr="009E69A2">
                              <w:rPr>
                                <w:lang w:val="en-US"/>
                              </w:rPr>
                              <w:t>JV</w:t>
                            </w:r>
                            <w:r w:rsidRPr="009E69A2">
                              <w:rPr>
                                <w:lang w:val="en-US"/>
                              </w:rPr>
                              <w:t xml:space="preserve"> Rotterdam</w:t>
                            </w:r>
                          </w:p>
                          <w:p w14:paraId="45100058" w14:textId="77777777" w:rsidR="00383613" w:rsidRPr="00973270" w:rsidRDefault="00383613" w:rsidP="00383613">
                            <w:pPr>
                              <w:ind w:left="0"/>
                              <w:rPr>
                                <w:lang w:val="en-US"/>
                              </w:rPr>
                            </w:pPr>
                            <w:r w:rsidRPr="00973270">
                              <w:rPr>
                                <w:lang w:val="en-US"/>
                              </w:rPr>
                              <w:t>The Netherlands</w:t>
                            </w:r>
                          </w:p>
                          <w:p w14:paraId="11E9FF9F" w14:textId="77777777" w:rsidR="00383613" w:rsidRPr="00973270" w:rsidRDefault="00383613" w:rsidP="00383613">
                            <w:pPr>
                              <w:ind w:left="0"/>
                              <w:rPr>
                                <w:lang w:val="en-US"/>
                              </w:rPr>
                            </w:pPr>
                          </w:p>
                          <w:p w14:paraId="59002D75" w14:textId="77777777" w:rsidR="00383613" w:rsidRPr="009E69A2" w:rsidRDefault="00383613" w:rsidP="00383613">
                            <w:pPr>
                              <w:ind w:left="0"/>
                            </w:pPr>
                            <w:r w:rsidRPr="009E69A2">
                              <w:t>T +31 (0) 10 3414 592</w:t>
                            </w:r>
                          </w:p>
                          <w:p w14:paraId="76DCD245" w14:textId="77777777" w:rsidR="00383613" w:rsidRPr="009E69A2" w:rsidRDefault="009A750B" w:rsidP="00383613">
                            <w:pPr>
                              <w:ind w:left="0"/>
                            </w:pPr>
                            <w:hyperlink r:id="rId27" w:history="1">
                              <w:r w:rsidR="00383613" w:rsidRPr="009E69A2">
                                <w:rPr>
                                  <w:rStyle w:val="Hyperlink"/>
                                </w:rPr>
                                <w:t>www.trinomics.eu</w:t>
                              </w:r>
                            </w:hyperlink>
                          </w:p>
                          <w:p w14:paraId="107B8912" w14:textId="77777777" w:rsidR="00383613" w:rsidRPr="009E69A2" w:rsidRDefault="00383613" w:rsidP="00383613">
                            <w:pPr>
                              <w:ind w:left="0"/>
                            </w:pPr>
                          </w:p>
                          <w:p w14:paraId="6E462F82" w14:textId="77777777" w:rsidR="00383613" w:rsidRPr="00750021" w:rsidRDefault="00383613" w:rsidP="00383613">
                            <w:pPr>
                              <w:ind w:left="0"/>
                              <w:rPr>
                                <w:lang w:val="pt-PT"/>
                              </w:rPr>
                            </w:pPr>
                            <w:r w:rsidRPr="00750021">
                              <w:rPr>
                                <w:lang w:val="pt-PT"/>
                              </w:rPr>
                              <w:t>KvK n°: 56028016</w:t>
                            </w:r>
                          </w:p>
                          <w:p w14:paraId="1599825E" w14:textId="77777777" w:rsidR="00383613" w:rsidRPr="00F501C0" w:rsidRDefault="00383613" w:rsidP="00383613">
                            <w:pPr>
                              <w:ind w:left="0"/>
                              <w:rPr>
                                <w:lang w:val="pt-BR"/>
                              </w:rPr>
                            </w:pPr>
                            <w:r w:rsidRPr="00F501C0">
                              <w:rPr>
                                <w:lang w:val="pt-BR"/>
                              </w:rPr>
                              <w:t>VAT n°: NL8519.48.662.B01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F84CB6" id="_x0000_t202" coordsize="21600,21600" o:spt="202" path="m,l,21600r21600,l21600,xe">
                <v:stroke joinstyle="miter"/>
                <v:path gradientshapeok="t" o:connecttype="rect"/>
              </v:shapetype>
              <v:shape id="Tekstvak 307" o:spid="_x0000_s1027" type="#_x0000_t202" style="position:absolute;left:0;text-align:left;margin-left:-14.45pt;margin-top:18pt;width:305.75pt;height:162.7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" filled="f" stroked="f">
                <v:textbox>
                  <w:txbxContent>
                    <w:p w14:paraId="3AD5B223" w14:textId="77777777" w:rsidR="00383613" w:rsidRPr="009E69A2" w:rsidRDefault="00383613" w:rsidP="00383613">
                      <w:pPr>
                        <w:ind w:left="0"/>
                        <w:rPr>
                          <w:lang w:val="en-US"/>
                        </w:rPr>
                      </w:pPr>
                      <w:r w:rsidRPr="009E69A2">
                        <w:rPr>
                          <w:lang w:val="en-US"/>
                        </w:rPr>
                        <w:t>Trinomics B.V.</w:t>
                      </w:r>
                    </w:p>
                    <w:p w14:paraId="7E78AEA9" w14:textId="6C60BCC2" w:rsidR="00042C65" w:rsidRPr="009E69A2" w:rsidRDefault="00042C65" w:rsidP="00383613">
                      <w:pPr>
                        <w:ind w:left="0"/>
                        <w:rPr>
                          <w:lang w:val="en-US"/>
                        </w:rPr>
                      </w:pPr>
                      <w:proofErr w:type="spellStart"/>
                      <w:r w:rsidRPr="009E69A2">
                        <w:rPr>
                          <w:lang w:val="en-US"/>
                        </w:rPr>
                        <w:t>Mauritsweg</w:t>
                      </w:r>
                      <w:proofErr w:type="spellEnd"/>
                      <w:r w:rsidRPr="009E69A2">
                        <w:rPr>
                          <w:lang w:val="en-US"/>
                        </w:rPr>
                        <w:t xml:space="preserve"> 44</w:t>
                      </w:r>
                    </w:p>
                    <w:p w14:paraId="6235CD40" w14:textId="7ED26B44" w:rsidR="00383613" w:rsidRPr="009E69A2" w:rsidRDefault="00383613" w:rsidP="00383613">
                      <w:pPr>
                        <w:ind w:left="0"/>
                        <w:rPr>
                          <w:lang w:val="en-US"/>
                        </w:rPr>
                      </w:pPr>
                      <w:r w:rsidRPr="009E69A2">
                        <w:rPr>
                          <w:lang w:val="en-US"/>
                        </w:rPr>
                        <w:t>301</w:t>
                      </w:r>
                      <w:r w:rsidR="00042C65" w:rsidRPr="009E69A2">
                        <w:rPr>
                          <w:lang w:val="en-US"/>
                        </w:rPr>
                        <w:t>2</w:t>
                      </w:r>
                      <w:r w:rsidRPr="009E69A2">
                        <w:rPr>
                          <w:lang w:val="en-US"/>
                        </w:rPr>
                        <w:t xml:space="preserve"> </w:t>
                      </w:r>
                      <w:r w:rsidR="00612C48" w:rsidRPr="009E69A2">
                        <w:rPr>
                          <w:lang w:val="en-US"/>
                        </w:rPr>
                        <w:t>JV</w:t>
                      </w:r>
                      <w:r w:rsidRPr="009E69A2">
                        <w:rPr>
                          <w:lang w:val="en-US"/>
                        </w:rPr>
                        <w:t xml:space="preserve"> Rotterdam</w:t>
                      </w:r>
                    </w:p>
                    <w:p w14:paraId="45100058" w14:textId="77777777" w:rsidR="00383613" w:rsidRPr="00973270" w:rsidRDefault="00383613" w:rsidP="00383613">
                      <w:pPr>
                        <w:ind w:left="0"/>
                        <w:rPr>
                          <w:lang w:val="en-US"/>
                        </w:rPr>
                      </w:pPr>
                      <w:r w:rsidRPr="00973270">
                        <w:rPr>
                          <w:lang w:val="en-US"/>
                        </w:rPr>
                        <w:t>The Netherlands</w:t>
                      </w:r>
                    </w:p>
                    <w:p w14:paraId="11E9FF9F" w14:textId="77777777" w:rsidR="00383613" w:rsidRPr="00973270" w:rsidRDefault="00383613" w:rsidP="00383613">
                      <w:pPr>
                        <w:ind w:left="0"/>
                        <w:rPr>
                          <w:lang w:val="en-US"/>
                        </w:rPr>
                      </w:pPr>
                    </w:p>
                    <w:p w14:paraId="59002D75" w14:textId="77777777" w:rsidR="00383613" w:rsidRPr="009E69A2" w:rsidRDefault="00383613" w:rsidP="00383613">
                      <w:pPr>
                        <w:ind w:left="0"/>
                      </w:pPr>
                      <w:r w:rsidRPr="009E69A2">
                        <w:t>T +31 (0) 10 3414 592</w:t>
                      </w:r>
                    </w:p>
                    <w:p w14:paraId="76DCD245" w14:textId="77777777" w:rsidR="00383613" w:rsidRPr="009E69A2" w:rsidRDefault="009A750B" w:rsidP="00383613">
                      <w:pPr>
                        <w:ind w:left="0"/>
                      </w:pPr>
                      <w:hyperlink r:id="rId28" w:history="1">
                        <w:r w:rsidR="00383613" w:rsidRPr="009E69A2">
                          <w:rPr>
                            <w:rStyle w:val="Hyperlink"/>
                          </w:rPr>
                          <w:t>www.trinomics.eu</w:t>
                        </w:r>
                      </w:hyperlink>
                    </w:p>
                    <w:p w14:paraId="107B8912" w14:textId="77777777" w:rsidR="00383613" w:rsidRPr="009E69A2" w:rsidRDefault="00383613" w:rsidP="00383613">
                      <w:pPr>
                        <w:ind w:left="0"/>
                      </w:pPr>
                    </w:p>
                    <w:p w14:paraId="6E462F82" w14:textId="77777777" w:rsidR="00383613" w:rsidRPr="00750021" w:rsidRDefault="00383613" w:rsidP="00383613">
                      <w:pPr>
                        <w:ind w:left="0"/>
                        <w:rPr>
                          <w:lang w:val="pt-PT"/>
                        </w:rPr>
                      </w:pPr>
                      <w:r w:rsidRPr="00750021">
                        <w:rPr>
                          <w:lang w:val="pt-PT"/>
                        </w:rPr>
                        <w:t>KvK n°: 56028016</w:t>
                      </w:r>
                    </w:p>
                    <w:p w14:paraId="1599825E" w14:textId="77777777" w:rsidR="00383613" w:rsidRPr="00F501C0" w:rsidRDefault="00383613" w:rsidP="00383613">
                      <w:pPr>
                        <w:ind w:left="0"/>
                        <w:rPr>
                          <w:lang w:val="pt-BR"/>
                        </w:rPr>
                      </w:pPr>
                      <w:r w:rsidRPr="00F501C0">
                        <w:rPr>
                          <w:lang w:val="pt-BR"/>
                        </w:rPr>
                        <w:t>VAT n°: NL8519.48.662.B01</w:t>
                      </w:r>
                    </w:p>
                  </w:txbxContent>
                </v:textbox>
              </v:shape>
            </w:pict>
          </mc:Fallback>
        </mc:AlternateContent>
      </w:r>
    </w:p>
    <w:p w14:paraId="0E1DFBA1" w14:textId="77777777" w:rsidR="00383613" w:rsidRPr="00832561" w:rsidRDefault="00383613" w:rsidP="00383613">
      <w:pPr>
        <w:rPr>
          <w:lang w:val="en-GB"/>
        </w:rPr>
      </w:pPr>
      <w:bookmarkStart w:id="98" w:name="_WNSectionTitle_5"/>
      <w:bookmarkStart w:id="99" w:name="_WNTabType_4"/>
      <w:r w:rsidRPr="00163523">
        <w:rPr>
          <w:lang w:val="en-GB" w:eastAsia="fr-BE"/>
        </w:rPr>
        <mc:AlternateContent>
          <mc:Choice Requires="wps">
            <w:drawing>
              <wp:anchor distT="0" distB="0" distL="114300" distR="114300" simplePos="0" relativeHeight="251658246" behindDoc="1" locked="0" layoutInCell="1" allowOverlap="1" wp14:anchorId="7301EAA1" wp14:editId="2B930851">
                <wp:simplePos x="0" y="0"/>
                <wp:positionH relativeFrom="margin">
                  <wp:align>center</wp:align>
                </wp:positionH>
                <wp:positionV relativeFrom="page">
                  <wp:posOffset>381000</wp:posOffset>
                </wp:positionV>
                <wp:extent cx="7077075" cy="7543800"/>
                <wp:effectExtent l="0" t="0" r="9525" b="0"/>
                <wp:wrapNone/>
                <wp:docPr id="72" name="Rechthoek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77075" cy="7543800"/>
                        </a:xfrm>
                        <a:prstGeom prst="rect">
                          <a:avLst/>
                        </a:prstGeom>
                        <a:solidFill>
                          <a:srgbClr val="ECEBE1"/>
                        </a:solidFill>
                        <a:ln w="9525">
                          <a:noFill/>
                          <a:miter lim="800000"/>
                          <a:headEnd/>
                          <a:tailEnd/>
                        </a:ln>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B792D28" id="Rechthoek 72" o:spid="_x0000_s1026" style="position:absolute;margin-left:0;margin-top:30pt;width:557.25pt;height:594pt;z-index:-25165823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" fillcolor="#ecebe1" stroked="f">
                <w10:wrap anchorx="margin" anchory="page"/>
              </v:rect>
            </w:pict>
          </mc:Fallback>
        </mc:AlternateContent>
      </w:r>
      <w:bookmarkEnd w:id="98"/>
      <w:bookmarkEnd w:id="99"/>
    </w:p>
    <w:p w14:paraId="2F4B0EF4" w14:textId="77777777" w:rsidR="00383613" w:rsidRPr="00832561" w:rsidRDefault="00383613" w:rsidP="00383613">
      <w:pPr>
        <w:rPr>
          <w:lang w:val="en-GB"/>
        </w:rPr>
      </w:pPr>
    </w:p>
    <w:p w14:paraId="6D897AB5" w14:textId="77777777" w:rsidR="00383613" w:rsidRPr="00832561" w:rsidRDefault="00383613" w:rsidP="00383613">
      <w:pPr>
        <w:rPr>
          <w:lang w:val="en-GB"/>
        </w:rPr>
      </w:pPr>
    </w:p>
    <w:p w14:paraId="4E356A50" w14:textId="77777777" w:rsidR="00383613" w:rsidRPr="00832561" w:rsidRDefault="00383613" w:rsidP="00383613">
      <w:pPr>
        <w:rPr>
          <w:lang w:val="en-GB"/>
        </w:rPr>
      </w:pPr>
    </w:p>
    <w:p w14:paraId="723C62F0" w14:textId="77777777" w:rsidR="00383613" w:rsidRPr="00832561" w:rsidRDefault="00383613" w:rsidP="00383613">
      <w:pPr>
        <w:rPr>
          <w:lang w:val="en-GB"/>
        </w:rPr>
      </w:pPr>
    </w:p>
    <w:p w14:paraId="11AC9643" w14:textId="77777777" w:rsidR="00383613" w:rsidRPr="00832561" w:rsidRDefault="00383613" w:rsidP="00383613">
      <w:pPr>
        <w:rPr>
          <w:lang w:val="en-GB"/>
        </w:rPr>
      </w:pPr>
    </w:p>
    <w:p w14:paraId="250D5299" w14:textId="77777777" w:rsidR="00383613" w:rsidRPr="00832561" w:rsidRDefault="00383613" w:rsidP="00383613">
      <w:pPr>
        <w:rPr>
          <w:lang w:val="en-GB"/>
        </w:rPr>
      </w:pPr>
    </w:p>
    <w:p w14:paraId="0B266B49" w14:textId="77777777" w:rsidR="00383613" w:rsidRPr="00832561" w:rsidRDefault="00383613" w:rsidP="00383613">
      <w:pPr>
        <w:rPr>
          <w:lang w:val="en-GB"/>
        </w:rPr>
      </w:pPr>
    </w:p>
    <w:p w14:paraId="5BEE8FBB" w14:textId="77777777" w:rsidR="00383613" w:rsidRPr="00832561" w:rsidRDefault="00383613" w:rsidP="00383613">
      <w:pPr>
        <w:rPr>
          <w:lang w:val="en-GB"/>
        </w:rPr>
      </w:pPr>
    </w:p>
    <w:p w14:paraId="6A0CEC52" w14:textId="77777777" w:rsidR="00383613" w:rsidRPr="00832561" w:rsidRDefault="00383613" w:rsidP="00383613">
      <w:pPr>
        <w:rPr>
          <w:lang w:val="en-GB"/>
        </w:rPr>
      </w:pPr>
    </w:p>
    <w:p w14:paraId="0CD2FB81" w14:textId="77777777" w:rsidR="00383613" w:rsidRPr="00832561" w:rsidRDefault="00383613" w:rsidP="00383613">
      <w:pPr>
        <w:rPr>
          <w:lang w:val="en-GB"/>
        </w:rPr>
      </w:pPr>
    </w:p>
    <w:p w14:paraId="1507450E" w14:textId="77777777" w:rsidR="00383613" w:rsidRPr="00832561" w:rsidRDefault="00383613" w:rsidP="00383613">
      <w:pPr>
        <w:rPr>
          <w:lang w:val="en-GB"/>
        </w:rPr>
      </w:pPr>
    </w:p>
    <w:p w14:paraId="52F0DE9C" w14:textId="77777777" w:rsidR="00383613" w:rsidRPr="00832561" w:rsidRDefault="00383613" w:rsidP="00383613">
      <w:pPr>
        <w:rPr>
          <w:lang w:val="en-GB"/>
        </w:rPr>
      </w:pPr>
    </w:p>
    <w:p w14:paraId="7D98ED2C" w14:textId="77777777" w:rsidR="00383613" w:rsidRPr="00832561" w:rsidRDefault="00383613" w:rsidP="00383613">
      <w:pPr>
        <w:rPr>
          <w:lang w:val="en-GB"/>
        </w:rPr>
      </w:pPr>
    </w:p>
    <w:p w14:paraId="6ECF9D67" w14:textId="77777777" w:rsidR="00383613" w:rsidRPr="00163523" w:rsidRDefault="00383613" w:rsidP="00383613">
      <w:pPr>
        <w:rPr>
          <w:lang w:val="en-GB"/>
        </w:rPr>
      </w:pPr>
      <w:r w:rsidRPr="00163523">
        <w:rPr>
          <w:lang w:val="en-GB" w:eastAsia="fr-BE"/>
        </w:rPr>
        <w:drawing>
          <wp:anchor distT="0" distB="0" distL="114300" distR="114300" simplePos="0" relativeHeight="251658248" behindDoc="1" locked="0" layoutInCell="1" allowOverlap="1" wp14:anchorId="42B2DF92" wp14:editId="6337BD34">
            <wp:simplePos x="0" y="0"/>
            <wp:positionH relativeFrom="margin">
              <wp:posOffset>1242060</wp:posOffset>
            </wp:positionH>
            <wp:positionV relativeFrom="paragraph">
              <wp:posOffset>11278</wp:posOffset>
            </wp:positionV>
            <wp:extent cx="3247390" cy="1181100"/>
            <wp:effectExtent l="0" t="0" r="0" b="0"/>
            <wp:wrapNone/>
            <wp:docPr id="6" name="Afbeelding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247390" cy="1181100"/>
                    </a:xfrm>
                    <a:prstGeom prst="rect">
                      <a:avLst/>
                    </a:prstGeom>
                  </pic:spPr>
                </pic:pic>
              </a:graphicData>
            </a:graphic>
            <wp14:sizeRelH relativeFrom="page">
              <wp14:pctWidth>0</wp14:pctWidth>
            </wp14:sizeRelH>
            <wp14:sizeRelV relativeFrom="page">
              <wp14:pctHeight>0</wp14:pctHeight>
            </wp14:sizeRelV>
          </wp:anchor>
        </w:drawing>
      </w:r>
    </w:p>
    <w:sectPr w:rsidR="00383613" w:rsidRPr="00163523" w:rsidSect="00F57572">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E6BB2" w14:textId="77777777" w:rsidR="000C715C" w:rsidRDefault="000C715C" w:rsidP="008059BC">
      <w:r>
        <w:separator/>
      </w:r>
    </w:p>
  </w:endnote>
  <w:endnote w:type="continuationSeparator" w:id="0">
    <w:p w14:paraId="27B6BE89" w14:textId="77777777" w:rsidR="000C715C" w:rsidRDefault="000C715C" w:rsidP="008059BC">
      <w:r>
        <w:continuationSeparator/>
      </w:r>
    </w:p>
  </w:endnote>
  <w:endnote w:type="continuationNotice" w:id="1">
    <w:p w14:paraId="4534FFCD" w14:textId="77777777" w:rsidR="000C715C" w:rsidRDefault="000C715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EC Square Sans Pro">
    <w:altName w:val="Calibri"/>
    <w:charset w:val="00"/>
    <w:family w:val="swiss"/>
    <w:pitch w:val="variable"/>
    <w:sig w:usb0="A00002BF" w:usb1="5000E0F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FD9EA" w14:textId="77777777" w:rsidR="001126CC" w:rsidRDefault="001126CC" w:rsidP="008059BC">
    <w:pPr>
      <w:pStyle w:val="Voettekst"/>
    </w:pPr>
    <w:r w:rsidRPr="006F5959">
      <w:rPr>
        <w:noProof/>
        <w:lang w:eastAsia="en-GB"/>
      </w:rPr>
      <w:drawing>
        <wp:anchor distT="0" distB="0" distL="114300" distR="114300" simplePos="0" relativeHeight="251658241" behindDoc="0" locked="0" layoutInCell="1" allowOverlap="1" wp14:anchorId="1BDC3427" wp14:editId="69C98BBD">
          <wp:simplePos x="0" y="0"/>
          <wp:positionH relativeFrom="column">
            <wp:posOffset>4344753</wp:posOffset>
          </wp:positionH>
          <wp:positionV relativeFrom="paragraph">
            <wp:posOffset>-914400</wp:posOffset>
          </wp:positionV>
          <wp:extent cx="1911096" cy="548640"/>
          <wp:effectExtent l="0" t="0" r="0" b="0"/>
          <wp:wrapNone/>
          <wp:docPr id="14" name="Afbeelding 14" descr="Image result for e3m modelling">
            <a:extLst xmlns:a="http://schemas.openxmlformats.org/drawingml/2006/main">
              <a:ext uri="{FF2B5EF4-FFF2-40B4-BE49-F238E27FC236}">
                <a16:creationId xmlns:a16="http://schemas.microsoft.com/office/drawing/2014/main" id="{B56D6D31-0710-4E34-A30B-EB5068F93C3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1" descr="Image result for e3m modelling">
                    <a:extLst>
                      <a:ext uri="{FF2B5EF4-FFF2-40B4-BE49-F238E27FC236}">
                        <a16:creationId xmlns:a16="http://schemas.microsoft.com/office/drawing/2014/main" id="{B56D6D31-0710-4E34-A30B-EB5068F93C36}"/>
                      </a:ext>
                    </a:extLst>
                  </pic:cNvPr>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11096" cy="548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F5959">
      <w:rPr>
        <w:noProof/>
        <w:lang w:eastAsia="en-GB"/>
      </w:rPr>
      <w:drawing>
        <wp:anchor distT="0" distB="0" distL="114300" distR="114300" simplePos="0" relativeHeight="251658242" behindDoc="0" locked="0" layoutInCell="1" allowOverlap="1" wp14:anchorId="7402CE1D" wp14:editId="2AAA236D">
          <wp:simplePos x="0" y="0"/>
          <wp:positionH relativeFrom="column">
            <wp:posOffset>2209813</wp:posOffset>
          </wp:positionH>
          <wp:positionV relativeFrom="paragraph">
            <wp:posOffset>-1062935</wp:posOffset>
          </wp:positionV>
          <wp:extent cx="1603182" cy="832822"/>
          <wp:effectExtent l="0" t="0" r="0" b="5715"/>
          <wp:wrapNone/>
          <wp:docPr id="16" name="Afbeelding 16" descr="Logo, company name&#10;&#10;Description automatically generated">
            <a:extLst xmlns:a="http://schemas.openxmlformats.org/drawingml/2006/main">
              <a:ext uri="{FF2B5EF4-FFF2-40B4-BE49-F238E27FC236}">
                <a16:creationId xmlns:a16="http://schemas.microsoft.com/office/drawing/2014/main" id="{61507434-2A2C-45B7-9223-31BE9AAE16D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30" descr="Logo, company name&#10;&#10;Description automatically generated">
                    <a:extLst>
                      <a:ext uri="{FF2B5EF4-FFF2-40B4-BE49-F238E27FC236}">
                        <a16:creationId xmlns:a16="http://schemas.microsoft.com/office/drawing/2014/main" id="{61507434-2A2C-45B7-9223-31BE9AAE16D0}"/>
                      </a:ext>
                    </a:extLst>
                  </pic:cNvPr>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03182" cy="83282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F5959">
      <w:rPr>
        <w:noProof/>
        <w:lang w:eastAsia="en-GB"/>
      </w:rPr>
      <w:drawing>
        <wp:anchor distT="0" distB="0" distL="114300" distR="114300" simplePos="0" relativeHeight="251658243" behindDoc="0" locked="0" layoutInCell="1" allowOverlap="1" wp14:anchorId="5C1DCDDC" wp14:editId="7E6F52C6">
          <wp:simplePos x="0" y="0"/>
          <wp:positionH relativeFrom="column">
            <wp:posOffset>-580141</wp:posOffset>
          </wp:positionH>
          <wp:positionV relativeFrom="paragraph">
            <wp:posOffset>-1062272</wp:posOffset>
          </wp:positionV>
          <wp:extent cx="2170706" cy="789850"/>
          <wp:effectExtent l="0" t="0" r="0" b="0"/>
          <wp:wrapNone/>
          <wp:docPr id="22" name="Afbeelding 22" descr="Logo&#10;&#10;Description automatically generated">
            <a:extLst xmlns:a="http://schemas.openxmlformats.org/drawingml/2006/main">
              <a:ext uri="{FF2B5EF4-FFF2-40B4-BE49-F238E27FC236}">
                <a16:creationId xmlns:a16="http://schemas.microsoft.com/office/drawing/2014/main" id="{4E751A59-9977-49BB-871A-63A7C9E46A5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n 3" descr="Logo&#10;&#10;Description automatically generated">
                    <a:extLst>
                      <a:ext uri="{FF2B5EF4-FFF2-40B4-BE49-F238E27FC236}">
                        <a16:creationId xmlns:a16="http://schemas.microsoft.com/office/drawing/2014/main" id="{4E751A59-9977-49BB-871A-63A7C9E46A54}"/>
                      </a:ext>
                    </a:extLst>
                  </pic:cNvPr>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2170706" cy="789850"/>
                  </a:xfrm>
                  <a:prstGeom prst="rect">
                    <a:avLst/>
                  </a:prstGeom>
                </pic:spPr>
              </pic:pic>
            </a:graphicData>
          </a:graphic>
          <wp14:sizeRelH relativeFrom="margin">
            <wp14:pctWidth>0</wp14:pctWidth>
          </wp14:sizeRelH>
          <wp14:sizeRelV relativeFrom="margin">
            <wp14:pctHeight>0</wp14:pctHeight>
          </wp14:sizeRelV>
        </wp:anchor>
      </w:drawing>
    </w:r>
    <w:r w:rsidRPr="00840681">
      <w:rPr>
        <w:noProof/>
        <w:lang w:val="fr-BE" w:eastAsia="fr-BE"/>
      </w:rPr>
      <mc:AlternateContent>
        <mc:Choice Requires="wps">
          <w:drawing>
            <wp:anchor distT="0" distB="0" distL="114300" distR="114300" simplePos="0" relativeHeight="251658240" behindDoc="0" locked="0" layoutInCell="1" allowOverlap="1" wp14:anchorId="0FC77EAD" wp14:editId="7353795A">
              <wp:simplePos x="0" y="0"/>
              <wp:positionH relativeFrom="column">
                <wp:posOffset>731520</wp:posOffset>
              </wp:positionH>
              <wp:positionV relativeFrom="paragraph">
                <wp:posOffset>182143</wp:posOffset>
              </wp:positionV>
              <wp:extent cx="3081600" cy="853200"/>
              <wp:effectExtent l="0" t="0" r="0" b="0"/>
              <wp:wrapNone/>
              <wp:docPr id="9" name="Tekstvak 9">
                <a:extLst xmlns:a="http://schemas.openxmlformats.org/drawingml/2006/main">
                  <a:ext uri="{FF2B5EF4-FFF2-40B4-BE49-F238E27FC236}">
                    <a16:creationId xmlns:a16="http://schemas.microsoft.com/office/drawing/2014/main" id="{A65AFFB1-7DB3-43C2-BE75-69BC33CC4641}"/>
                  </a:ext>
                </a:extLst>
              </wp:docPr>
              <wp:cNvGraphicFramePr/>
              <a:graphic xmlns:a="http://schemas.openxmlformats.org/drawingml/2006/main">
                <a:graphicData uri="http://schemas.microsoft.com/office/word/2010/wordprocessingShape">
                  <wps:wsp>
                    <wps:cNvSpPr txBox="1"/>
                    <wps:spPr>
                      <a:xfrm>
                        <a:off x="0" y="0"/>
                        <a:ext cx="3081600" cy="853200"/>
                      </a:xfrm>
                      <a:prstGeom prst="rect">
                        <a:avLst/>
                      </a:prstGeom>
                      <a:noFill/>
                    </wps:spPr>
                    <wps:txbx>
                      <w:txbxContent>
                        <w:p w14:paraId="4CDA3F4F" w14:textId="77777777" w:rsidR="001126CC" w:rsidRPr="00E60817" w:rsidRDefault="001126CC">
                          <w:pPr>
                            <w:ind w:left="0"/>
                            <w:rPr>
                              <w:lang w:val="en-US"/>
                            </w:rPr>
                          </w:pPr>
                          <w:r w:rsidRPr="00E60817">
                            <w:rPr>
                              <w:rFonts w:asciiTheme="minorHAnsi" w:hAnsi="Calibri"/>
                              <w:kern w:val="24"/>
                              <w:sz w:val="20"/>
                              <w:szCs w:val="20"/>
                              <w:lang w:val="en-US"/>
                            </w:rPr>
                            <w:t>This project is carried out with funding by the European Union via the Structural Reform Support Programme and in cooperation with the Directorate General  for Structural Reform Support of the European Commission</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shapetype w14:anchorId="0FC77EAD" id="_x0000_t202" coordsize="21600,21600" o:spt="202" path="m,l,21600r21600,l21600,xe">
              <v:stroke joinstyle="miter"/>
              <v:path gradientshapeok="t" o:connecttype="rect"/>
            </v:shapetype>
            <v:shape id="Tekstvak 9" o:spid="_x0000_s1028" type="#_x0000_t202" style="position:absolute;left:0;text-align:left;margin-left:57.6pt;margin-top:14.35pt;width:242.65pt;height:6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" filled="f" stroked="f">
              <v:textbox style="mso-fit-shape-to-text:t">
                <w:txbxContent>
                  <w:p w14:paraId="4CDA3F4F" w14:textId="77777777" w:rsidR="001126CC" w:rsidRPr="00E60817" w:rsidRDefault="001126CC">
                    <w:pPr>
                      <w:ind w:left="0"/>
                      <w:rPr>
                        <w:lang w:val="en-US"/>
                      </w:rPr>
                    </w:pPr>
                    <w:r w:rsidRPr="00E60817">
                      <w:rPr>
                        <w:rFonts w:asciiTheme="minorHAnsi" w:hAnsi="Calibri"/>
                        <w:kern w:val="24"/>
                        <w:sz w:val="20"/>
                        <w:szCs w:val="20"/>
                        <w:lang w:val="en-US"/>
                      </w:rPr>
                      <w:t>This project is carried out with funding by the European Union via the Structural Reform Support Programme and in cooperation with the Directorate General  for Structural Reform Support of the European Commission</w:t>
                    </w:r>
                  </w:p>
                </w:txbxContent>
              </v:textbox>
            </v:shape>
          </w:pict>
        </mc:Fallback>
      </mc:AlternateContent>
    </w:r>
    <w:r w:rsidRPr="002D66CB">
      <w:rPr>
        <w:noProof/>
        <w:lang w:val="fr-BE" w:eastAsia="en-GB"/>
      </w:rPr>
      <w:t xml:space="preserve"> </w:t>
    </w:r>
    <w:r w:rsidRPr="00840681">
      <w:rPr>
        <w:noProof/>
        <w:lang w:val="fr-BE" w:eastAsia="fr-BE"/>
      </w:rPr>
      <w:drawing>
        <wp:anchor distT="0" distB="0" distL="114300" distR="114300" simplePos="0" relativeHeight="251658244" behindDoc="0" locked="0" layoutInCell="1" allowOverlap="1" wp14:anchorId="64636EF9" wp14:editId="55A53B45">
          <wp:simplePos x="0" y="0"/>
          <wp:positionH relativeFrom="column">
            <wp:posOffset>-542290</wp:posOffset>
          </wp:positionH>
          <wp:positionV relativeFrom="paragraph">
            <wp:posOffset>222885</wp:posOffset>
          </wp:positionV>
          <wp:extent cx="1204595" cy="795020"/>
          <wp:effectExtent l="0" t="0" r="0" b="5080"/>
          <wp:wrapNone/>
          <wp:docPr id="25" name="Afbeelding 25" descr="European Union Logo Vector (.AI) Free Download">
            <a:extLst xmlns:a="http://schemas.openxmlformats.org/drawingml/2006/main">
              <a:ext uri="{FF2B5EF4-FFF2-40B4-BE49-F238E27FC236}">
                <a16:creationId xmlns:a16="http://schemas.microsoft.com/office/drawing/2014/main" id="{2B8D3029-F3A7-4077-8CF9-F92A390904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European Union Logo Vector (.AI) Free Download">
                    <a:extLst>
                      <a:ext uri="{FF2B5EF4-FFF2-40B4-BE49-F238E27FC236}">
                        <a16:creationId xmlns:a16="http://schemas.microsoft.com/office/drawing/2014/main" id="{2B8D3029-F3A7-4077-8CF9-F92A39090482}"/>
                      </a:ext>
                    </a:extLs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4595" cy="79502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noProof/>
        <w:lang w:eastAsia="en-GB"/>
      </w:rPr>
      <w:ptab w:relativeTo="margin" w:alignment="center"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9C347" w14:textId="77777777" w:rsidR="001126CC" w:rsidRDefault="001126CC" w:rsidP="008059BC">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0D135" w14:textId="77777777" w:rsidR="001126CC" w:rsidRPr="00F76947" w:rsidRDefault="001126CC">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4030458"/>
      <w:docPartObj>
        <w:docPartGallery w:val="Page Numbers (Bottom of Page)"/>
        <w:docPartUnique/>
      </w:docPartObj>
    </w:sdtPr>
    <w:sdtEndPr/>
    <w:sdtContent>
      <w:p w14:paraId="6D49663D" w14:textId="5161DD88" w:rsidR="007C1C75" w:rsidRDefault="007C1C75">
        <w:pPr>
          <w:pStyle w:val="Voettekst"/>
          <w:jc w:val="center"/>
        </w:pPr>
        <w:r>
          <w:fldChar w:fldCharType="begin"/>
        </w:r>
        <w:r>
          <w:instrText>PAGE   \* MERGEFORMAT</w:instrText>
        </w:r>
        <w:r>
          <w:fldChar w:fldCharType="separate"/>
        </w:r>
        <w:r>
          <w:rPr>
            <w:lang w:val="nl-NL"/>
          </w:rPr>
          <w:t>2</w:t>
        </w:r>
        <w:r>
          <w:fldChar w:fldCharType="end"/>
        </w:r>
      </w:p>
    </w:sdtContent>
  </w:sdt>
  <w:p w14:paraId="664B75F9" w14:textId="77777777" w:rsidR="00342587" w:rsidRDefault="00342587" w:rsidP="008059BC">
    <w:pPr>
      <w:pStyle w:val="Onderwerpvanopmerking"/>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2557842"/>
      <w:docPartObj>
        <w:docPartGallery w:val="Page Numbers (Bottom of Page)"/>
        <w:docPartUnique/>
      </w:docPartObj>
    </w:sdtPr>
    <w:sdtEndPr/>
    <w:sdtContent>
      <w:p w14:paraId="3738C49C" w14:textId="77777777" w:rsidR="005F4385" w:rsidRDefault="005F4385">
        <w:pPr>
          <w:pStyle w:val="Voettekst"/>
          <w:jc w:val="center"/>
        </w:pPr>
        <w:r>
          <w:fldChar w:fldCharType="begin"/>
        </w:r>
        <w:r>
          <w:instrText>PAGE   \* MERGEFORMAT</w:instrText>
        </w:r>
        <w:r>
          <w:fldChar w:fldCharType="separate"/>
        </w:r>
        <w:r>
          <w:rPr>
            <w:lang w:val="nl-NL"/>
          </w:rPr>
          <w:t>2</w:t>
        </w:r>
        <w:r>
          <w:fldChar w:fldCharType="end"/>
        </w:r>
      </w:p>
    </w:sdtContent>
  </w:sdt>
  <w:p w14:paraId="17DB67EC" w14:textId="77777777" w:rsidR="005F4385" w:rsidRDefault="005F4385" w:rsidP="008059BC">
    <w:pPr>
      <w:pStyle w:val="Onderwerpvanopmerk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8C811" w14:textId="77777777" w:rsidR="000C715C" w:rsidRDefault="000C715C" w:rsidP="008059BC">
      <w:r>
        <w:separator/>
      </w:r>
    </w:p>
  </w:footnote>
  <w:footnote w:type="continuationSeparator" w:id="0">
    <w:p w14:paraId="30D2BF34" w14:textId="77777777" w:rsidR="000C715C" w:rsidRDefault="000C715C" w:rsidP="008059BC">
      <w:r>
        <w:continuationSeparator/>
      </w:r>
    </w:p>
  </w:footnote>
  <w:footnote w:type="continuationNotice" w:id="1">
    <w:p w14:paraId="6CE64059" w14:textId="77777777" w:rsidR="000C715C" w:rsidRPr="00447114" w:rsidRDefault="000C715C">
      <w:pPr>
        <w:spacing w:line="240" w:lineRule="auto"/>
      </w:pPr>
    </w:p>
  </w:footnote>
  <w:footnote w:id="2">
    <w:p w14:paraId="60AA4FB4" w14:textId="77777777" w:rsidR="005A65E3" w:rsidRPr="00EC28F4" w:rsidRDefault="005A65E3" w:rsidP="005A65E3">
      <w:pPr>
        <w:pStyle w:val="Voetnoottekst"/>
      </w:pPr>
      <w:r w:rsidRPr="00EC28F4">
        <w:rPr>
          <w:rStyle w:val="Voetnootmarkering"/>
        </w:rPr>
        <w:footnoteRef/>
      </w:r>
      <w:r w:rsidRPr="00EC28F4">
        <w:rPr>
          <w:lang w:val="en-US"/>
        </w:rPr>
        <w:t xml:space="preserve"> </w:t>
      </w:r>
      <w:r w:rsidRPr="00EC28F4">
        <w:t>See DG GROW (</w:t>
      </w:r>
      <w:proofErr w:type="spellStart"/>
      <w:r w:rsidRPr="00EC28F4">
        <w:t>s.d.</w:t>
      </w:r>
      <w:proofErr w:type="spellEnd"/>
      <w:r w:rsidRPr="00EC28F4">
        <w:t xml:space="preserve">) </w:t>
      </w:r>
      <w:r w:rsidRPr="00EC28F4">
        <w:rPr>
          <w:lang w:val="en-US"/>
        </w:rPr>
        <w:t>Critical raw materials</w:t>
      </w:r>
      <w:r w:rsidRPr="00EC28F4">
        <w:t xml:space="preserve">. </w:t>
      </w:r>
      <w:hyperlink r:id="rId1" w:history="1">
        <w:r w:rsidRPr="00EC28F4">
          <w:rPr>
            <w:rStyle w:val="Hyperlink"/>
          </w:rPr>
          <w:t>https://single-market-economy.ec.europa.eu/sectors/raw-materials/areas-specific-interest/critical-raw-materials_en</w:t>
        </w:r>
      </w:hyperlink>
    </w:p>
  </w:footnote>
  <w:footnote w:id="3">
    <w:p w14:paraId="183239B6" w14:textId="12F690FD" w:rsidR="00BE75DE" w:rsidRPr="00EC28F4" w:rsidRDefault="00BE75DE">
      <w:pPr>
        <w:pStyle w:val="Voetnoottekst"/>
      </w:pPr>
      <w:r w:rsidRPr="00EC28F4">
        <w:rPr>
          <w:rStyle w:val="Voetnootmarkering"/>
        </w:rPr>
        <w:footnoteRef/>
      </w:r>
      <w:r w:rsidRPr="00EC28F4">
        <w:rPr>
          <w:lang w:val="en-US"/>
        </w:rPr>
        <w:t xml:space="preserve"> </w:t>
      </w:r>
      <w:r w:rsidRPr="00EC28F4">
        <w:t xml:space="preserve">Trinomics </w:t>
      </w:r>
      <w:r w:rsidR="00C00F70" w:rsidRPr="00EC28F4">
        <w:t>and Artelys</w:t>
      </w:r>
      <w:r w:rsidRPr="00EC28F4">
        <w:t xml:space="preserve"> (2021) </w:t>
      </w:r>
      <w:r w:rsidR="001B1FE3" w:rsidRPr="00EC28F4">
        <w:t>Study on the resilience of critical supply chains for energy security and clean energy transition during and after the COVID-19 crisis</w:t>
      </w:r>
    </w:p>
  </w:footnote>
  <w:footnote w:id="4">
    <w:p w14:paraId="4DC73857" w14:textId="4936E9FF" w:rsidR="00820493" w:rsidRPr="00EC28F4" w:rsidRDefault="00820493">
      <w:pPr>
        <w:pStyle w:val="Voetnoottekst"/>
      </w:pPr>
      <w:r w:rsidRPr="00EC28F4">
        <w:rPr>
          <w:rStyle w:val="Voetnootmarkering"/>
        </w:rPr>
        <w:footnoteRef/>
      </w:r>
      <w:r w:rsidRPr="00EC28F4">
        <w:t xml:space="preserve"> </w:t>
      </w:r>
      <w:r w:rsidR="00D045E9" w:rsidRPr="00EC28F4">
        <w:t>World Economic Forum (2022) The Global Risks Report 2022 – Insight report</w:t>
      </w:r>
    </w:p>
  </w:footnote>
  <w:footnote w:id="5">
    <w:p w14:paraId="3950ED66" w14:textId="26577660" w:rsidR="004B0C45" w:rsidRPr="00EC28F4" w:rsidRDefault="004B0C45">
      <w:pPr>
        <w:pStyle w:val="Voetnoottekst"/>
      </w:pPr>
      <w:r w:rsidRPr="00EC28F4">
        <w:rPr>
          <w:rStyle w:val="Voetnootmarkering"/>
        </w:rPr>
        <w:footnoteRef/>
      </w:r>
      <w:r w:rsidRPr="00EC28F4">
        <w:rPr>
          <w:lang w:val="en-US"/>
        </w:rPr>
        <w:t xml:space="preserve"> </w:t>
      </w:r>
      <w:r w:rsidRPr="00EC28F4">
        <w:t>The survey was conducted between May and September 2021, hence before the Russian aggression against Ukraine.</w:t>
      </w:r>
    </w:p>
  </w:footnote>
  <w:footnote w:id="6">
    <w:p w14:paraId="71DFC280" w14:textId="3462DFCD" w:rsidR="00D045E9" w:rsidRPr="00EC28F4" w:rsidRDefault="00D045E9" w:rsidP="00D045E9">
      <w:pPr>
        <w:pStyle w:val="Voetnoottekst"/>
      </w:pPr>
      <w:r w:rsidRPr="00EC28F4">
        <w:rPr>
          <w:rStyle w:val="Voetnootmarkering"/>
        </w:rPr>
        <w:footnoteRef/>
      </w:r>
      <w:r w:rsidRPr="00EC28F4">
        <w:t xml:space="preserve"> World Economic Forum (2022) The Global Risks Report 2022 – Insight repor</w:t>
      </w:r>
      <w:r w:rsidR="004B0C45" w:rsidRPr="00EC28F4">
        <w:t>t</w:t>
      </w:r>
    </w:p>
  </w:footnote>
  <w:footnote w:id="7">
    <w:p w14:paraId="16258CAD" w14:textId="77777777" w:rsidR="00D045E9" w:rsidRPr="00EC28F4" w:rsidRDefault="00D045E9" w:rsidP="00D045E9">
      <w:pPr>
        <w:pStyle w:val="Voetnoottekst"/>
      </w:pPr>
      <w:r w:rsidRPr="00EC28F4">
        <w:rPr>
          <w:rStyle w:val="Voetnootmarkering"/>
        </w:rPr>
        <w:footnoteRef/>
      </w:r>
      <w:r w:rsidRPr="00EC28F4">
        <w:t xml:space="preserve"> World Economic Forum (2022) The Global Risks Report 2022 – Insight report</w:t>
      </w:r>
    </w:p>
  </w:footnote>
  <w:footnote w:id="8">
    <w:p w14:paraId="70185661" w14:textId="6899C01E" w:rsidR="006A2605" w:rsidRPr="00EC28F4" w:rsidRDefault="006A2605" w:rsidP="00CF3673">
      <w:pPr>
        <w:pStyle w:val="Voetnoottekst"/>
      </w:pPr>
      <w:r w:rsidRPr="00EC28F4">
        <w:rPr>
          <w:rStyle w:val="Voetnootmarkering"/>
        </w:rPr>
        <w:footnoteRef/>
      </w:r>
      <w:r w:rsidRPr="00EC28F4">
        <w:rPr>
          <w:lang w:val="en-US"/>
        </w:rPr>
        <w:t xml:space="preserve"> </w:t>
      </w:r>
      <w:r w:rsidRPr="00EC28F4">
        <w:t xml:space="preserve">IEA (2022) </w:t>
      </w:r>
      <w:r w:rsidR="00CF3673" w:rsidRPr="00EC28F4">
        <w:t>Securing Clean Energy Technology Supply Chains</w:t>
      </w:r>
    </w:p>
  </w:footnote>
  <w:footnote w:id="9">
    <w:p w14:paraId="11CF7D43" w14:textId="07253D15" w:rsidR="00CF68C4" w:rsidRPr="009E69A2" w:rsidRDefault="00CF68C4" w:rsidP="009D5B4D">
      <w:pPr>
        <w:spacing w:line="240" w:lineRule="auto"/>
        <w:rPr>
          <w:lang w:val="en-GB"/>
        </w:rPr>
      </w:pPr>
      <w:r w:rsidRPr="00A777C2">
        <w:rPr>
          <w:rStyle w:val="Voetnootmarkering"/>
          <w:sz w:val="16"/>
          <w:szCs w:val="16"/>
        </w:rPr>
        <w:footnoteRef/>
      </w:r>
      <w:r w:rsidRPr="00A777C2">
        <w:rPr>
          <w:sz w:val="16"/>
          <w:szCs w:val="16"/>
          <w:lang w:val="en-US"/>
        </w:rPr>
        <w:t xml:space="preserve"> </w:t>
      </w:r>
      <w:hyperlink r:id="rId2" w:history="1">
        <w:r w:rsidR="00055CDA" w:rsidRPr="00A777C2">
          <w:rPr>
            <w:rStyle w:val="Hyperlink"/>
            <w:sz w:val="16"/>
            <w:szCs w:val="16"/>
            <w:lang w:val="en-US"/>
          </w:rPr>
          <w:t>Narratives-for-Natural-Gas-in-a-Decarbonisinf-European-Energy-Market-NG141.pdf (oxfordenergy.org)</w:t>
        </w:r>
      </w:hyperlink>
    </w:p>
  </w:footnote>
  <w:footnote w:id="10">
    <w:p w14:paraId="6BB81D49" w14:textId="2B6BC7FC" w:rsidR="005B3FE5" w:rsidRPr="00EC28F4" w:rsidRDefault="005B3FE5">
      <w:pPr>
        <w:pStyle w:val="Voetnoottekst"/>
        <w:rPr>
          <w:lang w:val="en-US"/>
        </w:rPr>
      </w:pPr>
      <w:r w:rsidRPr="00EC28F4">
        <w:rPr>
          <w:rStyle w:val="Voetnootmarkering"/>
        </w:rPr>
        <w:footnoteRef/>
      </w:r>
      <w:r w:rsidRPr="00EC28F4">
        <w:rPr>
          <w:lang w:val="en-US"/>
        </w:rPr>
        <w:t xml:space="preserve"> </w:t>
      </w:r>
      <w:hyperlink r:id="rId3" w:history="1">
        <w:r w:rsidRPr="00EC28F4">
          <w:rPr>
            <w:rStyle w:val="Hyperlink"/>
            <w:lang w:val="en-US"/>
          </w:rPr>
          <w:t>03_03_20_E3G_Gas_Investment_Transition_Risk.pdf</w:t>
        </w:r>
      </w:hyperlink>
    </w:p>
  </w:footnote>
  <w:footnote w:id="11">
    <w:p w14:paraId="07E48D5B" w14:textId="5707E913" w:rsidR="005D4588" w:rsidRPr="00EC28F4" w:rsidRDefault="005D4588" w:rsidP="005D4588">
      <w:pPr>
        <w:pStyle w:val="Voetnoottekst"/>
      </w:pPr>
      <w:r>
        <w:rPr>
          <w:rStyle w:val="Voetnootmarkering"/>
        </w:rPr>
        <w:footnoteRef/>
      </w:r>
      <w:r w:rsidRPr="00E60817">
        <w:rPr>
          <w:lang w:val="en-US"/>
        </w:rPr>
        <w:t xml:space="preserve"> </w:t>
      </w:r>
      <w:r w:rsidRPr="00EC28F4">
        <w:t>IEA (2022) Securing Clean Energy Technology Supply Chains</w:t>
      </w:r>
    </w:p>
  </w:footnote>
  <w:footnote w:id="12">
    <w:p w14:paraId="1A19DAB9" w14:textId="2145687E" w:rsidR="00D07EB3" w:rsidRPr="00D07EB3" w:rsidRDefault="00D07EB3">
      <w:pPr>
        <w:pStyle w:val="Voetnoottekst"/>
        <w:rPr>
          <w:lang w:val="en-US"/>
        </w:rPr>
      </w:pPr>
      <w:r>
        <w:rPr>
          <w:rStyle w:val="Voetnootmarkering"/>
        </w:rPr>
        <w:footnoteRef/>
      </w:r>
      <w:r>
        <w:t xml:space="preserve"> </w:t>
      </w:r>
      <w:hyperlink r:id="rId4" w:history="1">
        <w:r>
          <w:rPr>
            <w:rStyle w:val="Hyperlink"/>
          </w:rPr>
          <w:t>Scarring effects of the COVID-19 pandemic on the global economy – reviewing recent evidence (europa.eu)</w:t>
        </w:r>
      </w:hyperlink>
    </w:p>
  </w:footnote>
  <w:footnote w:id="13">
    <w:p w14:paraId="7F0AC5B3" w14:textId="593FF9F9" w:rsidR="00D07EB3" w:rsidRPr="00D07EB3" w:rsidRDefault="00D07EB3">
      <w:pPr>
        <w:pStyle w:val="Voetnoottekst"/>
      </w:pPr>
      <w:r>
        <w:rPr>
          <w:rStyle w:val="Voetnootmarkering"/>
        </w:rPr>
        <w:footnoteRef/>
      </w:r>
      <w:r>
        <w:t xml:space="preserve"> </w:t>
      </w:r>
      <w:hyperlink r:id="rId5" w:anchor=":~:text=Advanced%20economies%20are%20expected%20to,growth%20falling%20below%201%20percent." w:history="1">
        <w:r>
          <w:rPr>
            <w:rStyle w:val="Hyperlink"/>
          </w:rPr>
          <w:t>World Economic Outlook, April 2023: A Rocky Recovery (imf.org)</w:t>
        </w:r>
      </w:hyperlink>
    </w:p>
  </w:footnote>
  <w:footnote w:id="14">
    <w:p w14:paraId="35A256A8" w14:textId="2B4888D7" w:rsidR="001D2B56" w:rsidRPr="0088064C" w:rsidRDefault="001D2B56">
      <w:pPr>
        <w:pStyle w:val="Voetnoottekst"/>
        <w:rPr>
          <w:lang w:val="en-US"/>
        </w:rPr>
      </w:pPr>
      <w:r>
        <w:rPr>
          <w:rStyle w:val="Voetnootmarkering"/>
        </w:rPr>
        <w:footnoteRef/>
      </w:r>
      <w:r>
        <w:t xml:space="preserve"> </w:t>
      </w:r>
      <w:hyperlink r:id="rId6" w:history="1">
        <w:r>
          <w:rPr>
            <w:rStyle w:val="Hyperlink"/>
          </w:rPr>
          <w:t>How does the energy crisis affect the transition to net zero? (eib.org)</w:t>
        </w:r>
      </w:hyperlink>
    </w:p>
  </w:footnote>
  <w:footnote w:id="15">
    <w:p w14:paraId="3BA6BA8C" w14:textId="77777777" w:rsidR="003C1005" w:rsidRPr="00386E18" w:rsidRDefault="003C1005" w:rsidP="003C1005">
      <w:pPr>
        <w:pStyle w:val="Voetnoottekst"/>
        <w:rPr>
          <w:i/>
          <w:iCs/>
          <w:lang w:val="en-US"/>
        </w:rPr>
      </w:pPr>
      <w:r w:rsidRPr="00386E18">
        <w:rPr>
          <w:rStyle w:val="Voetnootmarkering"/>
        </w:rPr>
        <w:footnoteRef/>
      </w:r>
      <w:r w:rsidRPr="00386E18">
        <w:rPr>
          <w:lang w:val="en-US"/>
        </w:rPr>
        <w:t xml:space="preserve"> </w:t>
      </w:r>
      <w:r w:rsidRPr="00386E18">
        <w:rPr>
          <w:i/>
          <w:iCs/>
          <w:lang w:val="en-US"/>
        </w:rPr>
        <w:t>Ibid.</w:t>
      </w:r>
    </w:p>
  </w:footnote>
  <w:footnote w:id="16">
    <w:p w14:paraId="7C54B8C0" w14:textId="763E13C2" w:rsidR="008B3944" w:rsidRPr="008B3944" w:rsidRDefault="008B3944">
      <w:pPr>
        <w:pStyle w:val="Voetnoottekst"/>
      </w:pPr>
      <w:r>
        <w:rPr>
          <w:rStyle w:val="Voetnootmarkering"/>
        </w:rPr>
        <w:footnoteRef/>
      </w:r>
      <w:r>
        <w:t xml:space="preserve"> </w:t>
      </w:r>
      <w:hyperlink r:id="rId7" w:anchor=":~:text=Advanced%20economies%20are%20expected%20to,growth%20falling%20below%201%20percent." w:history="1">
        <w:r w:rsidR="00AB0A36">
          <w:rPr>
            <w:rStyle w:val="Hyperlink"/>
          </w:rPr>
          <w:t>World Economic Outlook, April 2023: A Rocky Recovery (imf.org)</w:t>
        </w:r>
      </w:hyperlink>
    </w:p>
  </w:footnote>
  <w:footnote w:id="17">
    <w:p w14:paraId="6B6B2662" w14:textId="6C72F1FD" w:rsidR="00DE1F76" w:rsidRPr="00DE1F76" w:rsidRDefault="00DE1F76">
      <w:pPr>
        <w:pStyle w:val="Voetnoottekst"/>
      </w:pPr>
      <w:r>
        <w:rPr>
          <w:rStyle w:val="Voetnootmarkering"/>
        </w:rPr>
        <w:footnoteRef/>
      </w:r>
      <w:r>
        <w:t xml:space="preserve"> </w:t>
      </w:r>
      <w:r w:rsidR="00D110F5">
        <w:t>Sin</w:t>
      </w:r>
      <w:r w:rsidR="00892314">
        <w:t>c</w:t>
      </w:r>
      <w:r w:rsidR="00D110F5">
        <w:t xml:space="preserve">e the </w:t>
      </w:r>
      <w:r w:rsidR="00892314">
        <w:t>invasion of Russia in Ukraine, the i</w:t>
      </w:r>
      <w:r>
        <w:t>nflation rates in the Baltic countries were among the highest in the euro area (with a</w:t>
      </w:r>
      <w:r w:rsidR="00667298">
        <w:t xml:space="preserve">n average inflation rate </w:t>
      </w:r>
      <w:r>
        <w:t xml:space="preserve">of </w:t>
      </w:r>
      <w:r w:rsidR="00667298">
        <w:t>17.1</w:t>
      </w:r>
      <w:r>
        <w:t xml:space="preserve">% in Latvia, </w:t>
      </w:r>
      <w:r w:rsidR="00667298">
        <w:t>18.8</w:t>
      </w:r>
      <w:r>
        <w:t xml:space="preserve">% in Lithuania and </w:t>
      </w:r>
      <w:r w:rsidR="00667298">
        <w:t>19.4</w:t>
      </w:r>
      <w:r>
        <w:t xml:space="preserve">% in Estonia in 2022, compared to </w:t>
      </w:r>
      <w:r w:rsidR="00667298">
        <w:t>8.4</w:t>
      </w:r>
      <w:r>
        <w:t>% on average in the euro area)</w:t>
      </w:r>
      <w:r w:rsidR="003777EB">
        <w:t xml:space="preserve">, which has a negative impact on the purchase power and hence on the capacity to invest in </w:t>
      </w:r>
      <w:r w:rsidR="00503F2E">
        <w:t xml:space="preserve">renewable or </w:t>
      </w:r>
      <w:r w:rsidR="00633E5F">
        <w:t xml:space="preserve">low-carbon energy </w:t>
      </w:r>
      <w:r w:rsidR="002E28E3">
        <w:t>equipment</w:t>
      </w:r>
      <w:r>
        <w:t xml:space="preserve">. Source: </w:t>
      </w:r>
      <w:hyperlink r:id="rId8" w:history="1">
        <w:r>
          <w:rPr>
            <w:rStyle w:val="Hyperlink"/>
          </w:rPr>
          <w:t>Euro area statistics (euro-area-statistics.org)</w:t>
        </w:r>
      </w:hyperlink>
    </w:p>
  </w:footnote>
  <w:footnote w:id="18">
    <w:p w14:paraId="753745D7" w14:textId="4A8293CC" w:rsidR="00AB0A36" w:rsidRPr="00AB0A36" w:rsidRDefault="00AB0A36">
      <w:pPr>
        <w:pStyle w:val="Voetnoottekst"/>
      </w:pPr>
      <w:r>
        <w:rPr>
          <w:rStyle w:val="Voetnootmarkering"/>
        </w:rPr>
        <w:footnoteRef/>
      </w:r>
      <w:r>
        <w:t xml:space="preserve"> </w:t>
      </w:r>
      <w:hyperlink r:id="rId9" w:history="1">
        <w:r>
          <w:rPr>
            <w:rStyle w:val="Hyperlink"/>
          </w:rPr>
          <w:t>World Energy Outlook 2022 (windows.net)</w:t>
        </w:r>
      </w:hyperlink>
    </w:p>
  </w:footnote>
  <w:footnote w:id="19">
    <w:p w14:paraId="74F40F24" w14:textId="77777777" w:rsidR="002B46E9" w:rsidRPr="00727428" w:rsidRDefault="002B46E9" w:rsidP="002B46E9">
      <w:pPr>
        <w:pStyle w:val="Voetnoottekst"/>
        <w:rPr>
          <w:lang w:val="en-US"/>
        </w:rPr>
      </w:pPr>
      <w:r w:rsidRPr="00727428">
        <w:rPr>
          <w:rStyle w:val="Voetnootmarkering"/>
        </w:rPr>
        <w:footnoteRef/>
      </w:r>
      <w:r w:rsidRPr="00727428">
        <w:rPr>
          <w:lang w:val="en-US"/>
        </w:rPr>
        <w:t xml:space="preserve"> </w:t>
      </w:r>
      <w:hyperlink r:id="rId10" w:anchor=":~:text=Advanced%20economies%20are%20expected%20to,growth%20falling%20below%201%20percent." w:history="1">
        <w:r w:rsidRPr="00727428">
          <w:rPr>
            <w:color w:val="0000FF"/>
            <w:u w:val="single"/>
            <w:lang w:val="en-US"/>
          </w:rPr>
          <w:t>World Economic Outlook, April 2023: A Rocky Recovery (imf.org)</w:t>
        </w:r>
      </w:hyperlink>
    </w:p>
  </w:footnote>
  <w:footnote w:id="20">
    <w:p w14:paraId="51F5DE46" w14:textId="77777777" w:rsidR="002B46E9" w:rsidRPr="002B46E9" w:rsidRDefault="002B46E9" w:rsidP="002B46E9">
      <w:pPr>
        <w:pStyle w:val="Voetnoottekst"/>
        <w:rPr>
          <w:lang w:val="en-US"/>
        </w:rPr>
      </w:pPr>
      <w:r w:rsidRPr="00727428">
        <w:rPr>
          <w:rStyle w:val="Voetnootmarkering"/>
        </w:rPr>
        <w:footnoteRef/>
      </w:r>
      <w:r w:rsidRPr="00727428">
        <w:rPr>
          <w:lang w:val="en-US"/>
        </w:rPr>
        <w:t xml:space="preserve"> </w:t>
      </w:r>
      <w:hyperlink r:id="rId11" w:history="1">
        <w:r w:rsidRPr="00727428">
          <w:rPr>
            <w:color w:val="0000FF"/>
            <w:u w:val="single"/>
            <w:lang w:val="en-US"/>
          </w:rPr>
          <w:t xml:space="preserve">Greener and cheaper: could the transition away from fossil fuels generate a divine coincidence? </w:t>
        </w:r>
        <w:r w:rsidRPr="00727428">
          <w:rPr>
            <w:color w:val="0000FF"/>
            <w:u w:val="single"/>
          </w:rPr>
          <w:t>(europa.eu)</w:t>
        </w:r>
      </w:hyperlink>
    </w:p>
  </w:footnote>
  <w:footnote w:id="21">
    <w:p w14:paraId="0B6772B4" w14:textId="46CB0AC3" w:rsidR="00DD36D5" w:rsidRPr="00BC0D54" w:rsidRDefault="00DD36D5">
      <w:pPr>
        <w:pStyle w:val="Voetnoottekst"/>
      </w:pPr>
      <w:r>
        <w:rPr>
          <w:rStyle w:val="Voetnootmarkering"/>
        </w:rPr>
        <w:footnoteRef/>
      </w:r>
      <w:r w:rsidRPr="00BC0D54">
        <w:t xml:space="preserve"> </w:t>
      </w:r>
      <w:r w:rsidR="00BC0D54" w:rsidRPr="00BC0D54">
        <w:t>Trinomics and Artelys (2021</w:t>
      </w:r>
      <w:r w:rsidR="00BC0D54">
        <w:t xml:space="preserve">) </w:t>
      </w:r>
      <w:hyperlink r:id="rId12" w:history="1">
        <w:r w:rsidR="00BC0D54" w:rsidRPr="00BC0D54">
          <w:rPr>
            <w:rStyle w:val="Hyperlink"/>
          </w:rPr>
          <w:t>Study on the resilience of critical supply chains for energy security and clean energy transition during and after the COVID-19 crisis</w:t>
        </w:r>
      </w:hyperlink>
    </w:p>
  </w:footnote>
  <w:footnote w:id="22">
    <w:p w14:paraId="2E6D3521" w14:textId="2A2C2CD0" w:rsidR="00AC21DF" w:rsidRPr="00D70904" w:rsidRDefault="00AC21DF">
      <w:pPr>
        <w:pStyle w:val="Voetnoottekst"/>
      </w:pPr>
      <w:r>
        <w:rPr>
          <w:rStyle w:val="Voetnootmarkering"/>
        </w:rPr>
        <w:footnoteRef/>
      </w:r>
      <w:r w:rsidRPr="00D70904">
        <w:t xml:space="preserve"> Trinomics (2023) </w:t>
      </w:r>
      <w:r w:rsidR="00D70904" w:rsidRPr="00D70904">
        <w:t>Supply chain risks in the EU’s clean energy technologies</w:t>
      </w:r>
    </w:p>
  </w:footnote>
  <w:footnote w:id="23">
    <w:p w14:paraId="3A5E0892" w14:textId="77777777" w:rsidR="00DB7ABB" w:rsidRPr="00D70904" w:rsidRDefault="00DB7ABB" w:rsidP="00DB7ABB">
      <w:pPr>
        <w:pStyle w:val="Voetnoottekst"/>
      </w:pPr>
      <w:r>
        <w:rPr>
          <w:rStyle w:val="Voetnootmarkering"/>
        </w:rPr>
        <w:footnoteRef/>
      </w:r>
      <w:r w:rsidRPr="00D70904">
        <w:t xml:space="preserve"> Trinomics (2023) Supply chain risks in the EU’s clean energy technologies</w:t>
      </w:r>
    </w:p>
  </w:footnote>
  <w:footnote w:id="24">
    <w:p w14:paraId="0613B6CE" w14:textId="77777777" w:rsidR="00DB7ABB" w:rsidRPr="00D70904" w:rsidRDefault="00DB7ABB" w:rsidP="00DB7ABB">
      <w:pPr>
        <w:pStyle w:val="Voetnoottekst"/>
      </w:pPr>
      <w:r>
        <w:rPr>
          <w:rStyle w:val="Voetnootmarkering"/>
        </w:rPr>
        <w:footnoteRef/>
      </w:r>
      <w:r w:rsidRPr="00D70904">
        <w:t xml:space="preserve"> Trinomics (2023) Supply chain risks in the EU’s clean energy technologies</w:t>
      </w:r>
    </w:p>
  </w:footnote>
  <w:footnote w:id="25">
    <w:p w14:paraId="3E528EBC" w14:textId="1B32EF40" w:rsidR="000B2C0A" w:rsidRDefault="000B2C0A">
      <w:pPr>
        <w:pStyle w:val="Voetnoottekst"/>
      </w:pPr>
      <w:r>
        <w:rPr>
          <w:rStyle w:val="Voetnootmarkering"/>
        </w:rPr>
        <w:footnoteRef/>
      </w:r>
      <w:r>
        <w:t xml:space="preserve"> </w:t>
      </w:r>
      <w:hyperlink r:id="rId13" w:history="1">
        <w:r w:rsidRPr="007161A0">
          <w:rPr>
            <w:rStyle w:val="Hyperlink"/>
          </w:rPr>
          <w:t>https://www.europeanbiogas.eu/wp-content/uploads/2019/05/Companies-Catalogue-EBA-2018.pdf</w:t>
        </w:r>
      </w:hyperlink>
    </w:p>
  </w:footnote>
  <w:footnote w:id="26">
    <w:p w14:paraId="51F6C1CE" w14:textId="77777777" w:rsidR="00E663D0" w:rsidRPr="00DE1F76" w:rsidRDefault="00E663D0" w:rsidP="00E663D0">
      <w:pPr>
        <w:pStyle w:val="Voetnoottekst"/>
      </w:pPr>
      <w:r>
        <w:rPr>
          <w:rStyle w:val="Voetnootmarkering"/>
        </w:rPr>
        <w:footnoteRef/>
      </w:r>
      <w:r w:rsidRPr="00DE1F76">
        <w:t xml:space="preserve"> </w:t>
      </w:r>
      <w:hyperlink r:id="rId14" w:history="1">
        <w:r w:rsidRPr="00DE1F76">
          <w:rPr>
            <w:rStyle w:val="Hyperlink"/>
          </w:rPr>
          <w:t>Energy-intensive industries (europa.eu)</w:t>
        </w:r>
      </w:hyperlink>
    </w:p>
  </w:footnote>
  <w:footnote w:id="27">
    <w:p w14:paraId="4CD8921D" w14:textId="070629D8" w:rsidR="000F582A" w:rsidRPr="00122656" w:rsidRDefault="000F582A">
      <w:pPr>
        <w:pStyle w:val="Voetnoottekst"/>
        <w:rPr>
          <w:lang w:val="en-US"/>
        </w:rPr>
      </w:pPr>
      <w:r>
        <w:rPr>
          <w:rStyle w:val="Voetnootmarkering"/>
        </w:rPr>
        <w:footnoteRef/>
      </w:r>
      <w:r>
        <w:t xml:space="preserve"> </w:t>
      </w:r>
      <w:hyperlink r:id="rId15" w:history="1">
        <w:r>
          <w:rPr>
            <w:rStyle w:val="Hyperlink"/>
          </w:rPr>
          <w:t>Energy-intensive industries (europa.eu)</w:t>
        </w:r>
      </w:hyperlink>
    </w:p>
  </w:footnote>
  <w:footnote w:id="28">
    <w:p w14:paraId="35FE9537" w14:textId="5EFC119C" w:rsidR="000F582A" w:rsidRPr="00122656" w:rsidRDefault="000F582A">
      <w:pPr>
        <w:pStyle w:val="Voetnoottekst"/>
        <w:rPr>
          <w:lang w:val="en-US"/>
        </w:rPr>
      </w:pPr>
      <w:r>
        <w:rPr>
          <w:rStyle w:val="Voetnootmarkering"/>
        </w:rPr>
        <w:footnoteRef/>
      </w:r>
      <w:r>
        <w:t xml:space="preserve"> </w:t>
      </w:r>
      <w:hyperlink r:id="rId16" w:history="1">
        <w:r w:rsidR="00122656">
          <w:rPr>
            <w:rStyle w:val="Hyperlink"/>
          </w:rPr>
          <w:t>decarbonization-of-industrial-sectors-the-next-frontier.pdf (mckinsey.com)</w:t>
        </w:r>
      </w:hyperlink>
    </w:p>
  </w:footnote>
  <w:footnote w:id="29">
    <w:p w14:paraId="231A371F" w14:textId="72EF2846" w:rsidR="00A80AC2" w:rsidRPr="00DE1F76" w:rsidRDefault="00A80AC2">
      <w:pPr>
        <w:pStyle w:val="Voetnoottekst"/>
        <w:rPr>
          <w:lang w:val="en-US"/>
        </w:rPr>
      </w:pPr>
      <w:r>
        <w:rPr>
          <w:rStyle w:val="Voetnootmarkering"/>
        </w:rPr>
        <w:footnoteRef/>
      </w:r>
      <w:r>
        <w:t xml:space="preserve"> </w:t>
      </w:r>
      <w:hyperlink r:id="rId17" w:history="1">
        <w:r w:rsidR="00563C5A">
          <w:rPr>
            <w:rStyle w:val="Hyperlink"/>
          </w:rPr>
          <w:t>Study on energy prices, costs and their impact on industry and households - Publications Office of the EU (europa.eu)</w:t>
        </w:r>
      </w:hyperlink>
    </w:p>
  </w:footnote>
  <w:footnote w:id="30">
    <w:p w14:paraId="35DB5993" w14:textId="77777777" w:rsidR="00DA4827" w:rsidRPr="00E840C4" w:rsidRDefault="00DA4827" w:rsidP="00DA4827">
      <w:pPr>
        <w:pStyle w:val="Voetnoottekst"/>
      </w:pPr>
      <w:r>
        <w:rPr>
          <w:rStyle w:val="Voetnootmarkering"/>
        </w:rPr>
        <w:footnoteRef/>
      </w:r>
      <w:r>
        <w:t xml:space="preserve"> </w:t>
      </w:r>
      <w:hyperlink r:id="rId18" w:history="1">
        <w:r>
          <w:rPr>
            <w:rStyle w:val="Hyperlink"/>
          </w:rPr>
          <w:t>Energy-intensive industries (europa.eu)</w:t>
        </w:r>
      </w:hyperlink>
    </w:p>
  </w:footnote>
  <w:footnote w:id="31">
    <w:p w14:paraId="770631FF" w14:textId="53319934" w:rsidR="00EC185E" w:rsidRPr="00EC185E" w:rsidRDefault="00EC185E">
      <w:pPr>
        <w:pStyle w:val="Voetnoottekst"/>
      </w:pPr>
      <w:r>
        <w:rPr>
          <w:rStyle w:val="Voetnootmarkering"/>
        </w:rPr>
        <w:footnoteRef/>
      </w:r>
      <w:r>
        <w:t xml:space="preserve"> </w:t>
      </w:r>
      <w:hyperlink r:id="rId19" w:history="1">
        <w:r>
          <w:rPr>
            <w:rStyle w:val="Hyperlink"/>
          </w:rPr>
          <w:t>Carbon Border Adjustment Mechanism (europa.eu)</w:t>
        </w:r>
      </w:hyperlink>
    </w:p>
  </w:footnote>
  <w:footnote w:id="32">
    <w:p w14:paraId="19FA0405" w14:textId="0458FE17" w:rsidR="00A1439F" w:rsidRPr="00A1439F" w:rsidRDefault="00A1439F">
      <w:pPr>
        <w:pStyle w:val="Voetnoottekst"/>
      </w:pPr>
      <w:r>
        <w:rPr>
          <w:rStyle w:val="Voetnootmarkering"/>
        </w:rPr>
        <w:footnoteRef/>
      </w:r>
      <w:r>
        <w:t xml:space="preserve"> The CBAM applies to imports of certain good</w:t>
      </w:r>
      <w:r w:rsidR="00360D53">
        <w:t xml:space="preserve">s for which the production is carbon intensive, i.e. cement, iron and steel, aluminium, fertilisers, electricity and hydrogen. </w:t>
      </w:r>
    </w:p>
  </w:footnote>
  <w:footnote w:id="33">
    <w:p w14:paraId="2776F1E8" w14:textId="77777777" w:rsidR="003B25B2" w:rsidRPr="004422AE" w:rsidRDefault="003B25B2" w:rsidP="003B25B2">
      <w:pPr>
        <w:pStyle w:val="Voetnoottekst"/>
      </w:pPr>
      <w:r>
        <w:rPr>
          <w:rStyle w:val="Voetnootmarkering"/>
        </w:rPr>
        <w:footnoteRef/>
      </w:r>
      <w:r>
        <w:t xml:space="preserve"> </w:t>
      </w:r>
      <w:hyperlink r:id="rId20" w:history="1">
        <w:r>
          <w:rPr>
            <w:rStyle w:val="Hyperlink"/>
          </w:rPr>
          <w:t xml:space="preserve">Energy prices and security of supply - </w:t>
        </w:r>
        <w:proofErr w:type="spellStart"/>
        <w:r>
          <w:rPr>
            <w:rStyle w:val="Hyperlink"/>
          </w:rPr>
          <w:t>Consilium</w:t>
        </w:r>
        <w:proofErr w:type="spellEnd"/>
        <w:r>
          <w:rPr>
            <w:rStyle w:val="Hyperlink"/>
          </w:rPr>
          <w:t xml:space="preserve"> (europa.eu)</w:t>
        </w:r>
      </w:hyperlink>
    </w:p>
  </w:footnote>
  <w:footnote w:id="34">
    <w:p w14:paraId="6AD17769" w14:textId="5A5728AE" w:rsidR="0071539D" w:rsidRPr="00F34FB4" w:rsidRDefault="0071539D" w:rsidP="0071539D">
      <w:pPr>
        <w:pStyle w:val="Voetnoottekst"/>
        <w:rPr>
          <w:i/>
          <w:iCs/>
          <w:lang w:val="fr-BE"/>
        </w:rPr>
      </w:pPr>
      <w:r>
        <w:rPr>
          <w:rStyle w:val="Voetnootmarkering"/>
        </w:rPr>
        <w:footnoteRef/>
      </w:r>
      <w:r w:rsidRPr="00F34FB4">
        <w:rPr>
          <w:lang w:val="fr-BE"/>
        </w:rPr>
        <w:t xml:space="preserve"> </w:t>
      </w:r>
      <w:r w:rsidRPr="00F34FB4">
        <w:rPr>
          <w:i/>
          <w:iCs/>
          <w:lang w:val="fr-BE"/>
        </w:rPr>
        <w:t xml:space="preserve">Ibid. </w:t>
      </w:r>
    </w:p>
  </w:footnote>
  <w:footnote w:id="35">
    <w:p w14:paraId="5102C6C7" w14:textId="4AEA0136" w:rsidR="00C45695" w:rsidRPr="005E39DD" w:rsidRDefault="00C45695">
      <w:pPr>
        <w:pStyle w:val="Voetnoottekst"/>
        <w:rPr>
          <w:i/>
          <w:iCs/>
          <w:lang w:val="fr-BE"/>
        </w:rPr>
      </w:pPr>
      <w:r>
        <w:rPr>
          <w:rStyle w:val="Voetnootmarkering"/>
        </w:rPr>
        <w:footnoteRef/>
      </w:r>
      <w:r w:rsidRPr="005E39DD">
        <w:rPr>
          <w:lang w:val="fr-BE"/>
        </w:rPr>
        <w:t xml:space="preserve"> </w:t>
      </w:r>
      <w:hyperlink r:id="rId21" w:history="1">
        <w:r w:rsidR="005E39DD" w:rsidRPr="009327E9">
          <w:rPr>
            <w:rStyle w:val="Hyperlink"/>
            <w:lang w:val="fr-BE"/>
          </w:rPr>
          <w:t>eur-lex.europa.eu/legal-content/EN/TXT/PDF/?uri=CELEX:52022DC0643</w:t>
        </w:r>
      </w:hyperlink>
    </w:p>
  </w:footnote>
  <w:footnote w:id="36">
    <w:p w14:paraId="414976D2" w14:textId="7D82A86F" w:rsidR="00D60457" w:rsidRPr="00D60457" w:rsidRDefault="00D60457">
      <w:pPr>
        <w:pStyle w:val="Voetnoottekst"/>
      </w:pPr>
      <w:r>
        <w:rPr>
          <w:rStyle w:val="Voetnootmarkering"/>
        </w:rPr>
        <w:footnoteRef/>
      </w:r>
      <w:r>
        <w:t xml:space="preserve"> </w:t>
      </w:r>
      <w:r w:rsidR="00504172">
        <w:t xml:space="preserve">Based on </w:t>
      </w:r>
      <w:r w:rsidR="00B86A72">
        <w:t xml:space="preserve">publication of </w:t>
      </w:r>
      <w:r w:rsidR="00AB0BB8" w:rsidRPr="008136C4">
        <w:rPr>
          <w:lang w:val="en-US"/>
        </w:rPr>
        <w:t xml:space="preserve">Oxford Institute </w:t>
      </w:r>
      <w:r w:rsidR="00AB0BB8">
        <w:rPr>
          <w:lang w:val="en-US"/>
        </w:rPr>
        <w:t>(</w:t>
      </w:r>
      <w:r w:rsidR="00AB0BB8" w:rsidRPr="008136C4">
        <w:rPr>
          <w:lang w:val="en-US"/>
        </w:rPr>
        <w:t>2019</w:t>
      </w:r>
      <w:r w:rsidR="00AB0BB8">
        <w:rPr>
          <w:lang w:val="en-US"/>
        </w:rPr>
        <w:t>)</w:t>
      </w:r>
      <w:r w:rsidR="00AB0BB8" w:rsidRPr="008136C4">
        <w:rPr>
          <w:lang w:val="en-US"/>
        </w:rPr>
        <w:t xml:space="preserve"> Narratives for Natural Gas in </w:t>
      </w:r>
      <w:proofErr w:type="spellStart"/>
      <w:r w:rsidR="00AB0BB8" w:rsidRPr="008136C4">
        <w:rPr>
          <w:lang w:val="en-US"/>
        </w:rPr>
        <w:t>Decarbonising</w:t>
      </w:r>
      <w:proofErr w:type="spellEnd"/>
      <w:r w:rsidR="00AB0BB8" w:rsidRPr="008136C4">
        <w:rPr>
          <w:lang w:val="en-US"/>
        </w:rPr>
        <w:t xml:space="preserve"> European Energy Markets</w:t>
      </w:r>
    </w:p>
  </w:footnote>
  <w:footnote w:id="37">
    <w:p w14:paraId="30BF06B6" w14:textId="44B69763" w:rsidR="003242D2" w:rsidRPr="003242D2" w:rsidRDefault="003242D2">
      <w:pPr>
        <w:pStyle w:val="Voetnoottekst"/>
      </w:pPr>
      <w:r>
        <w:rPr>
          <w:rStyle w:val="Voetnootmarkering"/>
        </w:rPr>
        <w:footnoteRef/>
      </w:r>
      <w:r>
        <w:t xml:space="preserve"> </w:t>
      </w:r>
      <w:hyperlink r:id="rId22" w:history="1">
        <w:r>
          <w:rPr>
            <w:rStyle w:val="Hyperlink"/>
          </w:rPr>
          <w:t>Recast EU Regulation on Gas and Hydrogen Networks (europa.eu)</w:t>
        </w:r>
      </w:hyperlink>
    </w:p>
  </w:footnote>
  <w:footnote w:id="38">
    <w:p w14:paraId="4130CD78" w14:textId="0C175D01" w:rsidR="00A240CE" w:rsidRPr="00A240CE" w:rsidRDefault="00A240CE">
      <w:pPr>
        <w:pStyle w:val="Voetnoottekst"/>
      </w:pPr>
      <w:r>
        <w:rPr>
          <w:rStyle w:val="Voetnootmarkering"/>
        </w:rPr>
        <w:footnoteRef/>
      </w:r>
      <w:r>
        <w:t xml:space="preserve"> In the stakeholders’ consultation, stakeholders mentioned the difficulty to find financial means to renew the aging gas infrastructure in Estonia (39% of pipelines over 50 years old). </w:t>
      </w:r>
      <w:r w:rsidR="00364198">
        <w:t xml:space="preserve">Hence they </w:t>
      </w:r>
      <w:r w:rsidR="00E13193">
        <w:t xml:space="preserve">suggested to </w:t>
      </w:r>
      <w:r w:rsidR="00364198">
        <w:t xml:space="preserve">rate the likelihood of this risk as ‘medium’. </w:t>
      </w:r>
    </w:p>
  </w:footnote>
  <w:footnote w:id="39">
    <w:p w14:paraId="07BEC681" w14:textId="630DCD04" w:rsidR="00566AE1" w:rsidRDefault="00566AE1">
      <w:pPr>
        <w:pStyle w:val="Voetnoottekst"/>
      </w:pPr>
      <w:r>
        <w:rPr>
          <w:rStyle w:val="Voetnootmarkering"/>
        </w:rPr>
        <w:footnoteRef/>
      </w:r>
      <w:r>
        <w:t xml:space="preserve"> JRC (2022) </w:t>
      </w:r>
      <w:hyperlink r:id="rId23" w:history="1">
        <w:r w:rsidRPr="00566AE1">
          <w:rPr>
            <w:rStyle w:val="Hyperlink"/>
          </w:rPr>
          <w:t>Flexibility requirements and the role of storage in future European power systems</w:t>
        </w:r>
      </w:hyperlink>
    </w:p>
  </w:footnote>
  <w:footnote w:id="40">
    <w:p w14:paraId="288BC5D6" w14:textId="734EA4C8" w:rsidR="00A55C24" w:rsidRDefault="00A55C24">
      <w:pPr>
        <w:pStyle w:val="Voetnoottekst"/>
      </w:pPr>
      <w:r>
        <w:rPr>
          <w:rStyle w:val="Voetnootmarkering"/>
        </w:rPr>
        <w:footnoteRef/>
      </w:r>
      <w:r>
        <w:t xml:space="preserve"> </w:t>
      </w:r>
      <w:r w:rsidRPr="00EC28F4">
        <w:t>SEI (2023) Gas Decarbonisation Pathways for Estonia - Deliverable 3: Report on relevant scenarios for a decarbonised Baltic Regional Gas Market by 2050</w:t>
      </w:r>
    </w:p>
  </w:footnote>
  <w:footnote w:id="41">
    <w:p w14:paraId="324EB986" w14:textId="429CB49A" w:rsidR="000C7F8C" w:rsidRDefault="000C7F8C" w:rsidP="000C7F8C">
      <w:pPr>
        <w:pStyle w:val="Voetnoottekst"/>
      </w:pPr>
      <w:r>
        <w:rPr>
          <w:rStyle w:val="Voetnootmarkering"/>
        </w:rPr>
        <w:footnoteRef/>
      </w:r>
      <w:r>
        <w:t xml:space="preserve"> </w:t>
      </w:r>
      <w:proofErr w:type="spellStart"/>
      <w:r>
        <w:t>Guidehouse</w:t>
      </w:r>
      <w:proofErr w:type="spellEnd"/>
      <w:r>
        <w:t xml:space="preserve"> (2021) </w:t>
      </w:r>
      <w:hyperlink r:id="rId24" w:history="1">
        <w:r w:rsidRPr="000C7F8C">
          <w:rPr>
            <w:rStyle w:val="Hyperlink"/>
          </w:rPr>
          <w:t>Picturing the value of underground gas storage to the European hydrogen system</w:t>
        </w:r>
      </w:hyperlink>
    </w:p>
  </w:footnote>
  <w:footnote w:id="42">
    <w:p w14:paraId="6739722B" w14:textId="0E7AA836" w:rsidR="007B0C08" w:rsidRPr="00163C86" w:rsidRDefault="007B0C08" w:rsidP="00163C86">
      <w:pPr>
        <w:pStyle w:val="Voetnoottekst"/>
      </w:pPr>
      <w:r>
        <w:rPr>
          <w:rStyle w:val="Voetnootmarkering"/>
        </w:rPr>
        <w:footnoteRef/>
      </w:r>
      <w:r w:rsidRPr="00163C86">
        <w:t xml:space="preserve"> </w:t>
      </w:r>
      <w:r w:rsidR="00163C86" w:rsidRPr="00163C86">
        <w:t xml:space="preserve">ENTSO-E (2022) </w:t>
      </w:r>
      <w:hyperlink r:id="rId25" w:history="1">
        <w:r w:rsidR="00163C86" w:rsidRPr="00163C86">
          <w:rPr>
            <w:rStyle w:val="Hyperlink"/>
          </w:rPr>
          <w:t>European Resource Adequacy Assessment - 2022 Edition</w:t>
        </w:r>
      </w:hyperlink>
    </w:p>
  </w:footnote>
  <w:footnote w:id="43">
    <w:p w14:paraId="15B6E034" w14:textId="7BA77653" w:rsidR="00B85FA9" w:rsidRDefault="00B85FA9" w:rsidP="00A140E6">
      <w:pPr>
        <w:pStyle w:val="Voetnoottekst"/>
      </w:pPr>
      <w:r>
        <w:rPr>
          <w:rStyle w:val="Voetnootmarkering"/>
        </w:rPr>
        <w:footnoteRef/>
      </w:r>
      <w:r w:rsidRPr="00C90DF9">
        <w:t xml:space="preserve"> </w:t>
      </w:r>
      <w:r w:rsidR="00A140E6" w:rsidRPr="00C90DF9">
        <w:t xml:space="preserve">O’Connor et al. </w:t>
      </w:r>
      <w:r w:rsidR="00A140E6">
        <w:t xml:space="preserve">(2023) </w:t>
      </w:r>
      <w:hyperlink r:id="rId26" w:history="1">
        <w:r w:rsidR="00A140E6" w:rsidRPr="00A140E6">
          <w:rPr>
            <w:rStyle w:val="Hyperlink"/>
          </w:rPr>
          <w:t>Decision support tool for the construction and seasonal operation of farm-scale anaerobic digestion plants</w:t>
        </w:r>
      </w:hyperlink>
      <w:r w:rsidR="00A140E6">
        <w:t>. Results in Engineering Volume 18</w:t>
      </w:r>
    </w:p>
  </w:footnote>
  <w:footnote w:id="44">
    <w:p w14:paraId="3232DB0C" w14:textId="55DD8401" w:rsidR="0006535D" w:rsidRDefault="0006535D">
      <w:pPr>
        <w:pStyle w:val="Voetnoottekst"/>
      </w:pPr>
      <w:r>
        <w:rPr>
          <w:rStyle w:val="Voetnootmarkering"/>
        </w:rPr>
        <w:footnoteRef/>
      </w:r>
      <w:r>
        <w:t xml:space="preserve"> </w:t>
      </w:r>
      <w:r w:rsidRPr="00EC28F4">
        <w:t>SEI (2023) Gas Decarbonisation Pathways for Estonia - Deliverable 3: Report on relevant scenarios for a decarbonised Baltic Regional Gas Market by 2050</w:t>
      </w:r>
    </w:p>
  </w:footnote>
  <w:footnote w:id="45">
    <w:p w14:paraId="7E400F32" w14:textId="7A821755" w:rsidR="006B4C2E" w:rsidRPr="00162A9A" w:rsidRDefault="006B4C2E">
      <w:pPr>
        <w:pStyle w:val="Voetnoottekst"/>
        <w:rPr>
          <w:lang w:val="en-US"/>
        </w:rPr>
      </w:pPr>
      <w:r>
        <w:rPr>
          <w:rStyle w:val="Voetnootmarkering"/>
        </w:rPr>
        <w:footnoteRef/>
      </w:r>
      <w:r>
        <w:t xml:space="preserve"> </w:t>
      </w:r>
      <w:hyperlink r:id="rId27" w:history="1">
        <w:r>
          <w:rPr>
            <w:rStyle w:val="Hyperlink"/>
          </w:rPr>
          <w:t>Energy security – Topics - IEA</w:t>
        </w:r>
      </w:hyperlink>
    </w:p>
  </w:footnote>
  <w:footnote w:id="46">
    <w:p w14:paraId="79BA58B7" w14:textId="7841050D" w:rsidR="00162A9A" w:rsidRPr="00162A9A" w:rsidRDefault="00162A9A">
      <w:pPr>
        <w:pStyle w:val="Voetnoottekst"/>
      </w:pPr>
      <w:r>
        <w:rPr>
          <w:rStyle w:val="Voetnootmarkering"/>
        </w:rPr>
        <w:footnoteRef/>
      </w:r>
      <w:r>
        <w:t xml:space="preserve"> </w:t>
      </w:r>
      <w:hyperlink r:id="rId28" w:history="1">
        <w:r w:rsidR="00E52B94">
          <w:rPr>
            <w:rStyle w:val="Hyperlink"/>
          </w:rPr>
          <w:t>*Energy Supply and Security (europa.eu)</w:t>
        </w:r>
      </w:hyperlink>
    </w:p>
  </w:footnote>
  <w:footnote w:id="47">
    <w:p w14:paraId="1C9B4D2B" w14:textId="1E60E32C" w:rsidR="002D068D" w:rsidRPr="002D068D" w:rsidRDefault="002D068D">
      <w:pPr>
        <w:pStyle w:val="Voetnoottekst"/>
      </w:pPr>
      <w:r>
        <w:rPr>
          <w:rStyle w:val="Voetnootmarkering"/>
        </w:rPr>
        <w:footnoteRef/>
      </w:r>
      <w:r>
        <w:t xml:space="preserve"> Deliverable 2</w:t>
      </w:r>
      <w:r w:rsidR="009B46A6">
        <w:t xml:space="preserve">: </w:t>
      </w:r>
      <w:r w:rsidR="00522808">
        <w:t>Baseline data collection report</w:t>
      </w:r>
    </w:p>
  </w:footnote>
  <w:footnote w:id="48">
    <w:p w14:paraId="6E2E7D6C" w14:textId="6711E748" w:rsidR="00772632" w:rsidRPr="00772632" w:rsidRDefault="00772632">
      <w:pPr>
        <w:pStyle w:val="Voetnoottekst"/>
      </w:pPr>
      <w:r>
        <w:rPr>
          <w:rStyle w:val="Voetnootmarkering"/>
        </w:rPr>
        <w:footnoteRef/>
      </w:r>
      <w:r>
        <w:t xml:space="preserve"> Eurostat, 2023</w:t>
      </w:r>
    </w:p>
  </w:footnote>
  <w:footnote w:id="49">
    <w:p w14:paraId="76E18CC6" w14:textId="63D0A75D" w:rsidR="00772632" w:rsidRPr="00772632" w:rsidRDefault="00772632">
      <w:pPr>
        <w:pStyle w:val="Voetnoottekst"/>
        <w:rPr>
          <w:i/>
          <w:iCs/>
        </w:rPr>
      </w:pPr>
      <w:r>
        <w:rPr>
          <w:rStyle w:val="Voetnootmarkering"/>
        </w:rPr>
        <w:footnoteRef/>
      </w:r>
      <w:r>
        <w:t xml:space="preserve"> </w:t>
      </w:r>
      <w:r>
        <w:rPr>
          <w:i/>
          <w:iCs/>
        </w:rPr>
        <w:t>Ibid.</w:t>
      </w:r>
    </w:p>
  </w:footnote>
  <w:footnote w:id="50">
    <w:p w14:paraId="3F1C2089" w14:textId="18A573C2" w:rsidR="00E96829" w:rsidRPr="00E96829" w:rsidRDefault="00E96829">
      <w:pPr>
        <w:pStyle w:val="Voetnoottekst"/>
      </w:pPr>
      <w:r>
        <w:rPr>
          <w:rStyle w:val="Voetnootmarkering"/>
        </w:rPr>
        <w:footnoteRef/>
      </w:r>
      <w:r>
        <w:t xml:space="preserve"> In the stakeholders’ consultation, stakeholders indicated that the likelihood of this risk to occur could be ‘medium’ to ‘high</w:t>
      </w:r>
      <w:r w:rsidR="00027B98">
        <w:t>’</w:t>
      </w:r>
      <w:r>
        <w:t xml:space="preserve"> </w:t>
      </w:r>
      <w:r w:rsidR="001B22BA">
        <w:t>as</w:t>
      </w:r>
      <w:r>
        <w:t xml:space="preserve"> several geopolitical events have </w:t>
      </w:r>
      <w:r w:rsidR="00CF2D5D">
        <w:t xml:space="preserve">recently </w:t>
      </w:r>
      <w:r>
        <w:t>been affecting the EU’s security of supply  (Russian wa</w:t>
      </w:r>
      <w:r w:rsidR="00CF2D5D">
        <w:t>r</w:t>
      </w:r>
      <w:r>
        <w:t xml:space="preserve"> in Ukraine, coup</w:t>
      </w:r>
      <w:r w:rsidR="008823A5">
        <w:t xml:space="preserve"> in Niger</w:t>
      </w:r>
      <w:r>
        <w:t>)</w:t>
      </w:r>
      <w:r w:rsidR="008823A5">
        <w:t>.</w:t>
      </w:r>
    </w:p>
  </w:footnote>
  <w:footnote w:id="51">
    <w:p w14:paraId="3268EF1F" w14:textId="02CC1FD7" w:rsidR="00543CF5" w:rsidRPr="00543CF5" w:rsidRDefault="00543CF5">
      <w:pPr>
        <w:pStyle w:val="Voetnoottekst"/>
      </w:pPr>
      <w:r>
        <w:rPr>
          <w:rStyle w:val="Voetnootmarkering"/>
        </w:rPr>
        <w:footnoteRef/>
      </w:r>
      <w:r>
        <w:t xml:space="preserve"> </w:t>
      </w:r>
      <w:r w:rsidRPr="00543CF5">
        <w:t>Deliverable 2: Technical potential of biogas/biomethane in the Baltic-Finnish region</w:t>
      </w:r>
    </w:p>
  </w:footnote>
  <w:footnote w:id="52">
    <w:p w14:paraId="6A196A5D" w14:textId="4395CCC8" w:rsidR="00B32B41" w:rsidRPr="00B32B41" w:rsidRDefault="00B32B41">
      <w:pPr>
        <w:pStyle w:val="Voetnoottekst"/>
      </w:pPr>
      <w:r>
        <w:rPr>
          <w:rStyle w:val="Voetnootmarkering"/>
        </w:rPr>
        <w:footnoteRef/>
      </w:r>
      <w:r>
        <w:t xml:space="preserve"> </w:t>
      </w:r>
      <w:hyperlink r:id="rId29" w:history="1">
        <w:r w:rsidR="00266E82">
          <w:rPr>
            <w:rStyle w:val="Hyperlink"/>
          </w:rPr>
          <w:t>Baltic states ramp up investment in energy sector - Economist Intelligence Unit (eiu.com)</w:t>
        </w:r>
      </w:hyperlink>
    </w:p>
  </w:footnote>
  <w:footnote w:id="53">
    <w:p w14:paraId="6CC9BBF0" w14:textId="1C6AD038" w:rsidR="00394239" w:rsidRPr="009E69A2" w:rsidRDefault="00394239" w:rsidP="009E69A2">
      <w:pPr>
        <w:pStyle w:val="pf0"/>
        <w:spacing w:before="0" w:beforeAutospacing="0" w:after="0" w:afterAutospacing="0"/>
        <w:ind w:firstLine="567"/>
        <w:rPr>
          <w:lang w:val="en-GB"/>
        </w:rPr>
      </w:pPr>
      <w:r w:rsidRPr="009E69A2">
        <w:rPr>
          <w:rStyle w:val="Voetnootmarkering"/>
          <w:rFonts w:ascii="Trebuchet MS" w:hAnsi="Trebuchet MS"/>
          <w:sz w:val="16"/>
          <w:szCs w:val="16"/>
        </w:rPr>
        <w:footnoteRef/>
      </w:r>
      <w:r w:rsidRPr="009E69A2">
        <w:rPr>
          <w:rFonts w:ascii="Trebuchet MS" w:hAnsi="Trebuchet MS"/>
          <w:sz w:val="16"/>
          <w:szCs w:val="16"/>
          <w:lang w:val="en-GB"/>
        </w:rPr>
        <w:t xml:space="preserve"> </w:t>
      </w:r>
      <w:hyperlink r:id="rId30" w:history="1">
        <w:r w:rsidR="00F945B5" w:rsidRPr="009E69A2">
          <w:rPr>
            <w:rStyle w:val="cf01"/>
            <w:rFonts w:ascii="Trebuchet MS" w:hAnsi="Trebuchet MS"/>
            <w:color w:val="0000FF"/>
            <w:sz w:val="16"/>
            <w:szCs w:val="16"/>
            <w:u w:val="single"/>
            <w:lang w:val="en-GB"/>
          </w:rPr>
          <w:t>https://news.err.ee/1608964834/estonia-latvia-plan-joint-lng-crisis-supply-deal</w:t>
        </w:r>
      </w:hyperlink>
    </w:p>
  </w:footnote>
  <w:footnote w:id="54">
    <w:p w14:paraId="338D596A" w14:textId="2AF87266" w:rsidR="00581426" w:rsidRDefault="00581426">
      <w:pPr>
        <w:pStyle w:val="Voetnoottekst"/>
      </w:pPr>
      <w:r>
        <w:rPr>
          <w:rStyle w:val="Voetnootmarkering"/>
        </w:rPr>
        <w:footnoteRef/>
      </w:r>
      <w:r>
        <w:t xml:space="preserve"> </w:t>
      </w:r>
      <w:hyperlink r:id="rId31" w:history="1">
        <w:r w:rsidRPr="000B492A">
          <w:rPr>
            <w:rStyle w:val="Hyperlink"/>
          </w:rPr>
          <w:t>https://www.europarl.europa.eu/legislative-train/theme-a-european-green-deal/file-revised-regulatory-framework-for-competitive-decarbonised-gas-markets-2</w:t>
        </w:r>
      </w:hyperlink>
    </w:p>
  </w:footnote>
  <w:footnote w:id="55">
    <w:p w14:paraId="2B53916A" w14:textId="336F7318" w:rsidR="00433636" w:rsidRDefault="00433636">
      <w:pPr>
        <w:pStyle w:val="Voetnoottekst"/>
      </w:pPr>
      <w:r>
        <w:rPr>
          <w:rStyle w:val="Voetnootmarkering"/>
        </w:rPr>
        <w:footnoteRef/>
      </w:r>
      <w:r>
        <w:t xml:space="preserve"> </w:t>
      </w:r>
      <w:hyperlink r:id="rId32" w:history="1">
        <w:r w:rsidRPr="000B492A">
          <w:rPr>
            <w:rStyle w:val="Hyperlink"/>
          </w:rPr>
          <w:t>https://www.ifri.org/en/publications/notes-de-lifri/guide-solve-eus-hydrogen-dilemmas</w:t>
        </w:r>
      </w:hyperlink>
    </w:p>
  </w:footnote>
  <w:footnote w:id="56">
    <w:p w14:paraId="4FCD4F75" w14:textId="7CABB462" w:rsidR="00CB5CE9" w:rsidRDefault="001C2351">
      <w:pPr>
        <w:pStyle w:val="Voetnoottekst"/>
      </w:pPr>
      <w:r>
        <w:rPr>
          <w:rStyle w:val="Voetnootmarkering"/>
        </w:rPr>
        <w:footnoteRef/>
      </w:r>
      <w:r>
        <w:t xml:space="preserve"> </w:t>
      </w:r>
      <w:hyperlink r:id="rId33" w:history="1">
        <w:r w:rsidR="00CB5CE9" w:rsidRPr="000B492A">
          <w:rPr>
            <w:rStyle w:val="Hyperlink"/>
          </w:rPr>
          <w:t>https://www.vrt.be/vrtnws/nl/2023/01/24/stemming-over-waterstofwet-wat-houdt-die-wet-precies-in/</w:t>
        </w:r>
      </w:hyperlink>
    </w:p>
  </w:footnote>
  <w:footnote w:id="57">
    <w:p w14:paraId="0FAA0EEA" w14:textId="77CE72F2" w:rsidR="00904550" w:rsidRDefault="00904550">
      <w:pPr>
        <w:pStyle w:val="Voetnoottekst"/>
      </w:pPr>
      <w:r>
        <w:rPr>
          <w:rStyle w:val="Voetnootmarkering"/>
        </w:rPr>
        <w:footnoteRef/>
      </w:r>
      <w:r>
        <w:t xml:space="preserve"> </w:t>
      </w:r>
      <w:hyperlink r:id="rId34" w:history="1">
        <w:r w:rsidRPr="000B492A">
          <w:rPr>
            <w:rStyle w:val="Hyperlink"/>
          </w:rPr>
          <w:t>https://www.bmwk.de/Redaktion/DE/Artikel/Service/Gesetzesvorhaben/entwurf-eines-gesetzes-zur-anpassung-des-energiewirtschaftsrechts-an-unionsrechtliche-vorgaben.html</w:t>
        </w:r>
      </w:hyperlink>
    </w:p>
  </w:footnote>
  <w:footnote w:id="58">
    <w:p w14:paraId="0701B51F" w14:textId="1E5695DF" w:rsidR="009C6C6B" w:rsidRPr="009C6C6B" w:rsidRDefault="009C6C6B">
      <w:pPr>
        <w:pStyle w:val="Voetnoottekst"/>
      </w:pPr>
      <w:r>
        <w:rPr>
          <w:rStyle w:val="Voetnootmarkering"/>
        </w:rPr>
        <w:footnoteRef/>
      </w:r>
      <w:r>
        <w:t xml:space="preserve"> In the stakeholders’ consultation, stakeholders have </w:t>
      </w:r>
      <w:r w:rsidR="00D56765">
        <w:t xml:space="preserve">suggested to </w:t>
      </w:r>
      <w:r>
        <w:t xml:space="preserve">rate the likelihood of this risk as ‘medium’ as regulatory frameworks are a key factor for investors and system operators to set their decarbonisation objectives and make investment decisions. </w:t>
      </w:r>
    </w:p>
  </w:footnote>
  <w:footnote w:id="59">
    <w:p w14:paraId="5243BEAF" w14:textId="77777777" w:rsidR="003210EC" w:rsidRPr="00EC28F4" w:rsidRDefault="003210EC" w:rsidP="00EC28F4">
      <w:pPr>
        <w:pStyle w:val="Voetnoottekst"/>
      </w:pPr>
      <w:r w:rsidRPr="00EC28F4">
        <w:rPr>
          <w:rStyle w:val="Voetnootmarkering"/>
        </w:rPr>
        <w:footnoteRef/>
      </w:r>
      <w:r w:rsidRPr="00EC28F4">
        <w:t xml:space="preserve"> </w:t>
      </w:r>
      <w:hyperlink r:id="rId35" w:history="1">
        <w:r w:rsidRPr="00EC28F4">
          <w:rPr>
            <w:rStyle w:val="Hyperlink"/>
          </w:rPr>
          <w:t>https://www.tandfonline.com/doi/full/10.1080/10934529.2018.1459076</w:t>
        </w:r>
      </w:hyperlink>
    </w:p>
  </w:footnote>
  <w:footnote w:id="60">
    <w:p w14:paraId="563AE2F9" w14:textId="7461E701" w:rsidR="00E13F36" w:rsidRPr="00EC28F4" w:rsidRDefault="00E13F36" w:rsidP="00EC28F4">
      <w:pPr>
        <w:pStyle w:val="Voetnoottekst"/>
      </w:pPr>
      <w:r w:rsidRPr="00EC28F4">
        <w:rPr>
          <w:rStyle w:val="Voetnootmarkering"/>
        </w:rPr>
        <w:footnoteRef/>
      </w:r>
      <w:r w:rsidRPr="00EC28F4">
        <w:t xml:space="preserve"> </w:t>
      </w:r>
      <w:hyperlink r:id="rId36" w:history="1">
        <w:r w:rsidRPr="00EC28F4">
          <w:rPr>
            <w:rStyle w:val="Hyperlink"/>
          </w:rPr>
          <w:t>https://www.europeanbiogas.eu/wp-content/uploads/2023/02/20230213_Guidehouse_EBA_Report.pdf</w:t>
        </w:r>
      </w:hyperlink>
    </w:p>
  </w:footnote>
  <w:footnote w:id="61">
    <w:p w14:paraId="2EBD92C2" w14:textId="7E545112" w:rsidR="007A1EAF" w:rsidRPr="00EC28F4" w:rsidRDefault="007A1EAF" w:rsidP="00EC28F4">
      <w:pPr>
        <w:pStyle w:val="Voetnoottekst"/>
      </w:pPr>
      <w:r w:rsidRPr="00EC28F4">
        <w:rPr>
          <w:rStyle w:val="Voetnootmarkering"/>
        </w:rPr>
        <w:footnoteRef/>
      </w:r>
      <w:r w:rsidRPr="00EC28F4">
        <w:t xml:space="preserve"> </w:t>
      </w:r>
      <w:r w:rsidR="000213A1" w:rsidRPr="00EC28F4">
        <w:t>SEI (2023) Gas Decarbonisation Pathways for Estonia - Deliverable 3: Report on relevant scenarios for a decarbonised Baltic Regional Gas Market by 2050</w:t>
      </w:r>
    </w:p>
  </w:footnote>
  <w:footnote w:id="62">
    <w:p w14:paraId="23810E5B" w14:textId="1BCA6B4C" w:rsidR="00EB3EA0" w:rsidRPr="00EC28F4" w:rsidRDefault="00EB3EA0" w:rsidP="00EC28F4">
      <w:pPr>
        <w:pStyle w:val="Voetnoottekst"/>
      </w:pPr>
      <w:r w:rsidRPr="00EC28F4">
        <w:rPr>
          <w:rStyle w:val="Voetnootmarkering"/>
        </w:rPr>
        <w:footnoteRef/>
      </w:r>
      <w:r w:rsidRPr="00EC28F4">
        <w:t xml:space="preserve"> </w:t>
      </w:r>
      <w:hyperlink r:id="rId37" w:history="1">
        <w:r w:rsidRPr="002C4114">
          <w:rPr>
            <w:rStyle w:val="Hyperlink"/>
          </w:rPr>
          <w:t>https://www.tandfonline.com/doi/full/10.1080/10934529.2018.1459076</w:t>
        </w:r>
      </w:hyperlink>
    </w:p>
  </w:footnote>
  <w:footnote w:id="63">
    <w:p w14:paraId="32BD6137" w14:textId="1886E086" w:rsidR="00B554F9" w:rsidRPr="00EC28F4" w:rsidRDefault="008B5204" w:rsidP="00EC28F4">
      <w:pPr>
        <w:pStyle w:val="Voetnoottekst"/>
      </w:pPr>
      <w:r w:rsidRPr="00EC28F4">
        <w:rPr>
          <w:rStyle w:val="Voetnootmarkering"/>
        </w:rPr>
        <w:footnoteRef/>
      </w:r>
      <w:r w:rsidRPr="00EC28F4">
        <w:t xml:space="preserve"> </w:t>
      </w:r>
      <w:hyperlink r:id="rId38" w:history="1">
        <w:r w:rsidR="00B554F9" w:rsidRPr="00EC28F4">
          <w:rPr>
            <w:rStyle w:val="Hyperlink"/>
          </w:rPr>
          <w:t>https://www.sciencedirect.com/science/article/abs/pii/S0016236121010322</w:t>
        </w:r>
      </w:hyperlink>
    </w:p>
  </w:footnote>
  <w:footnote w:id="64">
    <w:p w14:paraId="170F4F94" w14:textId="77777777" w:rsidR="00C02576" w:rsidRPr="00EC28F4" w:rsidRDefault="00C02576" w:rsidP="00EC28F4">
      <w:pPr>
        <w:pStyle w:val="Voetnoottekst"/>
      </w:pPr>
      <w:r w:rsidRPr="00EC28F4">
        <w:rPr>
          <w:rStyle w:val="Voetnootmarkering"/>
        </w:rPr>
        <w:footnoteRef/>
      </w:r>
      <w:r w:rsidRPr="00EC28F4">
        <w:t xml:space="preserve"> </w:t>
      </w:r>
      <w:hyperlink r:id="rId39" w:history="1">
        <w:r w:rsidRPr="00EC28F4">
          <w:rPr>
            <w:rStyle w:val="Hyperlink"/>
          </w:rPr>
          <w:t>https://www.sciencedirect.com/science/article/pii/S004896972201717X</w:t>
        </w:r>
      </w:hyperlink>
    </w:p>
  </w:footnote>
  <w:footnote w:id="65">
    <w:p w14:paraId="14F9D9E5" w14:textId="66AA28AF" w:rsidR="00EE5E48" w:rsidRDefault="002F12E7">
      <w:pPr>
        <w:pStyle w:val="Voetnoottekst"/>
      </w:pPr>
      <w:r>
        <w:rPr>
          <w:rStyle w:val="Voetnootmarkering"/>
        </w:rPr>
        <w:footnoteRef/>
      </w:r>
      <w:r>
        <w:t xml:space="preserve"> </w:t>
      </w:r>
      <w:r w:rsidR="0075138F" w:rsidRPr="0075138F">
        <w:t>ST/9107/2022/INIT</w:t>
      </w:r>
      <w:r w:rsidR="0075138F">
        <w:t xml:space="preserve"> </w:t>
      </w:r>
      <w:hyperlink r:id="rId40" w:history="1">
        <w:r w:rsidR="0075138F" w:rsidRPr="00AF6F9B">
          <w:rPr>
            <w:rStyle w:val="Hyperlink"/>
          </w:rPr>
          <w:t>https://eur-lex.europa.eu/legal-content/en/TXT/?uri=CELEX%3A32022H0627%2804%29</w:t>
        </w:r>
      </w:hyperlink>
    </w:p>
  </w:footnote>
  <w:footnote w:id="66">
    <w:p w14:paraId="40AA41A6" w14:textId="23716DDC" w:rsidR="005F1C8C" w:rsidRDefault="005F1C8C" w:rsidP="00903C51">
      <w:pPr>
        <w:pStyle w:val="Voetnoottekst"/>
      </w:pPr>
      <w:r>
        <w:rPr>
          <w:rStyle w:val="Voetnootmarkering"/>
        </w:rPr>
        <w:footnoteRef/>
      </w:r>
      <w:r>
        <w:t xml:space="preserve"> </w:t>
      </w:r>
      <w:r w:rsidR="00A347E6">
        <w:t xml:space="preserve">Eurostat, </w:t>
      </w:r>
      <w:hyperlink r:id="rId41" w:history="1">
        <w:r w:rsidR="00A347E6" w:rsidRPr="00A7238E">
          <w:rPr>
            <w:rStyle w:val="Hyperlink"/>
          </w:rPr>
          <w:t>Inability to keep home adequately warm - EU-SILC survey</w:t>
        </w:r>
      </w:hyperlink>
      <w:r w:rsidR="00A347E6">
        <w:t>.</w:t>
      </w:r>
      <w:r w:rsidR="00903C51">
        <w:t xml:space="preserve"> ILC_MDES01__custom_1485289</w:t>
      </w:r>
    </w:p>
  </w:footnote>
  <w:footnote w:id="67">
    <w:p w14:paraId="5C14F1EF" w14:textId="77777777" w:rsidR="005E1DC3" w:rsidRPr="00386E18" w:rsidRDefault="005E1DC3" w:rsidP="005E1DC3">
      <w:pPr>
        <w:pStyle w:val="Voetnoottekst"/>
        <w:rPr>
          <w:i/>
          <w:iCs/>
          <w:lang w:val="en-US"/>
        </w:rPr>
      </w:pPr>
      <w:r w:rsidRPr="00386E18">
        <w:rPr>
          <w:rStyle w:val="Voetnootmarkering"/>
        </w:rPr>
        <w:footnoteRef/>
      </w:r>
      <w:r w:rsidRPr="00386E18">
        <w:rPr>
          <w:lang w:val="en-US"/>
        </w:rPr>
        <w:t xml:space="preserve"> </w:t>
      </w:r>
      <w:r w:rsidRPr="00386E18">
        <w:rPr>
          <w:i/>
          <w:iCs/>
          <w:lang w:val="en-US"/>
        </w:rPr>
        <w:t>Ibid.</w:t>
      </w:r>
    </w:p>
  </w:footnote>
  <w:footnote w:id="68">
    <w:p w14:paraId="2A92515E" w14:textId="77777777" w:rsidR="005E1DC3" w:rsidRPr="00386E18" w:rsidRDefault="005E1DC3" w:rsidP="005E1DC3">
      <w:pPr>
        <w:pStyle w:val="Voetnoottekst"/>
        <w:rPr>
          <w:lang w:val="en-US"/>
        </w:rPr>
      </w:pPr>
      <w:r w:rsidRPr="00386E18">
        <w:rPr>
          <w:rStyle w:val="Voetnootmarkering"/>
        </w:rPr>
        <w:footnoteRef/>
      </w:r>
      <w:r w:rsidRPr="00386E18">
        <w:rPr>
          <w:lang w:val="en-US"/>
        </w:rPr>
        <w:t xml:space="preserve"> </w:t>
      </w:r>
      <w:hyperlink r:id="rId42" w:history="1">
        <w:r>
          <w:rPr>
            <w:rStyle w:val="Hyperlink"/>
          </w:rPr>
          <w:t>World Energy Outlook 2022 (windows.net)</w:t>
        </w:r>
      </w:hyperlink>
    </w:p>
  </w:footnote>
  <w:footnote w:id="69">
    <w:p w14:paraId="3C89407E" w14:textId="10C20D84" w:rsidR="00BF0AAB" w:rsidRPr="00BF0AAB" w:rsidRDefault="00BF0AAB">
      <w:pPr>
        <w:pStyle w:val="Voetnoottekst"/>
      </w:pPr>
      <w:r>
        <w:rPr>
          <w:rStyle w:val="Voetnootmarkering"/>
        </w:rPr>
        <w:footnoteRef/>
      </w:r>
      <w:r>
        <w:t xml:space="preserve"> </w:t>
      </w:r>
      <w:r w:rsidR="00F052BA">
        <w:t>E3M, Trinomics and SEI</w:t>
      </w:r>
      <w:r w:rsidRPr="00EC28F4">
        <w:t xml:space="preserve"> (2023) Gas Decarbonisation Pathways for Estonia - Deliverable 3: Report on relevant scenarios for a decarbonised Baltic Regional Gas Market by 2050</w:t>
      </w:r>
    </w:p>
  </w:footnote>
  <w:footnote w:id="70">
    <w:p w14:paraId="34A20887" w14:textId="77777777" w:rsidR="00957875" w:rsidRPr="00957875" w:rsidRDefault="00957875" w:rsidP="00957875">
      <w:pPr>
        <w:pStyle w:val="Voetnoottekst"/>
      </w:pPr>
      <w:r>
        <w:rPr>
          <w:rStyle w:val="Voetnootmarkering"/>
        </w:rPr>
        <w:footnoteRef/>
      </w:r>
      <w:r w:rsidRPr="00957875">
        <w:t xml:space="preserve"> </w:t>
      </w:r>
      <w:hyperlink r:id="rId43" w:history="1">
        <w:r w:rsidRPr="00957875">
          <w:rPr>
            <w:rStyle w:val="Hyperlink"/>
          </w:rPr>
          <w:t>https://eur-lex.europa.eu/legal-content/EN/TXT/PDF/?uri=CELEX:32021D1129&amp;from=EN</w:t>
        </w:r>
      </w:hyperlink>
    </w:p>
  </w:footnote>
  <w:footnote w:id="71">
    <w:p w14:paraId="4BCA2105" w14:textId="7A44BBAD" w:rsidR="00FB0A03" w:rsidRDefault="00FB0A03">
      <w:pPr>
        <w:pStyle w:val="Voetnoottekst"/>
      </w:pPr>
      <w:r>
        <w:rPr>
          <w:rStyle w:val="Voetnootmarkering"/>
        </w:rPr>
        <w:footnoteRef/>
      </w:r>
      <w:r>
        <w:t xml:space="preserve"> </w:t>
      </w:r>
      <w:hyperlink r:id="rId44" w:history="1">
        <w:r w:rsidRPr="00D0264F">
          <w:rPr>
            <w:rStyle w:val="Hyperlink"/>
          </w:rPr>
          <w:t>https://ec.europa.eu/commission/presscorner/detail/en/fs_22_6006</w:t>
        </w:r>
      </w:hyperlink>
    </w:p>
  </w:footnote>
  <w:footnote w:id="72">
    <w:p w14:paraId="5D4815B5" w14:textId="0165C126" w:rsidR="00DC257B" w:rsidRDefault="00DC257B">
      <w:pPr>
        <w:pStyle w:val="Voetnoottekst"/>
      </w:pPr>
      <w:r>
        <w:rPr>
          <w:rStyle w:val="Voetnootmarkering"/>
        </w:rPr>
        <w:footnoteRef/>
      </w:r>
      <w:r>
        <w:t xml:space="preserve"> </w:t>
      </w:r>
      <w:hyperlink r:id="rId45" w:history="1">
        <w:r w:rsidRPr="00D0264F">
          <w:rPr>
            <w:rStyle w:val="Hyperlink"/>
          </w:rPr>
          <w:t>https://eur-lex.europa.eu/legal-content/EN/TXT/PDF/?uri=CELEX:52022SC0230&amp;from=EN</w:t>
        </w:r>
      </w:hyperlink>
    </w:p>
  </w:footnote>
  <w:footnote w:id="73">
    <w:p w14:paraId="6C269406" w14:textId="298F4FB0" w:rsidR="00994E7C" w:rsidRDefault="00994E7C">
      <w:pPr>
        <w:pStyle w:val="Voetnoottekst"/>
      </w:pPr>
      <w:r>
        <w:rPr>
          <w:rStyle w:val="Voetnootmarkering"/>
        </w:rPr>
        <w:footnoteRef/>
      </w:r>
      <w:r>
        <w:t xml:space="preserve"> </w:t>
      </w:r>
      <w:hyperlink r:id="rId46" w:history="1">
        <w:r w:rsidRPr="00D0264F">
          <w:rPr>
            <w:rStyle w:val="Hyperlink"/>
          </w:rPr>
          <w:t>https://www.balticenergyareas.eu/images/achievements/wp3.1_regional_stakeholder_maps_and_ananalyses_of_decision_flows.pdf</w:t>
        </w:r>
      </w:hyperlink>
    </w:p>
  </w:footnote>
  <w:footnote w:id="74">
    <w:p w14:paraId="4E6EC29F" w14:textId="001BBEB8" w:rsidR="00A002B7" w:rsidRDefault="0061784B">
      <w:pPr>
        <w:pStyle w:val="Voetnoottekst"/>
      </w:pPr>
      <w:r>
        <w:rPr>
          <w:rStyle w:val="Voetnootmarkering"/>
        </w:rPr>
        <w:footnoteRef/>
      </w:r>
    </w:p>
    <w:p w14:paraId="7165480C" w14:textId="24481880" w:rsidR="009F7DB2" w:rsidRDefault="0061784B">
      <w:pPr>
        <w:pStyle w:val="Voetnoottekst"/>
      </w:pPr>
      <w:r>
        <w:t xml:space="preserve"> </w:t>
      </w:r>
      <w:hyperlink r:id="rId47" w:history="1">
        <w:r w:rsidR="009F7DB2" w:rsidRPr="00D0264F">
          <w:rPr>
            <w:rStyle w:val="Hyperlink"/>
          </w:rPr>
          <w:t>https://www.balticenergyareas.eu/images/WP3/BEA-APP_Deliverable_33_revised.pdf</w:t>
        </w:r>
      </w:hyperlink>
    </w:p>
  </w:footnote>
  <w:footnote w:id="75">
    <w:p w14:paraId="5E10077F" w14:textId="370262CC" w:rsidR="00DA4FB4" w:rsidRPr="00DE7748" w:rsidRDefault="00DA4FB4">
      <w:pPr>
        <w:pStyle w:val="Voetnoottekst"/>
      </w:pPr>
      <w:r>
        <w:rPr>
          <w:rStyle w:val="Voetnootmarkering"/>
        </w:rPr>
        <w:footnoteRef/>
      </w:r>
      <w:r w:rsidRPr="00B4277C">
        <w:t xml:space="preserve"> </w:t>
      </w:r>
      <w:r w:rsidR="00982A66" w:rsidRPr="00B4277C">
        <w:t>Agora (202</w:t>
      </w:r>
      <w:r w:rsidR="00B4277C" w:rsidRPr="00B4277C">
        <w:t>1) 12 Insights on Hydrogen</w:t>
      </w:r>
      <w:r w:rsidR="00B4277C">
        <w:t xml:space="preserve">. </w:t>
      </w:r>
      <w:hyperlink r:id="rId48" w:history="1">
        <w:r w:rsidR="00DE7748" w:rsidRPr="00D0264F">
          <w:rPr>
            <w:rStyle w:val="Hyperlink"/>
          </w:rPr>
          <w:t>https://static.agora-energiewende.de/fileadmin/Projekte/2021/2021_11_H2_Insights/A-EW_245_H2_Insights_WEB.pdf</w:t>
        </w:r>
      </w:hyperlink>
    </w:p>
  </w:footnote>
  <w:footnote w:id="76">
    <w:p w14:paraId="6D4511E8" w14:textId="708BFB70" w:rsidR="000A0394" w:rsidRPr="00566E3B" w:rsidRDefault="000A0394" w:rsidP="00566E3B">
      <w:pPr>
        <w:pStyle w:val="Voetnoottekst"/>
      </w:pPr>
      <w:r>
        <w:rPr>
          <w:rStyle w:val="Voetnootmarkering"/>
        </w:rPr>
        <w:footnoteRef/>
      </w:r>
      <w:r w:rsidRPr="00566E3B">
        <w:t xml:space="preserve"> </w:t>
      </w:r>
      <w:r w:rsidR="001D410C" w:rsidRPr="00566E3B">
        <w:t xml:space="preserve">European Hydrogen Backbone (2021) </w:t>
      </w:r>
      <w:hyperlink r:id="rId49" w:history="1">
        <w:r w:rsidR="00566E3B" w:rsidRPr="00154E8A">
          <w:rPr>
            <w:rStyle w:val="Hyperlink"/>
          </w:rPr>
          <w:t>Analysing future demand, supply, and transport of hydrogen</w:t>
        </w:r>
      </w:hyperlink>
    </w:p>
  </w:footnote>
  <w:footnote w:id="77">
    <w:p w14:paraId="5A77E749" w14:textId="0A99E53E" w:rsidR="00A36B05" w:rsidRDefault="00A36B05">
      <w:pPr>
        <w:pStyle w:val="Voetnoottekst"/>
      </w:pPr>
      <w:r>
        <w:rPr>
          <w:rStyle w:val="Voetnootmarkering"/>
        </w:rPr>
        <w:footnoteRef/>
      </w:r>
      <w:r>
        <w:t xml:space="preserve"> </w:t>
      </w:r>
      <w:hyperlink r:id="rId50" w:history="1">
        <w:r w:rsidRPr="00D0264F">
          <w:rPr>
            <w:rStyle w:val="Hyperlink"/>
          </w:rPr>
          <w:t>https://energy.ec.europa.eu/system/files/2022-05/COM_2022_230_1_EN_ACT_part1_v5.pdf</w:t>
        </w:r>
      </w:hyperlink>
    </w:p>
  </w:footnote>
  <w:footnote w:id="78">
    <w:p w14:paraId="524BA05C" w14:textId="6EFDCDDC" w:rsidR="00893232" w:rsidRDefault="00893232" w:rsidP="004206E7">
      <w:pPr>
        <w:pStyle w:val="Voetnoottekst"/>
      </w:pPr>
      <w:r>
        <w:rPr>
          <w:rStyle w:val="Voetnootmarkering"/>
        </w:rPr>
        <w:footnoteRef/>
      </w:r>
      <w:r>
        <w:t xml:space="preserve"> </w:t>
      </w:r>
      <w:r w:rsidR="004206E7">
        <w:t xml:space="preserve">Fraunhofer ISI and Karlsruhe Institute of Technology (2021) </w:t>
      </w:r>
      <w:hyperlink r:id="rId51" w:history="1">
        <w:r w:rsidR="004206E7" w:rsidRPr="004206E7">
          <w:rPr>
            <w:rStyle w:val="Hyperlink"/>
          </w:rPr>
          <w:t>The potential of hydrogen for decarbonising EU industry</w:t>
        </w:r>
      </w:hyperlink>
    </w:p>
  </w:footnote>
  <w:footnote w:id="79">
    <w:p w14:paraId="37B68E97" w14:textId="5F0792DA" w:rsidR="005A5D7D" w:rsidRDefault="005A5D7D">
      <w:pPr>
        <w:pStyle w:val="Voetnoottekst"/>
      </w:pPr>
      <w:r>
        <w:rPr>
          <w:rStyle w:val="Voetnootmarkering"/>
        </w:rPr>
        <w:footnoteRef/>
      </w:r>
      <w:r>
        <w:t xml:space="preserve"> </w:t>
      </w:r>
      <w:hyperlink r:id="rId52" w:history="1">
        <w:r w:rsidRPr="008832FB">
          <w:rPr>
            <w:rStyle w:val="Hyperlink"/>
          </w:rPr>
          <w:t>https://www.consilium.europa.eu/en/press/press-releases/2022/11/24/eu-to-speed-up-permitting-process-for-renewable-energy-projects/</w:t>
        </w:r>
      </w:hyperlink>
    </w:p>
  </w:footnote>
  <w:footnote w:id="80">
    <w:p w14:paraId="061F4429" w14:textId="77777777" w:rsidR="008206F4" w:rsidRPr="009E69A2" w:rsidRDefault="008206F4" w:rsidP="008206F4">
      <w:pPr>
        <w:pStyle w:val="Voetnoottekst"/>
        <w:rPr>
          <w:lang w:val="fr-FR"/>
        </w:rPr>
      </w:pPr>
      <w:r>
        <w:rPr>
          <w:rStyle w:val="Voetnootmarkering"/>
        </w:rPr>
        <w:footnoteRef/>
      </w:r>
      <w:r w:rsidRPr="009E69A2">
        <w:rPr>
          <w:lang w:val="fr-FR"/>
        </w:rPr>
        <w:t xml:space="preserve"> </w:t>
      </w:r>
      <w:hyperlink r:id="rId53" w:history="1">
        <w:r w:rsidRPr="009E69A2">
          <w:rPr>
            <w:rStyle w:val="Hyperlink"/>
            <w:lang w:val="fr-FR"/>
          </w:rPr>
          <w:t>eur-lex.europa.eu/legal-content/EN/TXT/PDF/?uri=CELEX:52022DC0643</w:t>
        </w:r>
      </w:hyperlink>
    </w:p>
  </w:footnote>
  <w:footnote w:id="81">
    <w:p w14:paraId="2E801CE7" w14:textId="7AC04EEB" w:rsidR="002C0E5C" w:rsidRPr="002C0E5C" w:rsidRDefault="002C0E5C">
      <w:pPr>
        <w:pStyle w:val="Voetnoottekst"/>
      </w:pPr>
      <w:r>
        <w:rPr>
          <w:rStyle w:val="Voetnootmarkering"/>
        </w:rPr>
        <w:footnoteRef/>
      </w:r>
      <w:r>
        <w:t xml:space="preserve"> In the stakeholder consultation, </w:t>
      </w:r>
      <w:r w:rsidR="003745FA">
        <w:t xml:space="preserve">a </w:t>
      </w:r>
      <w:r w:rsidR="003A7522">
        <w:t>stakeholder ha</w:t>
      </w:r>
      <w:r w:rsidR="00D36781">
        <w:t>s</w:t>
      </w:r>
      <w:r w:rsidR="00FC08AD">
        <w:t xml:space="preserve"> suggested to consider </w:t>
      </w:r>
      <w:r>
        <w:t xml:space="preserve">the likelihood </w:t>
      </w:r>
      <w:r w:rsidR="00B1506B">
        <w:t xml:space="preserve">of this risk </w:t>
      </w:r>
      <w:r>
        <w:t xml:space="preserve">for hydrogen </w:t>
      </w:r>
      <w:r w:rsidR="00B1506B">
        <w:t xml:space="preserve">specifically </w:t>
      </w:r>
      <w:r w:rsidR="00FC08AD">
        <w:t>as</w:t>
      </w:r>
      <w:r>
        <w:t xml:space="preserve"> ‘high’ </w:t>
      </w:r>
      <w:r w:rsidR="00FC08AD">
        <w:t xml:space="preserve">rather </w:t>
      </w:r>
      <w:r>
        <w:t xml:space="preserve">than ‘medium’, as water electrolysis is the only large-scale </w:t>
      </w:r>
      <w:r w:rsidR="003745FA">
        <w:t xml:space="preserve">renewable </w:t>
      </w:r>
      <w:r>
        <w:t xml:space="preserve">hydrogen production technology and </w:t>
      </w:r>
      <w:r w:rsidR="008D27E8">
        <w:t xml:space="preserve">it </w:t>
      </w:r>
      <w:r>
        <w:t xml:space="preserve">has a low </w:t>
      </w:r>
      <w:r w:rsidR="008D27E8">
        <w:t xml:space="preserve">energy </w:t>
      </w:r>
      <w:r>
        <w:t xml:space="preserve">efficiency and depends </w:t>
      </w:r>
      <w:r w:rsidR="00527009">
        <w:t>on th</w:t>
      </w:r>
      <w:r w:rsidR="00E96529">
        <w:t xml:space="preserve">e availability </w:t>
      </w:r>
      <w:r>
        <w:t xml:space="preserve">of renewable electricity. </w:t>
      </w:r>
    </w:p>
  </w:footnote>
  <w:footnote w:id="82">
    <w:p w14:paraId="3DCAE420" w14:textId="38C2CE0B" w:rsidR="006C0CCD" w:rsidRPr="002948E9" w:rsidRDefault="006C0CCD">
      <w:pPr>
        <w:pStyle w:val="Voetnoottekst"/>
      </w:pPr>
      <w:r>
        <w:rPr>
          <w:rStyle w:val="Voetnootmarkering"/>
        </w:rPr>
        <w:footnoteRef/>
      </w:r>
      <w:r w:rsidRPr="002948E9">
        <w:t xml:space="preserve"> </w:t>
      </w:r>
      <w:r w:rsidR="0091152B">
        <w:t>European Parliament</w:t>
      </w:r>
      <w:r w:rsidR="002948E9">
        <w:t xml:space="preserve"> (2021) </w:t>
      </w:r>
      <w:hyperlink r:id="rId54" w:history="1">
        <w:r w:rsidR="0091152B" w:rsidRPr="0091152B">
          <w:rPr>
            <w:rStyle w:val="Hyperlink"/>
          </w:rPr>
          <w:t>Answer to a written question - Safety of the energy switch to hydrogen.</w:t>
        </w:r>
      </w:hyperlink>
    </w:p>
  </w:footnote>
  <w:footnote w:id="83">
    <w:p w14:paraId="1C9EFA64" w14:textId="77777777" w:rsidR="00B502EE" w:rsidRPr="002948E9" w:rsidRDefault="00B502EE" w:rsidP="00B502EE">
      <w:pPr>
        <w:pStyle w:val="Voetnoottekst"/>
      </w:pPr>
      <w:r>
        <w:rPr>
          <w:rStyle w:val="Voetnootmarkering"/>
        </w:rPr>
        <w:footnoteRef/>
      </w:r>
      <w:r w:rsidRPr="002948E9">
        <w:t xml:space="preserve"> </w:t>
      </w:r>
      <w:hyperlink r:id="rId55" w:history="1">
        <w:r w:rsidRPr="002948E9">
          <w:rPr>
            <w:rStyle w:val="Hyperlink"/>
          </w:rPr>
          <w:t>https://www.clean-hydrogen.europa.eu/get-involved/european-hydrogen-safety-panel-0_en</w:t>
        </w:r>
      </w:hyperlink>
    </w:p>
  </w:footnote>
  <w:footnote w:id="84">
    <w:p w14:paraId="014AC34E" w14:textId="2E289F59" w:rsidR="005B7017" w:rsidRDefault="005B7017">
      <w:pPr>
        <w:pStyle w:val="Voetnoottekst"/>
      </w:pPr>
      <w:r>
        <w:rPr>
          <w:rStyle w:val="Voetnootmarkering"/>
        </w:rPr>
        <w:footnoteRef/>
      </w:r>
      <w:r>
        <w:t xml:space="preserve"> </w:t>
      </w:r>
      <w:hyperlink r:id="rId56" w:history="1">
        <w:r w:rsidRPr="003242CE">
          <w:rPr>
            <w:rStyle w:val="Hyperlink"/>
          </w:rPr>
          <w:t>https://www.slrconsulting.com/en/news-and-insights/insights/perception-or-reality-how-does-safety-concern-hydrogen-compare-other</w:t>
        </w:r>
      </w:hyperlink>
    </w:p>
  </w:footnote>
  <w:footnote w:id="85">
    <w:p w14:paraId="6263F9FE" w14:textId="07096915" w:rsidR="00557807" w:rsidRDefault="00557807">
      <w:pPr>
        <w:pStyle w:val="Voetnoottekst"/>
      </w:pPr>
      <w:r>
        <w:rPr>
          <w:rStyle w:val="Voetnootmarkering"/>
        </w:rPr>
        <w:footnoteRef/>
      </w:r>
      <w:r>
        <w:t xml:space="preserve"> </w:t>
      </w:r>
      <w:hyperlink r:id="rId57" w:history="1">
        <w:r w:rsidRPr="000B492A">
          <w:rPr>
            <w:rStyle w:val="Hyperlink"/>
          </w:rPr>
          <w:t>https://www.clean-hydrogen.europa.eu/get-involved/european-hydrogen-safety-panel-0_en</w:t>
        </w:r>
      </w:hyperlink>
    </w:p>
  </w:footnote>
  <w:footnote w:id="86">
    <w:p w14:paraId="633CD607" w14:textId="176851E1" w:rsidR="00842388" w:rsidRDefault="00842388">
      <w:pPr>
        <w:pStyle w:val="Voetnoottekst"/>
      </w:pPr>
      <w:r>
        <w:rPr>
          <w:rStyle w:val="Voetnootmarkering"/>
        </w:rPr>
        <w:footnoteRef/>
      </w:r>
      <w:r>
        <w:t xml:space="preserve"> </w:t>
      </w:r>
      <w:proofErr w:type="spellStart"/>
      <w:r>
        <w:t>Emodi</w:t>
      </w:r>
      <w:proofErr w:type="spellEnd"/>
      <w:r>
        <w:t xml:space="preserve"> et al. (2021) </w:t>
      </w:r>
      <w:hyperlink r:id="rId58" w:history="1">
        <w:r w:rsidRPr="00515266">
          <w:rPr>
            <w:rStyle w:val="Hyperlink"/>
          </w:rPr>
          <w:t>A systematic literature review of societal acceptance and stakeholders’ perception of hydrogen technologies</w:t>
        </w:r>
      </w:hyperlink>
      <w:r>
        <w:t xml:space="preserve">. </w:t>
      </w:r>
      <w:r w:rsidR="00DC168F">
        <w:t>International Journal of Hydrogen Energy 46.</w:t>
      </w:r>
    </w:p>
  </w:footnote>
  <w:footnote w:id="87">
    <w:p w14:paraId="060C7234" w14:textId="357A16BA" w:rsidR="007804D8" w:rsidRDefault="007804D8">
      <w:pPr>
        <w:pStyle w:val="Voetnoottekst"/>
      </w:pPr>
      <w:r>
        <w:rPr>
          <w:rStyle w:val="Voetnootmarkering"/>
        </w:rPr>
        <w:footnoteRef/>
      </w:r>
      <w:r>
        <w:t xml:space="preserve"> Fraunhofer ISI and Karlsruhe Institute of Technology (2021) </w:t>
      </w:r>
      <w:hyperlink r:id="rId59" w:history="1">
        <w:r w:rsidRPr="004206E7">
          <w:rPr>
            <w:rStyle w:val="Hyperlink"/>
          </w:rPr>
          <w:t>The potential of hydrogen for decarbonising EU industry</w:t>
        </w:r>
      </w:hyperlink>
    </w:p>
  </w:footnote>
  <w:footnote w:id="88">
    <w:p w14:paraId="3117C3F6" w14:textId="04455B42" w:rsidR="00317D8C" w:rsidRDefault="00317D8C">
      <w:pPr>
        <w:pStyle w:val="Voetnoottekst"/>
      </w:pPr>
      <w:r>
        <w:rPr>
          <w:rStyle w:val="Voetnootmarkering"/>
        </w:rPr>
        <w:footnoteRef/>
      </w:r>
      <w:r>
        <w:t xml:space="preserve"> For example the </w:t>
      </w:r>
      <w:hyperlink r:id="rId60" w:history="1">
        <w:r w:rsidRPr="004F33C4">
          <w:rPr>
            <w:rStyle w:val="Hyperlink"/>
          </w:rPr>
          <w:t xml:space="preserve">2022 </w:t>
        </w:r>
        <w:r w:rsidR="004F33C4" w:rsidRPr="004F33C4">
          <w:rPr>
            <w:rStyle w:val="Hyperlink"/>
          </w:rPr>
          <w:t xml:space="preserve">Horizon Europe </w:t>
        </w:r>
        <w:r w:rsidRPr="004F33C4">
          <w:rPr>
            <w:rStyle w:val="Hyperlink"/>
          </w:rPr>
          <w:t xml:space="preserve">Hydrogen Valleys </w:t>
        </w:r>
        <w:r w:rsidR="004F33C4" w:rsidRPr="004F33C4">
          <w:rPr>
            <w:rStyle w:val="Hyperlink"/>
          </w:rPr>
          <w:t>call HORIZON-JTI-CLEANH2-2022-06-01</w:t>
        </w:r>
      </w:hyperlink>
    </w:p>
  </w:footnote>
  <w:footnote w:id="89">
    <w:p w14:paraId="55CC0889" w14:textId="24893F2A" w:rsidR="00090C3E" w:rsidRDefault="00090C3E" w:rsidP="00090C3E">
      <w:pPr>
        <w:pStyle w:val="Voetnoottekst"/>
      </w:pPr>
      <w:r>
        <w:rPr>
          <w:rStyle w:val="Voetnootmarkering"/>
        </w:rPr>
        <w:footnoteRef/>
      </w:r>
      <w:r>
        <w:t xml:space="preserve"> Findeisen (2015) </w:t>
      </w:r>
      <w:hyperlink r:id="rId61" w:history="1">
        <w:r w:rsidRPr="00090C3E">
          <w:rPr>
            <w:rStyle w:val="Hyperlink"/>
          </w:rPr>
          <w:t>The importance of safety standards, risk assessment and operators training for a successful biogas market development</w:t>
        </w:r>
      </w:hyperlink>
    </w:p>
  </w:footnote>
  <w:footnote w:id="90">
    <w:p w14:paraId="4C2B366E" w14:textId="7B6F3960" w:rsidR="00EC5067" w:rsidRDefault="00EC5067">
      <w:pPr>
        <w:pStyle w:val="Voetnoottekst"/>
      </w:pPr>
      <w:r>
        <w:rPr>
          <w:rStyle w:val="Voetnootmarkering"/>
        </w:rPr>
        <w:footnoteRef/>
      </w:r>
      <w:r>
        <w:t xml:space="preserve"> Baur et al. (2022) </w:t>
      </w:r>
      <w:hyperlink r:id="rId62" w:history="1">
        <w:r w:rsidR="005A483D" w:rsidRPr="005A483D">
          <w:rPr>
            <w:rStyle w:val="Hyperlink"/>
          </w:rPr>
          <w:t>Assessing the social acceptance of key technologies for the German energy transition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1126CC" w14:paraId="05381C31" w14:textId="77777777">
      <w:trPr>
        <w:trHeight w:val="300"/>
      </w:trPr>
      <w:tc>
        <w:tcPr>
          <w:tcW w:w="3005" w:type="dxa"/>
        </w:tcPr>
        <w:p w14:paraId="16E9BD5E" w14:textId="77777777" w:rsidR="001126CC" w:rsidRDefault="001126CC">
          <w:pPr>
            <w:pStyle w:val="Koptekst"/>
            <w:ind w:left="-115"/>
          </w:pPr>
        </w:p>
      </w:tc>
      <w:tc>
        <w:tcPr>
          <w:tcW w:w="3005" w:type="dxa"/>
        </w:tcPr>
        <w:p w14:paraId="20127852" w14:textId="77777777" w:rsidR="001126CC" w:rsidRDefault="001126CC">
          <w:pPr>
            <w:pStyle w:val="Koptekst"/>
            <w:jc w:val="center"/>
          </w:pPr>
        </w:p>
      </w:tc>
      <w:tc>
        <w:tcPr>
          <w:tcW w:w="3005" w:type="dxa"/>
        </w:tcPr>
        <w:p w14:paraId="7F9EABF7" w14:textId="77777777" w:rsidR="001126CC" w:rsidRDefault="001126CC">
          <w:pPr>
            <w:pStyle w:val="Koptekst"/>
            <w:ind w:right="-115"/>
            <w:jc w:val="right"/>
          </w:pPr>
        </w:p>
      </w:tc>
    </w:tr>
  </w:tbl>
  <w:p w14:paraId="549E4836" w14:textId="77777777" w:rsidR="001126CC" w:rsidRDefault="001126C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1126CC" w14:paraId="645047D9" w14:textId="77777777">
      <w:trPr>
        <w:trHeight w:val="300"/>
      </w:trPr>
      <w:tc>
        <w:tcPr>
          <w:tcW w:w="3005" w:type="dxa"/>
        </w:tcPr>
        <w:p w14:paraId="6C1B220E" w14:textId="77777777" w:rsidR="001126CC" w:rsidRDefault="001126CC">
          <w:pPr>
            <w:pStyle w:val="Koptekst"/>
            <w:ind w:left="-115"/>
          </w:pPr>
        </w:p>
      </w:tc>
      <w:tc>
        <w:tcPr>
          <w:tcW w:w="3005" w:type="dxa"/>
        </w:tcPr>
        <w:p w14:paraId="67F65697" w14:textId="77777777" w:rsidR="001126CC" w:rsidRDefault="001126CC">
          <w:pPr>
            <w:pStyle w:val="Koptekst"/>
            <w:jc w:val="center"/>
          </w:pPr>
        </w:p>
      </w:tc>
      <w:tc>
        <w:tcPr>
          <w:tcW w:w="3005" w:type="dxa"/>
        </w:tcPr>
        <w:p w14:paraId="7064C115" w14:textId="77777777" w:rsidR="001126CC" w:rsidRDefault="001126CC">
          <w:pPr>
            <w:pStyle w:val="Koptekst"/>
            <w:ind w:right="-115"/>
            <w:jc w:val="right"/>
          </w:pPr>
        </w:p>
      </w:tc>
    </w:tr>
  </w:tbl>
  <w:p w14:paraId="76E14E88" w14:textId="77777777" w:rsidR="001126CC" w:rsidRDefault="001126C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1126CC" w14:paraId="4B318892" w14:textId="77777777">
      <w:trPr>
        <w:trHeight w:val="300"/>
      </w:trPr>
      <w:tc>
        <w:tcPr>
          <w:tcW w:w="3005" w:type="dxa"/>
        </w:tcPr>
        <w:p w14:paraId="0B164573" w14:textId="77777777" w:rsidR="001126CC" w:rsidRDefault="001126CC">
          <w:pPr>
            <w:pStyle w:val="Koptekst"/>
            <w:ind w:left="-115"/>
          </w:pPr>
        </w:p>
      </w:tc>
      <w:tc>
        <w:tcPr>
          <w:tcW w:w="3005" w:type="dxa"/>
        </w:tcPr>
        <w:p w14:paraId="70730F9C" w14:textId="77777777" w:rsidR="001126CC" w:rsidRDefault="001126CC">
          <w:pPr>
            <w:pStyle w:val="Koptekst"/>
            <w:jc w:val="center"/>
          </w:pPr>
        </w:p>
      </w:tc>
      <w:tc>
        <w:tcPr>
          <w:tcW w:w="3005" w:type="dxa"/>
        </w:tcPr>
        <w:p w14:paraId="092AD4C7" w14:textId="77777777" w:rsidR="001126CC" w:rsidRDefault="001126CC">
          <w:pPr>
            <w:pStyle w:val="Koptekst"/>
            <w:ind w:right="-115"/>
            <w:jc w:val="right"/>
          </w:pPr>
        </w:p>
      </w:tc>
    </w:tr>
  </w:tbl>
  <w:p w14:paraId="46511E4F" w14:textId="77777777" w:rsidR="001126CC" w:rsidRDefault="001126CC">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6FDE1" w14:textId="77777777" w:rsidR="001126CC" w:rsidRPr="00E60817" w:rsidRDefault="001126CC">
    <w:pPr>
      <w:pStyle w:val="Koptekst"/>
      <w:ind w:left="0"/>
      <w:jc w:val="center"/>
      <w:rPr>
        <w:sz w:val="14"/>
        <w:szCs w:val="14"/>
        <w:lang w:val="en-US"/>
      </w:rPr>
    </w:pPr>
    <w:r w:rsidRPr="00E60817">
      <w:rPr>
        <w:sz w:val="14"/>
        <w:szCs w:val="14"/>
        <w:lang w:val="en-US"/>
      </w:rPr>
      <w:t xml:space="preserve">Gas </w:t>
    </w:r>
    <w:proofErr w:type="spellStart"/>
    <w:r w:rsidRPr="00E60817">
      <w:rPr>
        <w:sz w:val="14"/>
        <w:szCs w:val="14"/>
        <w:lang w:val="en-US"/>
      </w:rPr>
      <w:t>Decarbonisation</w:t>
    </w:r>
    <w:proofErr w:type="spellEnd"/>
    <w:r w:rsidRPr="00E60817">
      <w:rPr>
        <w:sz w:val="14"/>
        <w:szCs w:val="14"/>
        <w:lang w:val="en-US"/>
      </w:rPr>
      <w:t xml:space="preserve"> Pathways for Estonia (3 Baltic Member States + Finland)</w:t>
    </w:r>
  </w:p>
  <w:p w14:paraId="21A68A04" w14:textId="523E8930" w:rsidR="001126CC" w:rsidRPr="00E60817" w:rsidRDefault="001126CC">
    <w:pPr>
      <w:pStyle w:val="Koptekst"/>
      <w:ind w:left="0"/>
      <w:jc w:val="center"/>
      <w:rPr>
        <w:sz w:val="14"/>
        <w:szCs w:val="14"/>
        <w:lang w:val="en-US"/>
      </w:rPr>
    </w:pPr>
    <w:r w:rsidRPr="00E60817">
      <w:rPr>
        <w:sz w:val="14"/>
        <w:szCs w:val="14"/>
        <w:lang w:val="en-US"/>
      </w:rPr>
      <w:t>Deliverable 5: Report on the risk analysis of the scenarios for a decarbonized gas market in Estonia</w:t>
    </w:r>
  </w:p>
  <w:p w14:paraId="0D0976E0" w14:textId="77777777" w:rsidR="001126CC" w:rsidRPr="00E60817" w:rsidRDefault="001126CC">
    <w:pPr>
      <w:pStyle w:val="Koptekst"/>
      <w:ind w:left="0"/>
      <w:jc w:val="center"/>
      <w:rPr>
        <w:sz w:val="14"/>
        <w:szCs w:val="1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5D3D"/>
    <w:multiLevelType w:val="hybridMultilevel"/>
    <w:tmpl w:val="2FE2573E"/>
    <w:lvl w:ilvl="0" w:tplc="1000000F">
      <w:start w:val="1"/>
      <w:numFmt w:val="decimal"/>
      <w:lvlText w:val="%1."/>
      <w:lvlJc w:val="left"/>
      <w:pPr>
        <w:ind w:left="1146" w:hanging="360"/>
      </w:pPr>
      <w:rPr>
        <w:rFonts w:hint="default"/>
        <w:b/>
        <w:color w:val="005962"/>
      </w:rPr>
    </w:lvl>
    <w:lvl w:ilvl="1" w:tplc="FFFFFFFF">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1" w15:restartNumberingAfterBreak="0">
    <w:nsid w:val="0BCF244E"/>
    <w:multiLevelType w:val="hybridMultilevel"/>
    <w:tmpl w:val="10CCE172"/>
    <w:lvl w:ilvl="0" w:tplc="A5CAAC84">
      <w:start w:val="1"/>
      <w:numFmt w:val="bullet"/>
      <w:lvlText w:val="−"/>
      <w:lvlJc w:val="left"/>
      <w:pPr>
        <w:ind w:left="825" w:hanging="360"/>
      </w:pPr>
      <w:rPr>
        <w:rFonts w:ascii="Trebuchet MS" w:hAnsi="Trebuchet M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 w15:restartNumberingAfterBreak="0">
    <w:nsid w:val="0E050000"/>
    <w:multiLevelType w:val="hybridMultilevel"/>
    <w:tmpl w:val="41F48770"/>
    <w:lvl w:ilvl="0" w:tplc="10000001">
      <w:start w:val="1"/>
      <w:numFmt w:val="bullet"/>
      <w:lvlText w:val=""/>
      <w:lvlJc w:val="left"/>
      <w:pPr>
        <w:ind w:left="1287" w:hanging="360"/>
      </w:pPr>
      <w:rPr>
        <w:rFonts w:ascii="Symbol" w:hAnsi="Symbol" w:hint="default"/>
      </w:rPr>
    </w:lvl>
    <w:lvl w:ilvl="1" w:tplc="10000003">
      <w:start w:val="1"/>
      <w:numFmt w:val="bullet"/>
      <w:lvlText w:val="o"/>
      <w:lvlJc w:val="left"/>
      <w:pPr>
        <w:ind w:left="2007" w:hanging="360"/>
      </w:pPr>
      <w:rPr>
        <w:rFonts w:ascii="Courier New" w:hAnsi="Courier New" w:cs="Courier New" w:hint="default"/>
      </w:rPr>
    </w:lvl>
    <w:lvl w:ilvl="2" w:tplc="10000005" w:tentative="1">
      <w:start w:val="1"/>
      <w:numFmt w:val="bullet"/>
      <w:lvlText w:val=""/>
      <w:lvlJc w:val="left"/>
      <w:pPr>
        <w:ind w:left="2727" w:hanging="360"/>
      </w:pPr>
      <w:rPr>
        <w:rFonts w:ascii="Wingdings" w:hAnsi="Wingdings" w:hint="default"/>
      </w:rPr>
    </w:lvl>
    <w:lvl w:ilvl="3" w:tplc="10000001" w:tentative="1">
      <w:start w:val="1"/>
      <w:numFmt w:val="bullet"/>
      <w:lvlText w:val=""/>
      <w:lvlJc w:val="left"/>
      <w:pPr>
        <w:ind w:left="3447" w:hanging="360"/>
      </w:pPr>
      <w:rPr>
        <w:rFonts w:ascii="Symbol" w:hAnsi="Symbol" w:hint="default"/>
      </w:rPr>
    </w:lvl>
    <w:lvl w:ilvl="4" w:tplc="10000003" w:tentative="1">
      <w:start w:val="1"/>
      <w:numFmt w:val="bullet"/>
      <w:lvlText w:val="o"/>
      <w:lvlJc w:val="left"/>
      <w:pPr>
        <w:ind w:left="4167" w:hanging="360"/>
      </w:pPr>
      <w:rPr>
        <w:rFonts w:ascii="Courier New" w:hAnsi="Courier New" w:cs="Courier New" w:hint="default"/>
      </w:rPr>
    </w:lvl>
    <w:lvl w:ilvl="5" w:tplc="10000005" w:tentative="1">
      <w:start w:val="1"/>
      <w:numFmt w:val="bullet"/>
      <w:lvlText w:val=""/>
      <w:lvlJc w:val="left"/>
      <w:pPr>
        <w:ind w:left="4887" w:hanging="360"/>
      </w:pPr>
      <w:rPr>
        <w:rFonts w:ascii="Wingdings" w:hAnsi="Wingdings" w:hint="default"/>
      </w:rPr>
    </w:lvl>
    <w:lvl w:ilvl="6" w:tplc="10000001" w:tentative="1">
      <w:start w:val="1"/>
      <w:numFmt w:val="bullet"/>
      <w:lvlText w:val=""/>
      <w:lvlJc w:val="left"/>
      <w:pPr>
        <w:ind w:left="5607" w:hanging="360"/>
      </w:pPr>
      <w:rPr>
        <w:rFonts w:ascii="Symbol" w:hAnsi="Symbol" w:hint="default"/>
      </w:rPr>
    </w:lvl>
    <w:lvl w:ilvl="7" w:tplc="10000003" w:tentative="1">
      <w:start w:val="1"/>
      <w:numFmt w:val="bullet"/>
      <w:lvlText w:val="o"/>
      <w:lvlJc w:val="left"/>
      <w:pPr>
        <w:ind w:left="6327" w:hanging="360"/>
      </w:pPr>
      <w:rPr>
        <w:rFonts w:ascii="Courier New" w:hAnsi="Courier New" w:cs="Courier New" w:hint="default"/>
      </w:rPr>
    </w:lvl>
    <w:lvl w:ilvl="8" w:tplc="10000005" w:tentative="1">
      <w:start w:val="1"/>
      <w:numFmt w:val="bullet"/>
      <w:lvlText w:val=""/>
      <w:lvlJc w:val="left"/>
      <w:pPr>
        <w:ind w:left="7047" w:hanging="360"/>
      </w:pPr>
      <w:rPr>
        <w:rFonts w:ascii="Wingdings" w:hAnsi="Wingdings" w:hint="default"/>
      </w:rPr>
    </w:lvl>
  </w:abstractNum>
  <w:abstractNum w:abstractNumId="3" w15:restartNumberingAfterBreak="0">
    <w:nsid w:val="11145A15"/>
    <w:multiLevelType w:val="multilevel"/>
    <w:tmpl w:val="5EF2F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417AE8"/>
    <w:multiLevelType w:val="hybridMultilevel"/>
    <w:tmpl w:val="AE021C14"/>
    <w:lvl w:ilvl="0" w:tplc="9F76FFD4">
      <w:start w:val="1"/>
      <w:numFmt w:val="bullet"/>
      <w:lvlText w:val=""/>
      <w:lvlJc w:val="left"/>
      <w:pPr>
        <w:ind w:left="720" w:hanging="360"/>
      </w:pPr>
      <w:rPr>
        <w:rFonts w:ascii="Symbol" w:hAnsi="Symbol" w:hint="default"/>
        <w:color w:val="005962" w:themeColor="accent1"/>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9AA514D"/>
    <w:multiLevelType w:val="hybridMultilevel"/>
    <w:tmpl w:val="9DEC0CE0"/>
    <w:lvl w:ilvl="0" w:tplc="10000001">
      <w:start w:val="1"/>
      <w:numFmt w:val="bullet"/>
      <w:lvlText w:val=""/>
      <w:lvlJc w:val="left"/>
      <w:pPr>
        <w:ind w:left="1287" w:hanging="360"/>
      </w:pPr>
      <w:rPr>
        <w:rFonts w:ascii="Symbol" w:hAnsi="Symbol" w:hint="default"/>
      </w:rPr>
    </w:lvl>
    <w:lvl w:ilvl="1" w:tplc="10000003">
      <w:start w:val="1"/>
      <w:numFmt w:val="bullet"/>
      <w:lvlText w:val="o"/>
      <w:lvlJc w:val="left"/>
      <w:pPr>
        <w:ind w:left="2007" w:hanging="360"/>
      </w:pPr>
      <w:rPr>
        <w:rFonts w:ascii="Courier New" w:hAnsi="Courier New" w:cs="Courier New" w:hint="default"/>
      </w:rPr>
    </w:lvl>
    <w:lvl w:ilvl="2" w:tplc="10000005">
      <w:start w:val="1"/>
      <w:numFmt w:val="bullet"/>
      <w:lvlText w:val=""/>
      <w:lvlJc w:val="left"/>
      <w:pPr>
        <w:ind w:left="2727" w:hanging="360"/>
      </w:pPr>
      <w:rPr>
        <w:rFonts w:ascii="Wingdings" w:hAnsi="Wingdings" w:hint="default"/>
      </w:rPr>
    </w:lvl>
    <w:lvl w:ilvl="3" w:tplc="10000001" w:tentative="1">
      <w:start w:val="1"/>
      <w:numFmt w:val="bullet"/>
      <w:lvlText w:val=""/>
      <w:lvlJc w:val="left"/>
      <w:pPr>
        <w:ind w:left="3447" w:hanging="360"/>
      </w:pPr>
      <w:rPr>
        <w:rFonts w:ascii="Symbol" w:hAnsi="Symbol" w:hint="default"/>
      </w:rPr>
    </w:lvl>
    <w:lvl w:ilvl="4" w:tplc="10000003" w:tentative="1">
      <w:start w:val="1"/>
      <w:numFmt w:val="bullet"/>
      <w:lvlText w:val="o"/>
      <w:lvlJc w:val="left"/>
      <w:pPr>
        <w:ind w:left="4167" w:hanging="360"/>
      </w:pPr>
      <w:rPr>
        <w:rFonts w:ascii="Courier New" w:hAnsi="Courier New" w:cs="Courier New" w:hint="default"/>
      </w:rPr>
    </w:lvl>
    <w:lvl w:ilvl="5" w:tplc="10000005" w:tentative="1">
      <w:start w:val="1"/>
      <w:numFmt w:val="bullet"/>
      <w:lvlText w:val=""/>
      <w:lvlJc w:val="left"/>
      <w:pPr>
        <w:ind w:left="4887" w:hanging="360"/>
      </w:pPr>
      <w:rPr>
        <w:rFonts w:ascii="Wingdings" w:hAnsi="Wingdings" w:hint="default"/>
      </w:rPr>
    </w:lvl>
    <w:lvl w:ilvl="6" w:tplc="10000001" w:tentative="1">
      <w:start w:val="1"/>
      <w:numFmt w:val="bullet"/>
      <w:lvlText w:val=""/>
      <w:lvlJc w:val="left"/>
      <w:pPr>
        <w:ind w:left="5607" w:hanging="360"/>
      </w:pPr>
      <w:rPr>
        <w:rFonts w:ascii="Symbol" w:hAnsi="Symbol" w:hint="default"/>
      </w:rPr>
    </w:lvl>
    <w:lvl w:ilvl="7" w:tplc="10000003" w:tentative="1">
      <w:start w:val="1"/>
      <w:numFmt w:val="bullet"/>
      <w:lvlText w:val="o"/>
      <w:lvlJc w:val="left"/>
      <w:pPr>
        <w:ind w:left="6327" w:hanging="360"/>
      </w:pPr>
      <w:rPr>
        <w:rFonts w:ascii="Courier New" w:hAnsi="Courier New" w:cs="Courier New" w:hint="default"/>
      </w:rPr>
    </w:lvl>
    <w:lvl w:ilvl="8" w:tplc="10000005" w:tentative="1">
      <w:start w:val="1"/>
      <w:numFmt w:val="bullet"/>
      <w:lvlText w:val=""/>
      <w:lvlJc w:val="left"/>
      <w:pPr>
        <w:ind w:left="7047" w:hanging="360"/>
      </w:pPr>
      <w:rPr>
        <w:rFonts w:ascii="Wingdings" w:hAnsi="Wingdings" w:hint="default"/>
      </w:rPr>
    </w:lvl>
  </w:abstractNum>
  <w:abstractNum w:abstractNumId="6" w15:restartNumberingAfterBreak="0">
    <w:nsid w:val="19E34308"/>
    <w:multiLevelType w:val="hybridMultilevel"/>
    <w:tmpl w:val="1652C37C"/>
    <w:lvl w:ilvl="0" w:tplc="20000001">
      <w:start w:val="1"/>
      <w:numFmt w:val="bullet"/>
      <w:lvlText w:val=""/>
      <w:lvlJc w:val="left"/>
      <w:pPr>
        <w:ind w:left="1146" w:hanging="360"/>
      </w:pPr>
      <w:rPr>
        <w:rFonts w:ascii="Symbol" w:hAnsi="Symbol" w:hint="default"/>
        <w:b/>
        <w:color w:val="005962"/>
      </w:rPr>
    </w:lvl>
    <w:lvl w:ilvl="1" w:tplc="FFFFFFFF">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7" w15:restartNumberingAfterBreak="0">
    <w:nsid w:val="1D63266D"/>
    <w:multiLevelType w:val="hybridMultilevel"/>
    <w:tmpl w:val="F86C0D2E"/>
    <w:lvl w:ilvl="0" w:tplc="2000000F">
      <w:start w:val="1"/>
      <w:numFmt w:val="decimal"/>
      <w:lvlText w:val="%1."/>
      <w:lvlJc w:val="left"/>
      <w:pPr>
        <w:ind w:left="1287" w:hanging="360"/>
      </w:pPr>
    </w:lvl>
    <w:lvl w:ilvl="1" w:tplc="20000019" w:tentative="1">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abstractNum w:abstractNumId="8" w15:restartNumberingAfterBreak="0">
    <w:nsid w:val="233A335C"/>
    <w:multiLevelType w:val="hybridMultilevel"/>
    <w:tmpl w:val="8264AEFE"/>
    <w:lvl w:ilvl="0" w:tplc="DD92EBDA">
      <w:start w:val="1"/>
      <w:numFmt w:val="bullet"/>
      <w:pStyle w:val="ChecklistBulletpoint"/>
      <w:lvlText w:val=""/>
      <w:lvlJc w:val="left"/>
      <w:pPr>
        <w:ind w:left="1146" w:hanging="360"/>
      </w:pPr>
      <w:rPr>
        <w:rFonts w:ascii="Wingdings" w:hAnsi="Wingdings" w:hint="default"/>
        <w:b/>
        <w:color w:val="005962"/>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23F77E5C"/>
    <w:multiLevelType w:val="hybridMultilevel"/>
    <w:tmpl w:val="CE844C90"/>
    <w:lvl w:ilvl="0" w:tplc="B18E132A">
      <w:start w:val="1"/>
      <w:numFmt w:val="decimal"/>
      <w:pStyle w:val="Addingupnumeral"/>
      <w:lvlText w:val="%1."/>
      <w:lvlJc w:val="left"/>
      <w:pPr>
        <w:ind w:left="1069" w:hanging="360"/>
      </w:pPr>
      <w:rPr>
        <w:rFonts w:hint="default"/>
        <w:b/>
        <w:bCs/>
        <w:color w:val="005962" w:themeColor="accent1"/>
      </w:rPr>
    </w:lvl>
    <w:lvl w:ilvl="1" w:tplc="04130019">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10" w15:restartNumberingAfterBreak="0">
    <w:nsid w:val="26511B08"/>
    <w:multiLevelType w:val="hybridMultilevel"/>
    <w:tmpl w:val="87E4D940"/>
    <w:lvl w:ilvl="0" w:tplc="20000001">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11" w15:restartNumberingAfterBreak="0">
    <w:nsid w:val="31344911"/>
    <w:multiLevelType w:val="hybridMultilevel"/>
    <w:tmpl w:val="8076A372"/>
    <w:lvl w:ilvl="0" w:tplc="20000001">
      <w:start w:val="1"/>
      <w:numFmt w:val="bullet"/>
      <w:lvlText w:val=""/>
      <w:lvlJc w:val="left"/>
      <w:pPr>
        <w:ind w:left="1146" w:hanging="360"/>
      </w:pPr>
      <w:rPr>
        <w:rFonts w:ascii="Symbol" w:hAnsi="Symbol" w:hint="default"/>
        <w:b/>
        <w:color w:val="005962"/>
      </w:rPr>
    </w:lvl>
    <w:lvl w:ilvl="1" w:tplc="FFFFFFFF">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12" w15:restartNumberingAfterBreak="0">
    <w:nsid w:val="31C343B2"/>
    <w:multiLevelType w:val="hybridMultilevel"/>
    <w:tmpl w:val="7920457C"/>
    <w:lvl w:ilvl="0" w:tplc="10000001">
      <w:start w:val="1"/>
      <w:numFmt w:val="bullet"/>
      <w:lvlText w:val=""/>
      <w:lvlJc w:val="left"/>
      <w:pPr>
        <w:ind w:left="1287" w:hanging="360"/>
      </w:pPr>
      <w:rPr>
        <w:rFonts w:ascii="Symbol" w:hAnsi="Symbol" w:hint="default"/>
      </w:rPr>
    </w:lvl>
    <w:lvl w:ilvl="1" w:tplc="10000003" w:tentative="1">
      <w:start w:val="1"/>
      <w:numFmt w:val="bullet"/>
      <w:lvlText w:val="o"/>
      <w:lvlJc w:val="left"/>
      <w:pPr>
        <w:ind w:left="2007" w:hanging="360"/>
      </w:pPr>
      <w:rPr>
        <w:rFonts w:ascii="Courier New" w:hAnsi="Courier New" w:cs="Courier New" w:hint="default"/>
      </w:rPr>
    </w:lvl>
    <w:lvl w:ilvl="2" w:tplc="10000005" w:tentative="1">
      <w:start w:val="1"/>
      <w:numFmt w:val="bullet"/>
      <w:lvlText w:val=""/>
      <w:lvlJc w:val="left"/>
      <w:pPr>
        <w:ind w:left="2727" w:hanging="360"/>
      </w:pPr>
      <w:rPr>
        <w:rFonts w:ascii="Wingdings" w:hAnsi="Wingdings" w:hint="default"/>
      </w:rPr>
    </w:lvl>
    <w:lvl w:ilvl="3" w:tplc="10000001" w:tentative="1">
      <w:start w:val="1"/>
      <w:numFmt w:val="bullet"/>
      <w:lvlText w:val=""/>
      <w:lvlJc w:val="left"/>
      <w:pPr>
        <w:ind w:left="3447" w:hanging="360"/>
      </w:pPr>
      <w:rPr>
        <w:rFonts w:ascii="Symbol" w:hAnsi="Symbol" w:hint="default"/>
      </w:rPr>
    </w:lvl>
    <w:lvl w:ilvl="4" w:tplc="10000003" w:tentative="1">
      <w:start w:val="1"/>
      <w:numFmt w:val="bullet"/>
      <w:lvlText w:val="o"/>
      <w:lvlJc w:val="left"/>
      <w:pPr>
        <w:ind w:left="4167" w:hanging="360"/>
      </w:pPr>
      <w:rPr>
        <w:rFonts w:ascii="Courier New" w:hAnsi="Courier New" w:cs="Courier New" w:hint="default"/>
      </w:rPr>
    </w:lvl>
    <w:lvl w:ilvl="5" w:tplc="10000005" w:tentative="1">
      <w:start w:val="1"/>
      <w:numFmt w:val="bullet"/>
      <w:lvlText w:val=""/>
      <w:lvlJc w:val="left"/>
      <w:pPr>
        <w:ind w:left="4887" w:hanging="360"/>
      </w:pPr>
      <w:rPr>
        <w:rFonts w:ascii="Wingdings" w:hAnsi="Wingdings" w:hint="default"/>
      </w:rPr>
    </w:lvl>
    <w:lvl w:ilvl="6" w:tplc="10000001" w:tentative="1">
      <w:start w:val="1"/>
      <w:numFmt w:val="bullet"/>
      <w:lvlText w:val=""/>
      <w:lvlJc w:val="left"/>
      <w:pPr>
        <w:ind w:left="5607" w:hanging="360"/>
      </w:pPr>
      <w:rPr>
        <w:rFonts w:ascii="Symbol" w:hAnsi="Symbol" w:hint="default"/>
      </w:rPr>
    </w:lvl>
    <w:lvl w:ilvl="7" w:tplc="10000003" w:tentative="1">
      <w:start w:val="1"/>
      <w:numFmt w:val="bullet"/>
      <w:lvlText w:val="o"/>
      <w:lvlJc w:val="left"/>
      <w:pPr>
        <w:ind w:left="6327" w:hanging="360"/>
      </w:pPr>
      <w:rPr>
        <w:rFonts w:ascii="Courier New" w:hAnsi="Courier New" w:cs="Courier New" w:hint="default"/>
      </w:rPr>
    </w:lvl>
    <w:lvl w:ilvl="8" w:tplc="10000005" w:tentative="1">
      <w:start w:val="1"/>
      <w:numFmt w:val="bullet"/>
      <w:lvlText w:val=""/>
      <w:lvlJc w:val="left"/>
      <w:pPr>
        <w:ind w:left="7047" w:hanging="360"/>
      </w:pPr>
      <w:rPr>
        <w:rFonts w:ascii="Wingdings" w:hAnsi="Wingdings" w:hint="default"/>
      </w:rPr>
    </w:lvl>
  </w:abstractNum>
  <w:abstractNum w:abstractNumId="13" w15:restartNumberingAfterBreak="0">
    <w:nsid w:val="37BD1346"/>
    <w:multiLevelType w:val="hybridMultilevel"/>
    <w:tmpl w:val="8C089FA4"/>
    <w:lvl w:ilvl="0" w:tplc="049E926C">
      <w:start w:val="1"/>
      <w:numFmt w:val="bullet"/>
      <w:pStyle w:val="Orangetabletext"/>
      <w:lvlText w:val=""/>
      <w:lvlJc w:val="left"/>
      <w:pPr>
        <w:ind w:left="720" w:hanging="360"/>
      </w:pPr>
      <w:rPr>
        <w:rFonts w:ascii="Symbol" w:hAnsi="Symbol" w:hint="default"/>
        <w:b w:val="0"/>
        <w:i w:val="0"/>
        <w:color w:val="FFFFFF" w:themeColor="background1"/>
        <w:sz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7EB6FD9"/>
    <w:multiLevelType w:val="hybridMultilevel"/>
    <w:tmpl w:val="860CE074"/>
    <w:lvl w:ilvl="0" w:tplc="20000001">
      <w:start w:val="1"/>
      <w:numFmt w:val="bullet"/>
      <w:lvlText w:val=""/>
      <w:lvlJc w:val="left"/>
      <w:pPr>
        <w:ind w:left="1146" w:hanging="360"/>
      </w:pPr>
      <w:rPr>
        <w:rFonts w:ascii="Symbol" w:hAnsi="Symbol" w:hint="default"/>
        <w:b/>
        <w:color w:val="005962"/>
      </w:rPr>
    </w:lvl>
    <w:lvl w:ilvl="1" w:tplc="FFFFFFFF">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15" w15:restartNumberingAfterBreak="0">
    <w:nsid w:val="39651377"/>
    <w:multiLevelType w:val="hybridMultilevel"/>
    <w:tmpl w:val="E79ABE82"/>
    <w:lvl w:ilvl="0" w:tplc="10000001">
      <w:start w:val="1"/>
      <w:numFmt w:val="bullet"/>
      <w:lvlText w:val=""/>
      <w:lvlJc w:val="left"/>
      <w:pPr>
        <w:ind w:left="1287" w:hanging="360"/>
      </w:pPr>
      <w:rPr>
        <w:rFonts w:ascii="Symbol" w:hAnsi="Symbol" w:hint="default"/>
      </w:rPr>
    </w:lvl>
    <w:lvl w:ilvl="1" w:tplc="10000003" w:tentative="1">
      <w:start w:val="1"/>
      <w:numFmt w:val="bullet"/>
      <w:lvlText w:val="o"/>
      <w:lvlJc w:val="left"/>
      <w:pPr>
        <w:ind w:left="2007" w:hanging="360"/>
      </w:pPr>
      <w:rPr>
        <w:rFonts w:ascii="Courier New" w:hAnsi="Courier New" w:cs="Courier New" w:hint="default"/>
      </w:rPr>
    </w:lvl>
    <w:lvl w:ilvl="2" w:tplc="10000005" w:tentative="1">
      <w:start w:val="1"/>
      <w:numFmt w:val="bullet"/>
      <w:lvlText w:val=""/>
      <w:lvlJc w:val="left"/>
      <w:pPr>
        <w:ind w:left="2727" w:hanging="360"/>
      </w:pPr>
      <w:rPr>
        <w:rFonts w:ascii="Wingdings" w:hAnsi="Wingdings" w:hint="default"/>
      </w:rPr>
    </w:lvl>
    <w:lvl w:ilvl="3" w:tplc="10000001" w:tentative="1">
      <w:start w:val="1"/>
      <w:numFmt w:val="bullet"/>
      <w:lvlText w:val=""/>
      <w:lvlJc w:val="left"/>
      <w:pPr>
        <w:ind w:left="3447" w:hanging="360"/>
      </w:pPr>
      <w:rPr>
        <w:rFonts w:ascii="Symbol" w:hAnsi="Symbol" w:hint="default"/>
      </w:rPr>
    </w:lvl>
    <w:lvl w:ilvl="4" w:tplc="10000003" w:tentative="1">
      <w:start w:val="1"/>
      <w:numFmt w:val="bullet"/>
      <w:lvlText w:val="o"/>
      <w:lvlJc w:val="left"/>
      <w:pPr>
        <w:ind w:left="4167" w:hanging="360"/>
      </w:pPr>
      <w:rPr>
        <w:rFonts w:ascii="Courier New" w:hAnsi="Courier New" w:cs="Courier New" w:hint="default"/>
      </w:rPr>
    </w:lvl>
    <w:lvl w:ilvl="5" w:tplc="10000005" w:tentative="1">
      <w:start w:val="1"/>
      <w:numFmt w:val="bullet"/>
      <w:lvlText w:val=""/>
      <w:lvlJc w:val="left"/>
      <w:pPr>
        <w:ind w:left="4887" w:hanging="360"/>
      </w:pPr>
      <w:rPr>
        <w:rFonts w:ascii="Wingdings" w:hAnsi="Wingdings" w:hint="default"/>
      </w:rPr>
    </w:lvl>
    <w:lvl w:ilvl="6" w:tplc="10000001" w:tentative="1">
      <w:start w:val="1"/>
      <w:numFmt w:val="bullet"/>
      <w:lvlText w:val=""/>
      <w:lvlJc w:val="left"/>
      <w:pPr>
        <w:ind w:left="5607" w:hanging="360"/>
      </w:pPr>
      <w:rPr>
        <w:rFonts w:ascii="Symbol" w:hAnsi="Symbol" w:hint="default"/>
      </w:rPr>
    </w:lvl>
    <w:lvl w:ilvl="7" w:tplc="10000003" w:tentative="1">
      <w:start w:val="1"/>
      <w:numFmt w:val="bullet"/>
      <w:lvlText w:val="o"/>
      <w:lvlJc w:val="left"/>
      <w:pPr>
        <w:ind w:left="6327" w:hanging="360"/>
      </w:pPr>
      <w:rPr>
        <w:rFonts w:ascii="Courier New" w:hAnsi="Courier New" w:cs="Courier New" w:hint="default"/>
      </w:rPr>
    </w:lvl>
    <w:lvl w:ilvl="8" w:tplc="10000005" w:tentative="1">
      <w:start w:val="1"/>
      <w:numFmt w:val="bullet"/>
      <w:lvlText w:val=""/>
      <w:lvlJc w:val="left"/>
      <w:pPr>
        <w:ind w:left="7047" w:hanging="360"/>
      </w:pPr>
      <w:rPr>
        <w:rFonts w:ascii="Wingdings" w:hAnsi="Wingdings" w:hint="default"/>
      </w:rPr>
    </w:lvl>
  </w:abstractNum>
  <w:abstractNum w:abstractNumId="16" w15:restartNumberingAfterBreak="0">
    <w:nsid w:val="3A162C48"/>
    <w:multiLevelType w:val="hybridMultilevel"/>
    <w:tmpl w:val="278ECBBE"/>
    <w:lvl w:ilvl="0" w:tplc="10000001">
      <w:start w:val="1"/>
      <w:numFmt w:val="bullet"/>
      <w:lvlText w:val=""/>
      <w:lvlJc w:val="left"/>
      <w:pPr>
        <w:ind w:left="1287" w:hanging="360"/>
      </w:pPr>
      <w:rPr>
        <w:rFonts w:ascii="Symbol" w:hAnsi="Symbol" w:hint="default"/>
      </w:rPr>
    </w:lvl>
    <w:lvl w:ilvl="1" w:tplc="10000003" w:tentative="1">
      <w:start w:val="1"/>
      <w:numFmt w:val="bullet"/>
      <w:lvlText w:val="o"/>
      <w:lvlJc w:val="left"/>
      <w:pPr>
        <w:ind w:left="2007" w:hanging="360"/>
      </w:pPr>
      <w:rPr>
        <w:rFonts w:ascii="Courier New" w:hAnsi="Courier New" w:cs="Courier New" w:hint="default"/>
      </w:rPr>
    </w:lvl>
    <w:lvl w:ilvl="2" w:tplc="10000005" w:tentative="1">
      <w:start w:val="1"/>
      <w:numFmt w:val="bullet"/>
      <w:lvlText w:val=""/>
      <w:lvlJc w:val="left"/>
      <w:pPr>
        <w:ind w:left="2727" w:hanging="360"/>
      </w:pPr>
      <w:rPr>
        <w:rFonts w:ascii="Wingdings" w:hAnsi="Wingdings" w:hint="default"/>
      </w:rPr>
    </w:lvl>
    <w:lvl w:ilvl="3" w:tplc="10000001" w:tentative="1">
      <w:start w:val="1"/>
      <w:numFmt w:val="bullet"/>
      <w:lvlText w:val=""/>
      <w:lvlJc w:val="left"/>
      <w:pPr>
        <w:ind w:left="3447" w:hanging="360"/>
      </w:pPr>
      <w:rPr>
        <w:rFonts w:ascii="Symbol" w:hAnsi="Symbol" w:hint="default"/>
      </w:rPr>
    </w:lvl>
    <w:lvl w:ilvl="4" w:tplc="10000003" w:tentative="1">
      <w:start w:val="1"/>
      <w:numFmt w:val="bullet"/>
      <w:lvlText w:val="o"/>
      <w:lvlJc w:val="left"/>
      <w:pPr>
        <w:ind w:left="4167" w:hanging="360"/>
      </w:pPr>
      <w:rPr>
        <w:rFonts w:ascii="Courier New" w:hAnsi="Courier New" w:cs="Courier New" w:hint="default"/>
      </w:rPr>
    </w:lvl>
    <w:lvl w:ilvl="5" w:tplc="10000005" w:tentative="1">
      <w:start w:val="1"/>
      <w:numFmt w:val="bullet"/>
      <w:lvlText w:val=""/>
      <w:lvlJc w:val="left"/>
      <w:pPr>
        <w:ind w:left="4887" w:hanging="360"/>
      </w:pPr>
      <w:rPr>
        <w:rFonts w:ascii="Wingdings" w:hAnsi="Wingdings" w:hint="default"/>
      </w:rPr>
    </w:lvl>
    <w:lvl w:ilvl="6" w:tplc="10000001" w:tentative="1">
      <w:start w:val="1"/>
      <w:numFmt w:val="bullet"/>
      <w:lvlText w:val=""/>
      <w:lvlJc w:val="left"/>
      <w:pPr>
        <w:ind w:left="5607" w:hanging="360"/>
      </w:pPr>
      <w:rPr>
        <w:rFonts w:ascii="Symbol" w:hAnsi="Symbol" w:hint="default"/>
      </w:rPr>
    </w:lvl>
    <w:lvl w:ilvl="7" w:tplc="10000003" w:tentative="1">
      <w:start w:val="1"/>
      <w:numFmt w:val="bullet"/>
      <w:lvlText w:val="o"/>
      <w:lvlJc w:val="left"/>
      <w:pPr>
        <w:ind w:left="6327" w:hanging="360"/>
      </w:pPr>
      <w:rPr>
        <w:rFonts w:ascii="Courier New" w:hAnsi="Courier New" w:cs="Courier New" w:hint="default"/>
      </w:rPr>
    </w:lvl>
    <w:lvl w:ilvl="8" w:tplc="10000005" w:tentative="1">
      <w:start w:val="1"/>
      <w:numFmt w:val="bullet"/>
      <w:lvlText w:val=""/>
      <w:lvlJc w:val="left"/>
      <w:pPr>
        <w:ind w:left="7047" w:hanging="360"/>
      </w:pPr>
      <w:rPr>
        <w:rFonts w:ascii="Wingdings" w:hAnsi="Wingdings" w:hint="default"/>
      </w:rPr>
    </w:lvl>
  </w:abstractNum>
  <w:abstractNum w:abstractNumId="17" w15:restartNumberingAfterBreak="0">
    <w:nsid w:val="3C99036A"/>
    <w:multiLevelType w:val="hybridMultilevel"/>
    <w:tmpl w:val="F4727AE4"/>
    <w:lvl w:ilvl="0" w:tplc="1A882842">
      <w:start w:val="1"/>
      <w:numFmt w:val="bullet"/>
      <w:pStyle w:val="Checklistbulletpoint0"/>
      <w:lvlText w:val=""/>
      <w:lvlJc w:val="left"/>
      <w:pPr>
        <w:ind w:left="1287" w:hanging="360"/>
      </w:pPr>
      <w:rPr>
        <w:rFonts w:ascii="Wingdings" w:hAnsi="Wingdings" w:cs="Wingdings" w:hint="default"/>
        <w:b/>
        <w:bCs/>
        <w:i w:val="0"/>
        <w:iCs w:val="0"/>
        <w:color w:val="F04E30"/>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3D676B0F"/>
    <w:multiLevelType w:val="multilevel"/>
    <w:tmpl w:val="3EE8AD30"/>
    <w:styleLink w:val="Style1"/>
    <w:lvl w:ilvl="0">
      <w:start w:val="1"/>
      <w:numFmt w:val="decimal"/>
      <w:lvlText w:val="1.%1."/>
      <w:lvlJc w:val="left"/>
      <w:pPr>
        <w:ind w:left="360" w:hanging="360"/>
      </w:pPr>
      <w:rPr>
        <w:rFonts w:hint="default"/>
        <w:color w:val="00596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DA81CD3"/>
    <w:multiLevelType w:val="hybridMultilevel"/>
    <w:tmpl w:val="198A46DE"/>
    <w:lvl w:ilvl="0" w:tplc="10000001">
      <w:start w:val="1"/>
      <w:numFmt w:val="bullet"/>
      <w:lvlText w:val=""/>
      <w:lvlJc w:val="left"/>
      <w:pPr>
        <w:ind w:left="1287" w:hanging="360"/>
      </w:pPr>
      <w:rPr>
        <w:rFonts w:ascii="Symbol" w:hAnsi="Symbol" w:hint="default"/>
      </w:rPr>
    </w:lvl>
    <w:lvl w:ilvl="1" w:tplc="10000003">
      <w:start w:val="1"/>
      <w:numFmt w:val="bullet"/>
      <w:lvlText w:val="o"/>
      <w:lvlJc w:val="left"/>
      <w:pPr>
        <w:ind w:left="2007" w:hanging="360"/>
      </w:pPr>
      <w:rPr>
        <w:rFonts w:ascii="Courier New" w:hAnsi="Courier New" w:cs="Courier New" w:hint="default"/>
      </w:rPr>
    </w:lvl>
    <w:lvl w:ilvl="2" w:tplc="10000005" w:tentative="1">
      <w:start w:val="1"/>
      <w:numFmt w:val="bullet"/>
      <w:lvlText w:val=""/>
      <w:lvlJc w:val="left"/>
      <w:pPr>
        <w:ind w:left="2727" w:hanging="360"/>
      </w:pPr>
      <w:rPr>
        <w:rFonts w:ascii="Wingdings" w:hAnsi="Wingdings" w:hint="default"/>
      </w:rPr>
    </w:lvl>
    <w:lvl w:ilvl="3" w:tplc="10000001" w:tentative="1">
      <w:start w:val="1"/>
      <w:numFmt w:val="bullet"/>
      <w:lvlText w:val=""/>
      <w:lvlJc w:val="left"/>
      <w:pPr>
        <w:ind w:left="3447" w:hanging="360"/>
      </w:pPr>
      <w:rPr>
        <w:rFonts w:ascii="Symbol" w:hAnsi="Symbol" w:hint="default"/>
      </w:rPr>
    </w:lvl>
    <w:lvl w:ilvl="4" w:tplc="10000003" w:tentative="1">
      <w:start w:val="1"/>
      <w:numFmt w:val="bullet"/>
      <w:lvlText w:val="o"/>
      <w:lvlJc w:val="left"/>
      <w:pPr>
        <w:ind w:left="4167" w:hanging="360"/>
      </w:pPr>
      <w:rPr>
        <w:rFonts w:ascii="Courier New" w:hAnsi="Courier New" w:cs="Courier New" w:hint="default"/>
      </w:rPr>
    </w:lvl>
    <w:lvl w:ilvl="5" w:tplc="10000005" w:tentative="1">
      <w:start w:val="1"/>
      <w:numFmt w:val="bullet"/>
      <w:lvlText w:val=""/>
      <w:lvlJc w:val="left"/>
      <w:pPr>
        <w:ind w:left="4887" w:hanging="360"/>
      </w:pPr>
      <w:rPr>
        <w:rFonts w:ascii="Wingdings" w:hAnsi="Wingdings" w:hint="default"/>
      </w:rPr>
    </w:lvl>
    <w:lvl w:ilvl="6" w:tplc="10000001" w:tentative="1">
      <w:start w:val="1"/>
      <w:numFmt w:val="bullet"/>
      <w:lvlText w:val=""/>
      <w:lvlJc w:val="left"/>
      <w:pPr>
        <w:ind w:left="5607" w:hanging="360"/>
      </w:pPr>
      <w:rPr>
        <w:rFonts w:ascii="Symbol" w:hAnsi="Symbol" w:hint="default"/>
      </w:rPr>
    </w:lvl>
    <w:lvl w:ilvl="7" w:tplc="10000003" w:tentative="1">
      <w:start w:val="1"/>
      <w:numFmt w:val="bullet"/>
      <w:lvlText w:val="o"/>
      <w:lvlJc w:val="left"/>
      <w:pPr>
        <w:ind w:left="6327" w:hanging="360"/>
      </w:pPr>
      <w:rPr>
        <w:rFonts w:ascii="Courier New" w:hAnsi="Courier New" w:cs="Courier New" w:hint="default"/>
      </w:rPr>
    </w:lvl>
    <w:lvl w:ilvl="8" w:tplc="10000005" w:tentative="1">
      <w:start w:val="1"/>
      <w:numFmt w:val="bullet"/>
      <w:lvlText w:val=""/>
      <w:lvlJc w:val="left"/>
      <w:pPr>
        <w:ind w:left="7047" w:hanging="360"/>
      </w:pPr>
      <w:rPr>
        <w:rFonts w:ascii="Wingdings" w:hAnsi="Wingdings" w:hint="default"/>
      </w:rPr>
    </w:lvl>
  </w:abstractNum>
  <w:abstractNum w:abstractNumId="20" w15:restartNumberingAfterBreak="0">
    <w:nsid w:val="401C2075"/>
    <w:multiLevelType w:val="hybridMultilevel"/>
    <w:tmpl w:val="D1786C7E"/>
    <w:lvl w:ilvl="0" w:tplc="FE46700E">
      <w:start w:val="1"/>
      <w:numFmt w:val="bullet"/>
      <w:lvlText w:val="−"/>
      <w:lvlJc w:val="left"/>
      <w:pPr>
        <w:ind w:left="720" w:hanging="360"/>
      </w:pPr>
      <w:rPr>
        <w:rFonts w:ascii="Trebuchet MS" w:hAnsi="Trebuchet M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1" w15:restartNumberingAfterBreak="0">
    <w:nsid w:val="49AF0F80"/>
    <w:multiLevelType w:val="multilevel"/>
    <w:tmpl w:val="960E3348"/>
    <w:lvl w:ilvl="0">
      <w:start w:val="1"/>
      <w:numFmt w:val="decimal"/>
      <w:pStyle w:val="Kop1"/>
      <w:lvlText w:val="%1"/>
      <w:lvlJc w:val="left"/>
      <w:pPr>
        <w:ind w:left="927" w:hanging="360"/>
      </w:pPr>
      <w:rPr>
        <w:rFonts w:hint="default"/>
      </w:rPr>
    </w:lvl>
    <w:lvl w:ilvl="1">
      <w:start w:val="1"/>
      <w:numFmt w:val="decimal"/>
      <w:pStyle w:val="Kop2"/>
      <w:isLgl/>
      <w:lvlText w:val="%1.%2"/>
      <w:lvlJc w:val="left"/>
      <w:pPr>
        <w:ind w:left="1287" w:hanging="360"/>
      </w:pPr>
      <w:rPr>
        <w:rFonts w:hint="default"/>
      </w:rPr>
    </w:lvl>
    <w:lvl w:ilvl="2">
      <w:start w:val="1"/>
      <w:numFmt w:val="decimal"/>
      <w:pStyle w:val="Kop3"/>
      <w:isLgl/>
      <w:lvlText w:val="%1.%2.%3"/>
      <w:lvlJc w:val="left"/>
      <w:pPr>
        <w:ind w:left="200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3807" w:hanging="108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4887" w:hanging="1440"/>
      </w:pPr>
      <w:rPr>
        <w:rFonts w:hint="default"/>
      </w:rPr>
    </w:lvl>
  </w:abstractNum>
  <w:abstractNum w:abstractNumId="22" w15:restartNumberingAfterBreak="0">
    <w:nsid w:val="49DB0E91"/>
    <w:multiLevelType w:val="hybridMultilevel"/>
    <w:tmpl w:val="EB48AB16"/>
    <w:lvl w:ilvl="0" w:tplc="10000001">
      <w:start w:val="1"/>
      <w:numFmt w:val="bullet"/>
      <w:lvlText w:val=""/>
      <w:lvlJc w:val="left"/>
      <w:pPr>
        <w:ind w:left="1287" w:hanging="360"/>
      </w:pPr>
      <w:rPr>
        <w:rFonts w:ascii="Symbol" w:hAnsi="Symbol" w:hint="default"/>
      </w:rPr>
    </w:lvl>
    <w:lvl w:ilvl="1" w:tplc="10000003" w:tentative="1">
      <w:start w:val="1"/>
      <w:numFmt w:val="bullet"/>
      <w:lvlText w:val="o"/>
      <w:lvlJc w:val="left"/>
      <w:pPr>
        <w:ind w:left="2007" w:hanging="360"/>
      </w:pPr>
      <w:rPr>
        <w:rFonts w:ascii="Courier New" w:hAnsi="Courier New" w:cs="Courier New" w:hint="default"/>
      </w:rPr>
    </w:lvl>
    <w:lvl w:ilvl="2" w:tplc="10000005" w:tentative="1">
      <w:start w:val="1"/>
      <w:numFmt w:val="bullet"/>
      <w:lvlText w:val=""/>
      <w:lvlJc w:val="left"/>
      <w:pPr>
        <w:ind w:left="2727" w:hanging="360"/>
      </w:pPr>
      <w:rPr>
        <w:rFonts w:ascii="Wingdings" w:hAnsi="Wingdings" w:hint="default"/>
      </w:rPr>
    </w:lvl>
    <w:lvl w:ilvl="3" w:tplc="10000001" w:tentative="1">
      <w:start w:val="1"/>
      <w:numFmt w:val="bullet"/>
      <w:lvlText w:val=""/>
      <w:lvlJc w:val="left"/>
      <w:pPr>
        <w:ind w:left="3447" w:hanging="360"/>
      </w:pPr>
      <w:rPr>
        <w:rFonts w:ascii="Symbol" w:hAnsi="Symbol" w:hint="default"/>
      </w:rPr>
    </w:lvl>
    <w:lvl w:ilvl="4" w:tplc="10000003" w:tentative="1">
      <w:start w:val="1"/>
      <w:numFmt w:val="bullet"/>
      <w:lvlText w:val="o"/>
      <w:lvlJc w:val="left"/>
      <w:pPr>
        <w:ind w:left="4167" w:hanging="360"/>
      </w:pPr>
      <w:rPr>
        <w:rFonts w:ascii="Courier New" w:hAnsi="Courier New" w:cs="Courier New" w:hint="default"/>
      </w:rPr>
    </w:lvl>
    <w:lvl w:ilvl="5" w:tplc="10000005" w:tentative="1">
      <w:start w:val="1"/>
      <w:numFmt w:val="bullet"/>
      <w:lvlText w:val=""/>
      <w:lvlJc w:val="left"/>
      <w:pPr>
        <w:ind w:left="4887" w:hanging="360"/>
      </w:pPr>
      <w:rPr>
        <w:rFonts w:ascii="Wingdings" w:hAnsi="Wingdings" w:hint="default"/>
      </w:rPr>
    </w:lvl>
    <w:lvl w:ilvl="6" w:tplc="10000001" w:tentative="1">
      <w:start w:val="1"/>
      <w:numFmt w:val="bullet"/>
      <w:lvlText w:val=""/>
      <w:lvlJc w:val="left"/>
      <w:pPr>
        <w:ind w:left="5607" w:hanging="360"/>
      </w:pPr>
      <w:rPr>
        <w:rFonts w:ascii="Symbol" w:hAnsi="Symbol" w:hint="default"/>
      </w:rPr>
    </w:lvl>
    <w:lvl w:ilvl="7" w:tplc="10000003" w:tentative="1">
      <w:start w:val="1"/>
      <w:numFmt w:val="bullet"/>
      <w:lvlText w:val="o"/>
      <w:lvlJc w:val="left"/>
      <w:pPr>
        <w:ind w:left="6327" w:hanging="360"/>
      </w:pPr>
      <w:rPr>
        <w:rFonts w:ascii="Courier New" w:hAnsi="Courier New" w:cs="Courier New" w:hint="default"/>
      </w:rPr>
    </w:lvl>
    <w:lvl w:ilvl="8" w:tplc="10000005" w:tentative="1">
      <w:start w:val="1"/>
      <w:numFmt w:val="bullet"/>
      <w:lvlText w:val=""/>
      <w:lvlJc w:val="left"/>
      <w:pPr>
        <w:ind w:left="7047" w:hanging="360"/>
      </w:pPr>
      <w:rPr>
        <w:rFonts w:ascii="Wingdings" w:hAnsi="Wingdings" w:hint="default"/>
      </w:rPr>
    </w:lvl>
  </w:abstractNum>
  <w:abstractNum w:abstractNumId="23" w15:restartNumberingAfterBreak="0">
    <w:nsid w:val="4FDB3834"/>
    <w:multiLevelType w:val="hybridMultilevel"/>
    <w:tmpl w:val="1DE07824"/>
    <w:lvl w:ilvl="0" w:tplc="FE46700E">
      <w:start w:val="1"/>
      <w:numFmt w:val="bullet"/>
      <w:lvlText w:val="−"/>
      <w:lvlJc w:val="left"/>
      <w:pPr>
        <w:ind w:left="720" w:hanging="360"/>
      </w:pPr>
      <w:rPr>
        <w:rFonts w:ascii="Trebuchet MS" w:hAnsi="Trebuchet M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4" w15:restartNumberingAfterBreak="0">
    <w:nsid w:val="505F0FFE"/>
    <w:multiLevelType w:val="hybridMultilevel"/>
    <w:tmpl w:val="A1408298"/>
    <w:lvl w:ilvl="0" w:tplc="709698A4">
      <w:start w:val="1"/>
      <w:numFmt w:val="bullet"/>
      <w:pStyle w:val="Lijstalinea"/>
      <w:lvlText w:val=""/>
      <w:lvlJc w:val="left"/>
      <w:pPr>
        <w:ind w:left="1210" w:hanging="360"/>
      </w:pPr>
      <w:rPr>
        <w:rFonts w:ascii="Symbol" w:hAnsi="Symbol" w:hint="default"/>
        <w:color w:val="005962"/>
      </w:rPr>
    </w:lvl>
    <w:lvl w:ilvl="1" w:tplc="058E5DA4">
      <w:start w:val="1"/>
      <w:numFmt w:val="bullet"/>
      <w:pStyle w:val="2ndlevelbulletpoint"/>
      <w:lvlText w:val="o"/>
      <w:lvlJc w:val="left"/>
      <w:pPr>
        <w:ind w:left="2007" w:hanging="360"/>
      </w:pPr>
      <w:rPr>
        <w:rFonts w:ascii="Courier New" w:hAnsi="Courier New" w:cs="Courier New" w:hint="default"/>
      </w:rPr>
    </w:lvl>
    <w:lvl w:ilvl="2" w:tplc="5728FDCC">
      <w:start w:val="1"/>
      <w:numFmt w:val="bullet"/>
      <w:pStyle w:val="3rdlevelbulletpoint"/>
      <w:lvlText w:val=""/>
      <w:lvlJc w:val="left"/>
      <w:pPr>
        <w:ind w:left="2727" w:hanging="360"/>
      </w:pPr>
      <w:rPr>
        <w:rFonts w:ascii="Wingdings" w:hAnsi="Wingdings" w:hint="default"/>
      </w:rPr>
    </w:lvl>
    <w:lvl w:ilvl="3" w:tplc="8A64B88C">
      <w:numFmt w:val="bullet"/>
      <w:lvlText w:val="-"/>
      <w:lvlJc w:val="left"/>
      <w:pPr>
        <w:ind w:left="3795" w:hanging="708"/>
      </w:pPr>
      <w:rPr>
        <w:rFonts w:ascii="Trebuchet MS" w:eastAsiaTheme="minorHAnsi" w:hAnsi="Trebuchet MS" w:cstheme="minorBidi"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25" w15:restartNumberingAfterBreak="0">
    <w:nsid w:val="5D26346D"/>
    <w:multiLevelType w:val="multilevel"/>
    <w:tmpl w:val="F934F8FE"/>
    <w:styleLink w:val="Style2"/>
    <w:lvl w:ilvl="0">
      <w:start w:val="1"/>
      <w:numFmt w:val="decimal"/>
      <w:lvlText w:val="%1.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6" w15:restartNumberingAfterBreak="0">
    <w:nsid w:val="5D636A0C"/>
    <w:multiLevelType w:val="hybridMultilevel"/>
    <w:tmpl w:val="5A862BDE"/>
    <w:lvl w:ilvl="0" w:tplc="10000001">
      <w:start w:val="1"/>
      <w:numFmt w:val="bullet"/>
      <w:lvlText w:val=""/>
      <w:lvlJc w:val="left"/>
      <w:pPr>
        <w:ind w:left="1287" w:hanging="360"/>
      </w:pPr>
      <w:rPr>
        <w:rFonts w:ascii="Symbol" w:hAnsi="Symbol" w:hint="default"/>
      </w:rPr>
    </w:lvl>
    <w:lvl w:ilvl="1" w:tplc="52027E94">
      <w:start w:val="1"/>
      <w:numFmt w:val="bullet"/>
      <w:lvlText w:val="o"/>
      <w:lvlJc w:val="left"/>
      <w:pPr>
        <w:ind w:left="2007" w:hanging="360"/>
      </w:pPr>
      <w:rPr>
        <w:rFonts w:ascii="Courier New" w:hAnsi="Courier New" w:cs="Courier New" w:hint="default"/>
        <w:lang w:val="en-US"/>
      </w:rPr>
    </w:lvl>
    <w:lvl w:ilvl="2" w:tplc="10000005">
      <w:start w:val="1"/>
      <w:numFmt w:val="bullet"/>
      <w:lvlText w:val=""/>
      <w:lvlJc w:val="left"/>
      <w:pPr>
        <w:ind w:left="2727" w:hanging="360"/>
      </w:pPr>
      <w:rPr>
        <w:rFonts w:ascii="Wingdings" w:hAnsi="Wingdings" w:hint="default"/>
      </w:rPr>
    </w:lvl>
    <w:lvl w:ilvl="3" w:tplc="10000001">
      <w:start w:val="1"/>
      <w:numFmt w:val="bullet"/>
      <w:lvlText w:val=""/>
      <w:lvlJc w:val="left"/>
      <w:pPr>
        <w:ind w:left="3447" w:hanging="360"/>
      </w:pPr>
      <w:rPr>
        <w:rFonts w:ascii="Symbol" w:hAnsi="Symbol" w:hint="default"/>
      </w:rPr>
    </w:lvl>
    <w:lvl w:ilvl="4" w:tplc="F9F6DE90">
      <w:numFmt w:val="bullet"/>
      <w:lvlText w:val="-"/>
      <w:lvlJc w:val="left"/>
      <w:pPr>
        <w:ind w:left="4167" w:hanging="360"/>
      </w:pPr>
      <w:rPr>
        <w:rFonts w:ascii="Trebuchet MS" w:eastAsiaTheme="minorHAnsi" w:hAnsi="Trebuchet MS" w:cstheme="minorBidi" w:hint="default"/>
      </w:rPr>
    </w:lvl>
    <w:lvl w:ilvl="5" w:tplc="10000005" w:tentative="1">
      <w:start w:val="1"/>
      <w:numFmt w:val="bullet"/>
      <w:lvlText w:val=""/>
      <w:lvlJc w:val="left"/>
      <w:pPr>
        <w:ind w:left="4887" w:hanging="360"/>
      </w:pPr>
      <w:rPr>
        <w:rFonts w:ascii="Wingdings" w:hAnsi="Wingdings" w:hint="default"/>
      </w:rPr>
    </w:lvl>
    <w:lvl w:ilvl="6" w:tplc="10000001" w:tentative="1">
      <w:start w:val="1"/>
      <w:numFmt w:val="bullet"/>
      <w:lvlText w:val=""/>
      <w:lvlJc w:val="left"/>
      <w:pPr>
        <w:ind w:left="5607" w:hanging="360"/>
      </w:pPr>
      <w:rPr>
        <w:rFonts w:ascii="Symbol" w:hAnsi="Symbol" w:hint="default"/>
      </w:rPr>
    </w:lvl>
    <w:lvl w:ilvl="7" w:tplc="10000003" w:tentative="1">
      <w:start w:val="1"/>
      <w:numFmt w:val="bullet"/>
      <w:lvlText w:val="o"/>
      <w:lvlJc w:val="left"/>
      <w:pPr>
        <w:ind w:left="6327" w:hanging="360"/>
      </w:pPr>
      <w:rPr>
        <w:rFonts w:ascii="Courier New" w:hAnsi="Courier New" w:cs="Courier New" w:hint="default"/>
      </w:rPr>
    </w:lvl>
    <w:lvl w:ilvl="8" w:tplc="10000005" w:tentative="1">
      <w:start w:val="1"/>
      <w:numFmt w:val="bullet"/>
      <w:lvlText w:val=""/>
      <w:lvlJc w:val="left"/>
      <w:pPr>
        <w:ind w:left="7047" w:hanging="360"/>
      </w:pPr>
      <w:rPr>
        <w:rFonts w:ascii="Wingdings" w:hAnsi="Wingdings" w:hint="default"/>
      </w:rPr>
    </w:lvl>
  </w:abstractNum>
  <w:abstractNum w:abstractNumId="27" w15:restartNumberingAfterBreak="0">
    <w:nsid w:val="5E147235"/>
    <w:multiLevelType w:val="hybridMultilevel"/>
    <w:tmpl w:val="5F7EE6EA"/>
    <w:lvl w:ilvl="0" w:tplc="10000001">
      <w:start w:val="1"/>
      <w:numFmt w:val="bullet"/>
      <w:lvlText w:val=""/>
      <w:lvlJc w:val="left"/>
      <w:pPr>
        <w:ind w:left="1287" w:hanging="360"/>
      </w:pPr>
      <w:rPr>
        <w:rFonts w:ascii="Symbol" w:hAnsi="Symbol" w:hint="default"/>
      </w:rPr>
    </w:lvl>
    <w:lvl w:ilvl="1" w:tplc="10000003" w:tentative="1">
      <w:start w:val="1"/>
      <w:numFmt w:val="bullet"/>
      <w:lvlText w:val="o"/>
      <w:lvlJc w:val="left"/>
      <w:pPr>
        <w:ind w:left="2007" w:hanging="360"/>
      </w:pPr>
      <w:rPr>
        <w:rFonts w:ascii="Courier New" w:hAnsi="Courier New" w:cs="Courier New" w:hint="default"/>
      </w:rPr>
    </w:lvl>
    <w:lvl w:ilvl="2" w:tplc="10000005" w:tentative="1">
      <w:start w:val="1"/>
      <w:numFmt w:val="bullet"/>
      <w:lvlText w:val=""/>
      <w:lvlJc w:val="left"/>
      <w:pPr>
        <w:ind w:left="2727" w:hanging="360"/>
      </w:pPr>
      <w:rPr>
        <w:rFonts w:ascii="Wingdings" w:hAnsi="Wingdings" w:hint="default"/>
      </w:rPr>
    </w:lvl>
    <w:lvl w:ilvl="3" w:tplc="10000001" w:tentative="1">
      <w:start w:val="1"/>
      <w:numFmt w:val="bullet"/>
      <w:lvlText w:val=""/>
      <w:lvlJc w:val="left"/>
      <w:pPr>
        <w:ind w:left="3447" w:hanging="360"/>
      </w:pPr>
      <w:rPr>
        <w:rFonts w:ascii="Symbol" w:hAnsi="Symbol" w:hint="default"/>
      </w:rPr>
    </w:lvl>
    <w:lvl w:ilvl="4" w:tplc="10000003" w:tentative="1">
      <w:start w:val="1"/>
      <w:numFmt w:val="bullet"/>
      <w:lvlText w:val="o"/>
      <w:lvlJc w:val="left"/>
      <w:pPr>
        <w:ind w:left="4167" w:hanging="360"/>
      </w:pPr>
      <w:rPr>
        <w:rFonts w:ascii="Courier New" w:hAnsi="Courier New" w:cs="Courier New" w:hint="default"/>
      </w:rPr>
    </w:lvl>
    <w:lvl w:ilvl="5" w:tplc="10000005" w:tentative="1">
      <w:start w:val="1"/>
      <w:numFmt w:val="bullet"/>
      <w:lvlText w:val=""/>
      <w:lvlJc w:val="left"/>
      <w:pPr>
        <w:ind w:left="4887" w:hanging="360"/>
      </w:pPr>
      <w:rPr>
        <w:rFonts w:ascii="Wingdings" w:hAnsi="Wingdings" w:hint="default"/>
      </w:rPr>
    </w:lvl>
    <w:lvl w:ilvl="6" w:tplc="10000001" w:tentative="1">
      <w:start w:val="1"/>
      <w:numFmt w:val="bullet"/>
      <w:lvlText w:val=""/>
      <w:lvlJc w:val="left"/>
      <w:pPr>
        <w:ind w:left="5607" w:hanging="360"/>
      </w:pPr>
      <w:rPr>
        <w:rFonts w:ascii="Symbol" w:hAnsi="Symbol" w:hint="default"/>
      </w:rPr>
    </w:lvl>
    <w:lvl w:ilvl="7" w:tplc="10000003" w:tentative="1">
      <w:start w:val="1"/>
      <w:numFmt w:val="bullet"/>
      <w:lvlText w:val="o"/>
      <w:lvlJc w:val="left"/>
      <w:pPr>
        <w:ind w:left="6327" w:hanging="360"/>
      </w:pPr>
      <w:rPr>
        <w:rFonts w:ascii="Courier New" w:hAnsi="Courier New" w:cs="Courier New" w:hint="default"/>
      </w:rPr>
    </w:lvl>
    <w:lvl w:ilvl="8" w:tplc="10000005" w:tentative="1">
      <w:start w:val="1"/>
      <w:numFmt w:val="bullet"/>
      <w:lvlText w:val=""/>
      <w:lvlJc w:val="left"/>
      <w:pPr>
        <w:ind w:left="7047" w:hanging="360"/>
      </w:pPr>
      <w:rPr>
        <w:rFonts w:ascii="Wingdings" w:hAnsi="Wingdings" w:hint="default"/>
      </w:rPr>
    </w:lvl>
  </w:abstractNum>
  <w:abstractNum w:abstractNumId="28" w15:restartNumberingAfterBreak="0">
    <w:nsid w:val="701A6ADC"/>
    <w:multiLevelType w:val="multilevel"/>
    <w:tmpl w:val="DE8EA8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1A463B1"/>
    <w:multiLevelType w:val="hybridMultilevel"/>
    <w:tmpl w:val="534E6E0C"/>
    <w:lvl w:ilvl="0" w:tplc="20000001">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30" w15:restartNumberingAfterBreak="0">
    <w:nsid w:val="72A44A91"/>
    <w:multiLevelType w:val="hybridMultilevel"/>
    <w:tmpl w:val="DDCA4B44"/>
    <w:lvl w:ilvl="0" w:tplc="D3C01C4C">
      <w:start w:val="1"/>
      <w:numFmt w:val="lowerLetter"/>
      <w:lvlText w:val="%1."/>
      <w:lvlJc w:val="left"/>
      <w:pPr>
        <w:ind w:left="720" w:hanging="360"/>
      </w:pPr>
    </w:lvl>
    <w:lvl w:ilvl="1" w:tplc="DCE83C36">
      <w:start w:val="1"/>
      <w:numFmt w:val="lowerLetter"/>
      <w:lvlText w:val="%2."/>
      <w:lvlJc w:val="left"/>
      <w:pPr>
        <w:ind w:left="720" w:hanging="360"/>
      </w:pPr>
    </w:lvl>
    <w:lvl w:ilvl="2" w:tplc="62C0C0D6">
      <w:start w:val="1"/>
      <w:numFmt w:val="lowerLetter"/>
      <w:lvlText w:val="%3."/>
      <w:lvlJc w:val="left"/>
      <w:pPr>
        <w:ind w:left="720" w:hanging="360"/>
      </w:pPr>
    </w:lvl>
    <w:lvl w:ilvl="3" w:tplc="7E1C603A">
      <w:start w:val="1"/>
      <w:numFmt w:val="lowerLetter"/>
      <w:lvlText w:val="%4."/>
      <w:lvlJc w:val="left"/>
      <w:pPr>
        <w:ind w:left="720" w:hanging="360"/>
      </w:pPr>
    </w:lvl>
    <w:lvl w:ilvl="4" w:tplc="F6E2DDA2">
      <w:start w:val="1"/>
      <w:numFmt w:val="lowerLetter"/>
      <w:lvlText w:val="%5."/>
      <w:lvlJc w:val="left"/>
      <w:pPr>
        <w:ind w:left="720" w:hanging="360"/>
      </w:pPr>
    </w:lvl>
    <w:lvl w:ilvl="5" w:tplc="3C4ED23A">
      <w:start w:val="1"/>
      <w:numFmt w:val="lowerLetter"/>
      <w:lvlText w:val="%6."/>
      <w:lvlJc w:val="left"/>
      <w:pPr>
        <w:ind w:left="720" w:hanging="360"/>
      </w:pPr>
    </w:lvl>
    <w:lvl w:ilvl="6" w:tplc="9482D94E">
      <w:start w:val="1"/>
      <w:numFmt w:val="lowerLetter"/>
      <w:lvlText w:val="%7."/>
      <w:lvlJc w:val="left"/>
      <w:pPr>
        <w:ind w:left="720" w:hanging="360"/>
      </w:pPr>
    </w:lvl>
    <w:lvl w:ilvl="7" w:tplc="04F692BA">
      <w:start w:val="1"/>
      <w:numFmt w:val="lowerLetter"/>
      <w:lvlText w:val="%8."/>
      <w:lvlJc w:val="left"/>
      <w:pPr>
        <w:ind w:left="720" w:hanging="360"/>
      </w:pPr>
    </w:lvl>
    <w:lvl w:ilvl="8" w:tplc="8A82FD88">
      <w:start w:val="1"/>
      <w:numFmt w:val="lowerLetter"/>
      <w:lvlText w:val="%9."/>
      <w:lvlJc w:val="left"/>
      <w:pPr>
        <w:ind w:left="720" w:hanging="360"/>
      </w:pPr>
    </w:lvl>
  </w:abstractNum>
  <w:abstractNum w:abstractNumId="31" w15:restartNumberingAfterBreak="0">
    <w:nsid w:val="7BEE2B50"/>
    <w:multiLevelType w:val="hybridMultilevel"/>
    <w:tmpl w:val="990843F6"/>
    <w:lvl w:ilvl="0" w:tplc="10000001">
      <w:start w:val="1"/>
      <w:numFmt w:val="bullet"/>
      <w:lvlText w:val=""/>
      <w:lvlJc w:val="left"/>
      <w:pPr>
        <w:ind w:left="1287" w:hanging="360"/>
      </w:pPr>
      <w:rPr>
        <w:rFonts w:ascii="Symbol" w:hAnsi="Symbol" w:hint="default"/>
      </w:rPr>
    </w:lvl>
    <w:lvl w:ilvl="1" w:tplc="10000003" w:tentative="1">
      <w:start w:val="1"/>
      <w:numFmt w:val="bullet"/>
      <w:lvlText w:val="o"/>
      <w:lvlJc w:val="left"/>
      <w:pPr>
        <w:ind w:left="2007" w:hanging="360"/>
      </w:pPr>
      <w:rPr>
        <w:rFonts w:ascii="Courier New" w:hAnsi="Courier New" w:cs="Courier New" w:hint="default"/>
      </w:rPr>
    </w:lvl>
    <w:lvl w:ilvl="2" w:tplc="10000005" w:tentative="1">
      <w:start w:val="1"/>
      <w:numFmt w:val="bullet"/>
      <w:lvlText w:val=""/>
      <w:lvlJc w:val="left"/>
      <w:pPr>
        <w:ind w:left="2727" w:hanging="360"/>
      </w:pPr>
      <w:rPr>
        <w:rFonts w:ascii="Wingdings" w:hAnsi="Wingdings" w:hint="default"/>
      </w:rPr>
    </w:lvl>
    <w:lvl w:ilvl="3" w:tplc="10000001" w:tentative="1">
      <w:start w:val="1"/>
      <w:numFmt w:val="bullet"/>
      <w:lvlText w:val=""/>
      <w:lvlJc w:val="left"/>
      <w:pPr>
        <w:ind w:left="3447" w:hanging="360"/>
      </w:pPr>
      <w:rPr>
        <w:rFonts w:ascii="Symbol" w:hAnsi="Symbol" w:hint="default"/>
      </w:rPr>
    </w:lvl>
    <w:lvl w:ilvl="4" w:tplc="10000003" w:tentative="1">
      <w:start w:val="1"/>
      <w:numFmt w:val="bullet"/>
      <w:lvlText w:val="o"/>
      <w:lvlJc w:val="left"/>
      <w:pPr>
        <w:ind w:left="4167" w:hanging="360"/>
      </w:pPr>
      <w:rPr>
        <w:rFonts w:ascii="Courier New" w:hAnsi="Courier New" w:cs="Courier New" w:hint="default"/>
      </w:rPr>
    </w:lvl>
    <w:lvl w:ilvl="5" w:tplc="10000005" w:tentative="1">
      <w:start w:val="1"/>
      <w:numFmt w:val="bullet"/>
      <w:lvlText w:val=""/>
      <w:lvlJc w:val="left"/>
      <w:pPr>
        <w:ind w:left="4887" w:hanging="360"/>
      </w:pPr>
      <w:rPr>
        <w:rFonts w:ascii="Wingdings" w:hAnsi="Wingdings" w:hint="default"/>
      </w:rPr>
    </w:lvl>
    <w:lvl w:ilvl="6" w:tplc="10000001" w:tentative="1">
      <w:start w:val="1"/>
      <w:numFmt w:val="bullet"/>
      <w:lvlText w:val=""/>
      <w:lvlJc w:val="left"/>
      <w:pPr>
        <w:ind w:left="5607" w:hanging="360"/>
      </w:pPr>
      <w:rPr>
        <w:rFonts w:ascii="Symbol" w:hAnsi="Symbol" w:hint="default"/>
      </w:rPr>
    </w:lvl>
    <w:lvl w:ilvl="7" w:tplc="10000003" w:tentative="1">
      <w:start w:val="1"/>
      <w:numFmt w:val="bullet"/>
      <w:lvlText w:val="o"/>
      <w:lvlJc w:val="left"/>
      <w:pPr>
        <w:ind w:left="6327" w:hanging="360"/>
      </w:pPr>
      <w:rPr>
        <w:rFonts w:ascii="Courier New" w:hAnsi="Courier New" w:cs="Courier New" w:hint="default"/>
      </w:rPr>
    </w:lvl>
    <w:lvl w:ilvl="8" w:tplc="10000005" w:tentative="1">
      <w:start w:val="1"/>
      <w:numFmt w:val="bullet"/>
      <w:lvlText w:val=""/>
      <w:lvlJc w:val="left"/>
      <w:pPr>
        <w:ind w:left="7047" w:hanging="360"/>
      </w:pPr>
      <w:rPr>
        <w:rFonts w:ascii="Wingdings" w:hAnsi="Wingdings" w:hint="default"/>
      </w:rPr>
    </w:lvl>
  </w:abstractNum>
  <w:num w:numId="1" w16cid:durableId="852694517">
    <w:abstractNumId w:val="18"/>
  </w:num>
  <w:num w:numId="2" w16cid:durableId="585530689">
    <w:abstractNumId w:val="25"/>
  </w:num>
  <w:num w:numId="3" w16cid:durableId="121196995">
    <w:abstractNumId w:val="21"/>
  </w:num>
  <w:num w:numId="4" w16cid:durableId="2098553593">
    <w:abstractNumId w:val="8"/>
  </w:num>
  <w:num w:numId="5" w16cid:durableId="324283576">
    <w:abstractNumId w:val="17"/>
  </w:num>
  <w:num w:numId="6" w16cid:durableId="913272431">
    <w:abstractNumId w:val="13"/>
  </w:num>
  <w:num w:numId="7" w16cid:durableId="436026507">
    <w:abstractNumId w:val="9"/>
  </w:num>
  <w:num w:numId="8" w16cid:durableId="1864124237">
    <w:abstractNumId w:val="24"/>
  </w:num>
  <w:num w:numId="9" w16cid:durableId="1922443983">
    <w:abstractNumId w:val="2"/>
  </w:num>
  <w:num w:numId="10" w16cid:durableId="1886328214">
    <w:abstractNumId w:val="28"/>
  </w:num>
  <w:num w:numId="11" w16cid:durableId="498926877">
    <w:abstractNumId w:val="26"/>
  </w:num>
  <w:num w:numId="12" w16cid:durableId="172695144">
    <w:abstractNumId w:val="19"/>
  </w:num>
  <w:num w:numId="13" w16cid:durableId="665479392">
    <w:abstractNumId w:val="0"/>
  </w:num>
  <w:num w:numId="14" w16cid:durableId="443571993">
    <w:abstractNumId w:val="5"/>
  </w:num>
  <w:num w:numId="15" w16cid:durableId="978002019">
    <w:abstractNumId w:val="12"/>
  </w:num>
  <w:num w:numId="16" w16cid:durableId="776749982">
    <w:abstractNumId w:val="15"/>
  </w:num>
  <w:num w:numId="17" w16cid:durableId="537666774">
    <w:abstractNumId w:val="3"/>
  </w:num>
  <w:num w:numId="18" w16cid:durableId="1913851409">
    <w:abstractNumId w:val="27"/>
  </w:num>
  <w:num w:numId="19" w16cid:durableId="148326994">
    <w:abstractNumId w:val="30"/>
  </w:num>
  <w:num w:numId="20" w16cid:durableId="423306990">
    <w:abstractNumId w:val="10"/>
  </w:num>
  <w:num w:numId="21" w16cid:durableId="1348023457">
    <w:abstractNumId w:val="16"/>
  </w:num>
  <w:num w:numId="22" w16cid:durableId="862936389">
    <w:abstractNumId w:val="31"/>
  </w:num>
  <w:num w:numId="23" w16cid:durableId="1083800120">
    <w:abstractNumId w:val="4"/>
  </w:num>
  <w:num w:numId="24" w16cid:durableId="735278206">
    <w:abstractNumId w:val="23"/>
  </w:num>
  <w:num w:numId="25" w16cid:durableId="1262296896">
    <w:abstractNumId w:val="24"/>
  </w:num>
  <w:num w:numId="26" w16cid:durableId="216401479">
    <w:abstractNumId w:val="24"/>
  </w:num>
  <w:num w:numId="27" w16cid:durableId="1149785408">
    <w:abstractNumId w:val="24"/>
  </w:num>
  <w:num w:numId="28" w16cid:durableId="103579100">
    <w:abstractNumId w:val="24"/>
  </w:num>
  <w:num w:numId="29" w16cid:durableId="916062778">
    <w:abstractNumId w:val="24"/>
  </w:num>
  <w:num w:numId="30" w16cid:durableId="952446147">
    <w:abstractNumId w:val="24"/>
  </w:num>
  <w:num w:numId="31" w16cid:durableId="1715033784">
    <w:abstractNumId w:val="24"/>
  </w:num>
  <w:num w:numId="32" w16cid:durableId="401006">
    <w:abstractNumId w:val="24"/>
  </w:num>
  <w:num w:numId="33" w16cid:durableId="1607887234">
    <w:abstractNumId w:val="24"/>
  </w:num>
  <w:num w:numId="34" w16cid:durableId="1917395837">
    <w:abstractNumId w:val="24"/>
  </w:num>
  <w:num w:numId="35" w16cid:durableId="286200431">
    <w:abstractNumId w:val="24"/>
  </w:num>
  <w:num w:numId="36" w16cid:durableId="1808859502">
    <w:abstractNumId w:val="24"/>
  </w:num>
  <w:num w:numId="37" w16cid:durableId="2098550842">
    <w:abstractNumId w:val="24"/>
  </w:num>
  <w:num w:numId="38" w16cid:durableId="1868760001">
    <w:abstractNumId w:val="22"/>
  </w:num>
  <w:num w:numId="39" w16cid:durableId="1044064124">
    <w:abstractNumId w:val="20"/>
  </w:num>
  <w:num w:numId="40" w16cid:durableId="1828788479">
    <w:abstractNumId w:val="1"/>
  </w:num>
  <w:num w:numId="41" w16cid:durableId="940528315">
    <w:abstractNumId w:val="7"/>
  </w:num>
  <w:num w:numId="42" w16cid:durableId="786849320">
    <w:abstractNumId w:val="29"/>
  </w:num>
  <w:num w:numId="43" w16cid:durableId="1367026792">
    <w:abstractNumId w:val="11"/>
  </w:num>
  <w:num w:numId="44" w16cid:durableId="1311322418">
    <w:abstractNumId w:val="6"/>
  </w:num>
  <w:num w:numId="45" w16cid:durableId="747770221">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MzMjQ3sDQzNTEyMDBX0lEKTi0uzszPAykwrAUAXa21HCwAAAA="/>
  </w:docVars>
  <w:rsids>
    <w:rsidRoot w:val="00F4723F"/>
    <w:rsid w:val="0000015C"/>
    <w:rsid w:val="000001DC"/>
    <w:rsid w:val="0000035F"/>
    <w:rsid w:val="00001485"/>
    <w:rsid w:val="00001FF0"/>
    <w:rsid w:val="0000209D"/>
    <w:rsid w:val="000028FB"/>
    <w:rsid w:val="0000330A"/>
    <w:rsid w:val="00003A6D"/>
    <w:rsid w:val="00003B58"/>
    <w:rsid w:val="00003E3B"/>
    <w:rsid w:val="000042E4"/>
    <w:rsid w:val="00004435"/>
    <w:rsid w:val="000045C8"/>
    <w:rsid w:val="00004CE9"/>
    <w:rsid w:val="00004E78"/>
    <w:rsid w:val="00004F20"/>
    <w:rsid w:val="000050BF"/>
    <w:rsid w:val="0000527D"/>
    <w:rsid w:val="0000550F"/>
    <w:rsid w:val="000061FB"/>
    <w:rsid w:val="00006972"/>
    <w:rsid w:val="00006DE0"/>
    <w:rsid w:val="000070EC"/>
    <w:rsid w:val="0000735D"/>
    <w:rsid w:val="000073CF"/>
    <w:rsid w:val="00007604"/>
    <w:rsid w:val="000078F6"/>
    <w:rsid w:val="00007DF2"/>
    <w:rsid w:val="00010281"/>
    <w:rsid w:val="00010891"/>
    <w:rsid w:val="0001108F"/>
    <w:rsid w:val="00011499"/>
    <w:rsid w:val="000116FA"/>
    <w:rsid w:val="00011C80"/>
    <w:rsid w:val="00012240"/>
    <w:rsid w:val="00012E4A"/>
    <w:rsid w:val="000132A4"/>
    <w:rsid w:val="000139FD"/>
    <w:rsid w:val="00013B3F"/>
    <w:rsid w:val="00013F47"/>
    <w:rsid w:val="000144FA"/>
    <w:rsid w:val="00014C26"/>
    <w:rsid w:val="00014F7D"/>
    <w:rsid w:val="00014FBA"/>
    <w:rsid w:val="000154C2"/>
    <w:rsid w:val="00015556"/>
    <w:rsid w:val="00015691"/>
    <w:rsid w:val="000159DA"/>
    <w:rsid w:val="00015CFF"/>
    <w:rsid w:val="00015D18"/>
    <w:rsid w:val="000168F8"/>
    <w:rsid w:val="000169DB"/>
    <w:rsid w:val="00016F01"/>
    <w:rsid w:val="00017200"/>
    <w:rsid w:val="0001724C"/>
    <w:rsid w:val="00017788"/>
    <w:rsid w:val="000178F3"/>
    <w:rsid w:val="00020433"/>
    <w:rsid w:val="00020709"/>
    <w:rsid w:val="00020EC9"/>
    <w:rsid w:val="000213A1"/>
    <w:rsid w:val="00021A8A"/>
    <w:rsid w:val="00021CA1"/>
    <w:rsid w:val="00022038"/>
    <w:rsid w:val="00022112"/>
    <w:rsid w:val="00022863"/>
    <w:rsid w:val="00022AC5"/>
    <w:rsid w:val="0002341A"/>
    <w:rsid w:val="000234F2"/>
    <w:rsid w:val="000235DC"/>
    <w:rsid w:val="00023729"/>
    <w:rsid w:val="00023D64"/>
    <w:rsid w:val="00024D3C"/>
    <w:rsid w:val="00024DBD"/>
    <w:rsid w:val="00024FF8"/>
    <w:rsid w:val="00025027"/>
    <w:rsid w:val="00025117"/>
    <w:rsid w:val="00025121"/>
    <w:rsid w:val="000252D9"/>
    <w:rsid w:val="00025506"/>
    <w:rsid w:val="00026258"/>
    <w:rsid w:val="000264A1"/>
    <w:rsid w:val="00026CB3"/>
    <w:rsid w:val="00027022"/>
    <w:rsid w:val="00027887"/>
    <w:rsid w:val="00027B98"/>
    <w:rsid w:val="00027E44"/>
    <w:rsid w:val="000302C0"/>
    <w:rsid w:val="00030581"/>
    <w:rsid w:val="000307F3"/>
    <w:rsid w:val="00030D22"/>
    <w:rsid w:val="00030F3A"/>
    <w:rsid w:val="00030F40"/>
    <w:rsid w:val="000310DA"/>
    <w:rsid w:val="00031213"/>
    <w:rsid w:val="000313C4"/>
    <w:rsid w:val="00031598"/>
    <w:rsid w:val="000316B9"/>
    <w:rsid w:val="00032603"/>
    <w:rsid w:val="00032799"/>
    <w:rsid w:val="00032865"/>
    <w:rsid w:val="000328DF"/>
    <w:rsid w:val="00032931"/>
    <w:rsid w:val="000329D7"/>
    <w:rsid w:val="00033589"/>
    <w:rsid w:val="00034015"/>
    <w:rsid w:val="000341D2"/>
    <w:rsid w:val="00034575"/>
    <w:rsid w:val="000358E9"/>
    <w:rsid w:val="000360DC"/>
    <w:rsid w:val="000361A5"/>
    <w:rsid w:val="000364AF"/>
    <w:rsid w:val="00036A42"/>
    <w:rsid w:val="00036E1B"/>
    <w:rsid w:val="00037161"/>
    <w:rsid w:val="000371E9"/>
    <w:rsid w:val="0003771E"/>
    <w:rsid w:val="00037737"/>
    <w:rsid w:val="00037ABA"/>
    <w:rsid w:val="00037D86"/>
    <w:rsid w:val="00037D9F"/>
    <w:rsid w:val="000401EB"/>
    <w:rsid w:val="00040A92"/>
    <w:rsid w:val="00040CAB"/>
    <w:rsid w:val="000410D8"/>
    <w:rsid w:val="000419A4"/>
    <w:rsid w:val="00041E9D"/>
    <w:rsid w:val="00041F42"/>
    <w:rsid w:val="0004210F"/>
    <w:rsid w:val="00042852"/>
    <w:rsid w:val="00042AC3"/>
    <w:rsid w:val="00042B6F"/>
    <w:rsid w:val="00042C65"/>
    <w:rsid w:val="00042CE0"/>
    <w:rsid w:val="00042F61"/>
    <w:rsid w:val="000430D3"/>
    <w:rsid w:val="0004336E"/>
    <w:rsid w:val="00043951"/>
    <w:rsid w:val="00044064"/>
    <w:rsid w:val="0004425F"/>
    <w:rsid w:val="000449FD"/>
    <w:rsid w:val="00044A7B"/>
    <w:rsid w:val="00044B5E"/>
    <w:rsid w:val="00044B6A"/>
    <w:rsid w:val="00045359"/>
    <w:rsid w:val="00045512"/>
    <w:rsid w:val="00045609"/>
    <w:rsid w:val="000474CB"/>
    <w:rsid w:val="0004771A"/>
    <w:rsid w:val="00047771"/>
    <w:rsid w:val="00047F3B"/>
    <w:rsid w:val="0005007E"/>
    <w:rsid w:val="00050098"/>
    <w:rsid w:val="0005079F"/>
    <w:rsid w:val="00050B28"/>
    <w:rsid w:val="00050CCD"/>
    <w:rsid w:val="00050D0E"/>
    <w:rsid w:val="000510E5"/>
    <w:rsid w:val="00051102"/>
    <w:rsid w:val="000517B6"/>
    <w:rsid w:val="00051A3E"/>
    <w:rsid w:val="00051C1D"/>
    <w:rsid w:val="0005256E"/>
    <w:rsid w:val="00052A11"/>
    <w:rsid w:val="00052A72"/>
    <w:rsid w:val="00052C40"/>
    <w:rsid w:val="00053460"/>
    <w:rsid w:val="00053606"/>
    <w:rsid w:val="00053850"/>
    <w:rsid w:val="000542BA"/>
    <w:rsid w:val="00054319"/>
    <w:rsid w:val="000543FF"/>
    <w:rsid w:val="000544EF"/>
    <w:rsid w:val="0005465C"/>
    <w:rsid w:val="0005477C"/>
    <w:rsid w:val="00054BDF"/>
    <w:rsid w:val="00054DA5"/>
    <w:rsid w:val="000552C0"/>
    <w:rsid w:val="000552E1"/>
    <w:rsid w:val="0005546F"/>
    <w:rsid w:val="00055A20"/>
    <w:rsid w:val="00055CDA"/>
    <w:rsid w:val="000574E4"/>
    <w:rsid w:val="00057A55"/>
    <w:rsid w:val="00057A76"/>
    <w:rsid w:val="00057D8A"/>
    <w:rsid w:val="000600F5"/>
    <w:rsid w:val="00060157"/>
    <w:rsid w:val="00060524"/>
    <w:rsid w:val="000606DE"/>
    <w:rsid w:val="00060E0E"/>
    <w:rsid w:val="000617A4"/>
    <w:rsid w:val="00061BC2"/>
    <w:rsid w:val="00061C4C"/>
    <w:rsid w:val="0006224C"/>
    <w:rsid w:val="0006236C"/>
    <w:rsid w:val="0006272A"/>
    <w:rsid w:val="00062B7A"/>
    <w:rsid w:val="00062FC7"/>
    <w:rsid w:val="00063049"/>
    <w:rsid w:val="000634DA"/>
    <w:rsid w:val="00063797"/>
    <w:rsid w:val="00063A58"/>
    <w:rsid w:val="00063E1E"/>
    <w:rsid w:val="000646E4"/>
    <w:rsid w:val="00064AB6"/>
    <w:rsid w:val="00064DA5"/>
    <w:rsid w:val="000650EB"/>
    <w:rsid w:val="0006535D"/>
    <w:rsid w:val="00065D64"/>
    <w:rsid w:val="00065E67"/>
    <w:rsid w:val="00066288"/>
    <w:rsid w:val="000668F0"/>
    <w:rsid w:val="00066C54"/>
    <w:rsid w:val="00066F89"/>
    <w:rsid w:val="000670D2"/>
    <w:rsid w:val="000674BA"/>
    <w:rsid w:val="00067DC6"/>
    <w:rsid w:val="00070913"/>
    <w:rsid w:val="00071070"/>
    <w:rsid w:val="0007154B"/>
    <w:rsid w:val="00071558"/>
    <w:rsid w:val="00071878"/>
    <w:rsid w:val="00071EA3"/>
    <w:rsid w:val="00072298"/>
    <w:rsid w:val="00072B69"/>
    <w:rsid w:val="000732E5"/>
    <w:rsid w:val="000734B5"/>
    <w:rsid w:val="00073BE8"/>
    <w:rsid w:val="0007402C"/>
    <w:rsid w:val="00074E3C"/>
    <w:rsid w:val="00075034"/>
    <w:rsid w:val="00075FF7"/>
    <w:rsid w:val="0007600A"/>
    <w:rsid w:val="0007720D"/>
    <w:rsid w:val="000779C2"/>
    <w:rsid w:val="00077A4A"/>
    <w:rsid w:val="00077A81"/>
    <w:rsid w:val="00077BC6"/>
    <w:rsid w:val="000800A2"/>
    <w:rsid w:val="00080780"/>
    <w:rsid w:val="00080A18"/>
    <w:rsid w:val="00080A7B"/>
    <w:rsid w:val="00080AE5"/>
    <w:rsid w:val="00081292"/>
    <w:rsid w:val="00081373"/>
    <w:rsid w:val="00081780"/>
    <w:rsid w:val="00081B06"/>
    <w:rsid w:val="00081D83"/>
    <w:rsid w:val="00082658"/>
    <w:rsid w:val="0008273F"/>
    <w:rsid w:val="00082C0A"/>
    <w:rsid w:val="00083911"/>
    <w:rsid w:val="00083C55"/>
    <w:rsid w:val="00083CA1"/>
    <w:rsid w:val="00083D45"/>
    <w:rsid w:val="00084266"/>
    <w:rsid w:val="00084374"/>
    <w:rsid w:val="000847E0"/>
    <w:rsid w:val="0008488A"/>
    <w:rsid w:val="00084CEB"/>
    <w:rsid w:val="00084DCE"/>
    <w:rsid w:val="0008556C"/>
    <w:rsid w:val="000855B9"/>
    <w:rsid w:val="00085B40"/>
    <w:rsid w:val="00085E52"/>
    <w:rsid w:val="00086F8B"/>
    <w:rsid w:val="00087A1E"/>
    <w:rsid w:val="00090122"/>
    <w:rsid w:val="00090520"/>
    <w:rsid w:val="00090C3E"/>
    <w:rsid w:val="000912F1"/>
    <w:rsid w:val="00091337"/>
    <w:rsid w:val="00091576"/>
    <w:rsid w:val="000917B7"/>
    <w:rsid w:val="00091B86"/>
    <w:rsid w:val="00092281"/>
    <w:rsid w:val="000934AE"/>
    <w:rsid w:val="0009374C"/>
    <w:rsid w:val="00093C49"/>
    <w:rsid w:val="000944D3"/>
    <w:rsid w:val="00094A0F"/>
    <w:rsid w:val="0009515D"/>
    <w:rsid w:val="000951A5"/>
    <w:rsid w:val="000952E0"/>
    <w:rsid w:val="00095C05"/>
    <w:rsid w:val="00095C90"/>
    <w:rsid w:val="000960F8"/>
    <w:rsid w:val="0009619D"/>
    <w:rsid w:val="0009643E"/>
    <w:rsid w:val="00097156"/>
    <w:rsid w:val="000974FE"/>
    <w:rsid w:val="00097AD7"/>
    <w:rsid w:val="000A0394"/>
    <w:rsid w:val="000A05D8"/>
    <w:rsid w:val="000A0F28"/>
    <w:rsid w:val="000A0F62"/>
    <w:rsid w:val="000A16E1"/>
    <w:rsid w:val="000A16FD"/>
    <w:rsid w:val="000A1AA0"/>
    <w:rsid w:val="000A1D9A"/>
    <w:rsid w:val="000A1DB2"/>
    <w:rsid w:val="000A204C"/>
    <w:rsid w:val="000A21E6"/>
    <w:rsid w:val="000A2B50"/>
    <w:rsid w:val="000A37CC"/>
    <w:rsid w:val="000A3CD7"/>
    <w:rsid w:val="000A3FCD"/>
    <w:rsid w:val="000A4580"/>
    <w:rsid w:val="000A5D13"/>
    <w:rsid w:val="000A5E30"/>
    <w:rsid w:val="000A6519"/>
    <w:rsid w:val="000A7364"/>
    <w:rsid w:val="000A77F2"/>
    <w:rsid w:val="000B05C2"/>
    <w:rsid w:val="000B0757"/>
    <w:rsid w:val="000B0D7E"/>
    <w:rsid w:val="000B0DFA"/>
    <w:rsid w:val="000B137B"/>
    <w:rsid w:val="000B14A7"/>
    <w:rsid w:val="000B1536"/>
    <w:rsid w:val="000B2C0A"/>
    <w:rsid w:val="000B2C61"/>
    <w:rsid w:val="000B2F51"/>
    <w:rsid w:val="000B3353"/>
    <w:rsid w:val="000B33A7"/>
    <w:rsid w:val="000B3908"/>
    <w:rsid w:val="000B3E77"/>
    <w:rsid w:val="000B4481"/>
    <w:rsid w:val="000B45EF"/>
    <w:rsid w:val="000B4E32"/>
    <w:rsid w:val="000B5DF7"/>
    <w:rsid w:val="000B6304"/>
    <w:rsid w:val="000B63A8"/>
    <w:rsid w:val="000B6A08"/>
    <w:rsid w:val="000B6BED"/>
    <w:rsid w:val="000B6E87"/>
    <w:rsid w:val="000B7623"/>
    <w:rsid w:val="000B78A4"/>
    <w:rsid w:val="000B7F42"/>
    <w:rsid w:val="000C02AE"/>
    <w:rsid w:val="000C0539"/>
    <w:rsid w:val="000C0A9C"/>
    <w:rsid w:val="000C1AE7"/>
    <w:rsid w:val="000C2400"/>
    <w:rsid w:val="000C2532"/>
    <w:rsid w:val="000C26DA"/>
    <w:rsid w:val="000C32DB"/>
    <w:rsid w:val="000C33B2"/>
    <w:rsid w:val="000C37DE"/>
    <w:rsid w:val="000C38FE"/>
    <w:rsid w:val="000C3DB6"/>
    <w:rsid w:val="000C4194"/>
    <w:rsid w:val="000C4952"/>
    <w:rsid w:val="000C4F80"/>
    <w:rsid w:val="000C50B3"/>
    <w:rsid w:val="000C56D2"/>
    <w:rsid w:val="000C5A85"/>
    <w:rsid w:val="000C5E33"/>
    <w:rsid w:val="000C5EBA"/>
    <w:rsid w:val="000C61E8"/>
    <w:rsid w:val="000C64CF"/>
    <w:rsid w:val="000C68D6"/>
    <w:rsid w:val="000C708D"/>
    <w:rsid w:val="000C715C"/>
    <w:rsid w:val="000C71E3"/>
    <w:rsid w:val="000C729C"/>
    <w:rsid w:val="000C72EA"/>
    <w:rsid w:val="000C7C92"/>
    <w:rsid w:val="000C7F8C"/>
    <w:rsid w:val="000D00C4"/>
    <w:rsid w:val="000D0610"/>
    <w:rsid w:val="000D084E"/>
    <w:rsid w:val="000D09B6"/>
    <w:rsid w:val="000D0ADD"/>
    <w:rsid w:val="000D0D44"/>
    <w:rsid w:val="000D0D86"/>
    <w:rsid w:val="000D1183"/>
    <w:rsid w:val="000D1273"/>
    <w:rsid w:val="000D205B"/>
    <w:rsid w:val="000D2D35"/>
    <w:rsid w:val="000D3109"/>
    <w:rsid w:val="000D3826"/>
    <w:rsid w:val="000D391D"/>
    <w:rsid w:val="000D3C62"/>
    <w:rsid w:val="000D49F4"/>
    <w:rsid w:val="000D4AB9"/>
    <w:rsid w:val="000D4EB4"/>
    <w:rsid w:val="000D5050"/>
    <w:rsid w:val="000D54F0"/>
    <w:rsid w:val="000D56ED"/>
    <w:rsid w:val="000D57DA"/>
    <w:rsid w:val="000D5FFE"/>
    <w:rsid w:val="000D63CF"/>
    <w:rsid w:val="000D6C2C"/>
    <w:rsid w:val="000D7045"/>
    <w:rsid w:val="000D784E"/>
    <w:rsid w:val="000D7A9F"/>
    <w:rsid w:val="000D7E28"/>
    <w:rsid w:val="000E05BC"/>
    <w:rsid w:val="000E18BE"/>
    <w:rsid w:val="000E1DAD"/>
    <w:rsid w:val="000E1F1D"/>
    <w:rsid w:val="000E24F7"/>
    <w:rsid w:val="000E3034"/>
    <w:rsid w:val="000E399F"/>
    <w:rsid w:val="000E39F0"/>
    <w:rsid w:val="000E51A3"/>
    <w:rsid w:val="000E585D"/>
    <w:rsid w:val="000E5AC8"/>
    <w:rsid w:val="000E5AEC"/>
    <w:rsid w:val="000E5C38"/>
    <w:rsid w:val="000E6E22"/>
    <w:rsid w:val="000E6FAC"/>
    <w:rsid w:val="000E7096"/>
    <w:rsid w:val="000E71FA"/>
    <w:rsid w:val="000E7D88"/>
    <w:rsid w:val="000E7EF6"/>
    <w:rsid w:val="000F0767"/>
    <w:rsid w:val="000F0A85"/>
    <w:rsid w:val="000F0AD4"/>
    <w:rsid w:val="000F0E7A"/>
    <w:rsid w:val="000F1A4D"/>
    <w:rsid w:val="000F1FBE"/>
    <w:rsid w:val="000F2197"/>
    <w:rsid w:val="000F2CA4"/>
    <w:rsid w:val="000F2DCA"/>
    <w:rsid w:val="000F3400"/>
    <w:rsid w:val="000F3DCF"/>
    <w:rsid w:val="000F41D9"/>
    <w:rsid w:val="000F4465"/>
    <w:rsid w:val="000F4B2B"/>
    <w:rsid w:val="000F56F9"/>
    <w:rsid w:val="000F574D"/>
    <w:rsid w:val="000F582A"/>
    <w:rsid w:val="000F5C27"/>
    <w:rsid w:val="000F5CC1"/>
    <w:rsid w:val="000F658D"/>
    <w:rsid w:val="000F6DA8"/>
    <w:rsid w:val="000F71DA"/>
    <w:rsid w:val="000F7404"/>
    <w:rsid w:val="000F76EC"/>
    <w:rsid w:val="000F7729"/>
    <w:rsid w:val="001002B1"/>
    <w:rsid w:val="001003D0"/>
    <w:rsid w:val="00100B99"/>
    <w:rsid w:val="00100FAA"/>
    <w:rsid w:val="001015B1"/>
    <w:rsid w:val="00102238"/>
    <w:rsid w:val="00102292"/>
    <w:rsid w:val="00102CFC"/>
    <w:rsid w:val="00102D2F"/>
    <w:rsid w:val="0010365F"/>
    <w:rsid w:val="00103956"/>
    <w:rsid w:val="00103A4B"/>
    <w:rsid w:val="00105059"/>
    <w:rsid w:val="00105347"/>
    <w:rsid w:val="001054CE"/>
    <w:rsid w:val="001057C0"/>
    <w:rsid w:val="00105A6D"/>
    <w:rsid w:val="00105DC2"/>
    <w:rsid w:val="0010605D"/>
    <w:rsid w:val="00106360"/>
    <w:rsid w:val="00106417"/>
    <w:rsid w:val="0010656E"/>
    <w:rsid w:val="00106A81"/>
    <w:rsid w:val="00106E3A"/>
    <w:rsid w:val="00107A9C"/>
    <w:rsid w:val="001109B4"/>
    <w:rsid w:val="0011112D"/>
    <w:rsid w:val="001114C5"/>
    <w:rsid w:val="001116D1"/>
    <w:rsid w:val="001121E9"/>
    <w:rsid w:val="0011249E"/>
    <w:rsid w:val="00112620"/>
    <w:rsid w:val="001126CC"/>
    <w:rsid w:val="0011283F"/>
    <w:rsid w:val="00112AFF"/>
    <w:rsid w:val="00112E42"/>
    <w:rsid w:val="001131EA"/>
    <w:rsid w:val="001139CA"/>
    <w:rsid w:val="00113B13"/>
    <w:rsid w:val="00114116"/>
    <w:rsid w:val="001146EC"/>
    <w:rsid w:val="001152B5"/>
    <w:rsid w:val="00115D6A"/>
    <w:rsid w:val="001168D2"/>
    <w:rsid w:val="00117072"/>
    <w:rsid w:val="00117E61"/>
    <w:rsid w:val="001201F3"/>
    <w:rsid w:val="0012067F"/>
    <w:rsid w:val="00120DBF"/>
    <w:rsid w:val="00120E13"/>
    <w:rsid w:val="00121034"/>
    <w:rsid w:val="001217BE"/>
    <w:rsid w:val="00121802"/>
    <w:rsid w:val="00121AB6"/>
    <w:rsid w:val="00121F98"/>
    <w:rsid w:val="00121FA0"/>
    <w:rsid w:val="001220E8"/>
    <w:rsid w:val="0012259E"/>
    <w:rsid w:val="00122656"/>
    <w:rsid w:val="00122E81"/>
    <w:rsid w:val="001233BF"/>
    <w:rsid w:val="0012340D"/>
    <w:rsid w:val="00123643"/>
    <w:rsid w:val="00123807"/>
    <w:rsid w:val="00123ABD"/>
    <w:rsid w:val="0012415F"/>
    <w:rsid w:val="001242B6"/>
    <w:rsid w:val="00124845"/>
    <w:rsid w:val="001249AD"/>
    <w:rsid w:val="00124AC0"/>
    <w:rsid w:val="00124BCD"/>
    <w:rsid w:val="00124C0D"/>
    <w:rsid w:val="00124E21"/>
    <w:rsid w:val="00124EE8"/>
    <w:rsid w:val="001262CB"/>
    <w:rsid w:val="001265E8"/>
    <w:rsid w:val="00126E15"/>
    <w:rsid w:val="00127523"/>
    <w:rsid w:val="00127756"/>
    <w:rsid w:val="00127EEC"/>
    <w:rsid w:val="00130646"/>
    <w:rsid w:val="00130647"/>
    <w:rsid w:val="0013148C"/>
    <w:rsid w:val="0013153F"/>
    <w:rsid w:val="00131C0D"/>
    <w:rsid w:val="00131E47"/>
    <w:rsid w:val="001323ED"/>
    <w:rsid w:val="00132D0A"/>
    <w:rsid w:val="00132FFC"/>
    <w:rsid w:val="00133630"/>
    <w:rsid w:val="00133815"/>
    <w:rsid w:val="00134113"/>
    <w:rsid w:val="001345EC"/>
    <w:rsid w:val="00134E54"/>
    <w:rsid w:val="0013599B"/>
    <w:rsid w:val="00135CAD"/>
    <w:rsid w:val="00136513"/>
    <w:rsid w:val="00137576"/>
    <w:rsid w:val="001379B0"/>
    <w:rsid w:val="00140BA1"/>
    <w:rsid w:val="00140D7A"/>
    <w:rsid w:val="00141206"/>
    <w:rsid w:val="00141D3E"/>
    <w:rsid w:val="00142142"/>
    <w:rsid w:val="0014216A"/>
    <w:rsid w:val="001425A8"/>
    <w:rsid w:val="00142A25"/>
    <w:rsid w:val="00143EF2"/>
    <w:rsid w:val="001444D3"/>
    <w:rsid w:val="00144B89"/>
    <w:rsid w:val="00145424"/>
    <w:rsid w:val="0014558F"/>
    <w:rsid w:val="00146027"/>
    <w:rsid w:val="00146210"/>
    <w:rsid w:val="001462D0"/>
    <w:rsid w:val="00146C96"/>
    <w:rsid w:val="00147226"/>
    <w:rsid w:val="0014723E"/>
    <w:rsid w:val="00147336"/>
    <w:rsid w:val="00147B64"/>
    <w:rsid w:val="001505A8"/>
    <w:rsid w:val="0015075F"/>
    <w:rsid w:val="00150773"/>
    <w:rsid w:val="00150CBA"/>
    <w:rsid w:val="00150F26"/>
    <w:rsid w:val="00150FBA"/>
    <w:rsid w:val="00151670"/>
    <w:rsid w:val="00151BA3"/>
    <w:rsid w:val="001520A7"/>
    <w:rsid w:val="00152224"/>
    <w:rsid w:val="00154E8A"/>
    <w:rsid w:val="00154FDA"/>
    <w:rsid w:val="001559E4"/>
    <w:rsid w:val="00155A86"/>
    <w:rsid w:val="00155E3F"/>
    <w:rsid w:val="001561A1"/>
    <w:rsid w:val="0015696D"/>
    <w:rsid w:val="00156F9C"/>
    <w:rsid w:val="0015728F"/>
    <w:rsid w:val="00157991"/>
    <w:rsid w:val="00157B8A"/>
    <w:rsid w:val="00161323"/>
    <w:rsid w:val="0016174E"/>
    <w:rsid w:val="001618A0"/>
    <w:rsid w:val="001619FA"/>
    <w:rsid w:val="001625D5"/>
    <w:rsid w:val="00162A9A"/>
    <w:rsid w:val="00162C0F"/>
    <w:rsid w:val="00162CB8"/>
    <w:rsid w:val="001633BE"/>
    <w:rsid w:val="0016343F"/>
    <w:rsid w:val="00163522"/>
    <w:rsid w:val="00163523"/>
    <w:rsid w:val="00163758"/>
    <w:rsid w:val="00163C86"/>
    <w:rsid w:val="001640DA"/>
    <w:rsid w:val="0016411F"/>
    <w:rsid w:val="00164667"/>
    <w:rsid w:val="00164E38"/>
    <w:rsid w:val="00165227"/>
    <w:rsid w:val="001658A9"/>
    <w:rsid w:val="00166A3F"/>
    <w:rsid w:val="00166C1E"/>
    <w:rsid w:val="0016709D"/>
    <w:rsid w:val="00167127"/>
    <w:rsid w:val="00167607"/>
    <w:rsid w:val="001678D7"/>
    <w:rsid w:val="00167D38"/>
    <w:rsid w:val="00167DBA"/>
    <w:rsid w:val="0017067B"/>
    <w:rsid w:val="001708CF"/>
    <w:rsid w:val="00170CAE"/>
    <w:rsid w:val="00171222"/>
    <w:rsid w:val="001718F9"/>
    <w:rsid w:val="00171B70"/>
    <w:rsid w:val="00171DCD"/>
    <w:rsid w:val="00172733"/>
    <w:rsid w:val="001727F5"/>
    <w:rsid w:val="00172B20"/>
    <w:rsid w:val="00172F3C"/>
    <w:rsid w:val="00173044"/>
    <w:rsid w:val="001730F7"/>
    <w:rsid w:val="001738F0"/>
    <w:rsid w:val="00174195"/>
    <w:rsid w:val="001742C6"/>
    <w:rsid w:val="0017447A"/>
    <w:rsid w:val="00175559"/>
    <w:rsid w:val="00175612"/>
    <w:rsid w:val="00175EA0"/>
    <w:rsid w:val="00175F08"/>
    <w:rsid w:val="00175F61"/>
    <w:rsid w:val="0017664A"/>
    <w:rsid w:val="001771B8"/>
    <w:rsid w:val="00180488"/>
    <w:rsid w:val="001809F1"/>
    <w:rsid w:val="00180A53"/>
    <w:rsid w:val="00180CD3"/>
    <w:rsid w:val="00180F9D"/>
    <w:rsid w:val="0018156D"/>
    <w:rsid w:val="001818CA"/>
    <w:rsid w:val="00181CF2"/>
    <w:rsid w:val="00182424"/>
    <w:rsid w:val="00182558"/>
    <w:rsid w:val="00182813"/>
    <w:rsid w:val="00182895"/>
    <w:rsid w:val="00182CB3"/>
    <w:rsid w:val="00182F88"/>
    <w:rsid w:val="0018318E"/>
    <w:rsid w:val="00183735"/>
    <w:rsid w:val="00183CFD"/>
    <w:rsid w:val="00184313"/>
    <w:rsid w:val="0018459D"/>
    <w:rsid w:val="00184E24"/>
    <w:rsid w:val="001854E4"/>
    <w:rsid w:val="0018597D"/>
    <w:rsid w:val="00185A5A"/>
    <w:rsid w:val="00185A5F"/>
    <w:rsid w:val="00185C7C"/>
    <w:rsid w:val="00185DE5"/>
    <w:rsid w:val="00186090"/>
    <w:rsid w:val="00186262"/>
    <w:rsid w:val="001866FC"/>
    <w:rsid w:val="00186783"/>
    <w:rsid w:val="00187378"/>
    <w:rsid w:val="0019000D"/>
    <w:rsid w:val="001901F1"/>
    <w:rsid w:val="00190313"/>
    <w:rsid w:val="00190B88"/>
    <w:rsid w:val="00191426"/>
    <w:rsid w:val="001915E3"/>
    <w:rsid w:val="00191851"/>
    <w:rsid w:val="001918CE"/>
    <w:rsid w:val="001919BD"/>
    <w:rsid w:val="00191A96"/>
    <w:rsid w:val="00191AAD"/>
    <w:rsid w:val="0019217A"/>
    <w:rsid w:val="00192223"/>
    <w:rsid w:val="00192411"/>
    <w:rsid w:val="0019283C"/>
    <w:rsid w:val="001930F8"/>
    <w:rsid w:val="00193101"/>
    <w:rsid w:val="00193376"/>
    <w:rsid w:val="0019394A"/>
    <w:rsid w:val="0019400B"/>
    <w:rsid w:val="0019417C"/>
    <w:rsid w:val="00194259"/>
    <w:rsid w:val="0019439B"/>
    <w:rsid w:val="00194D2A"/>
    <w:rsid w:val="0019690F"/>
    <w:rsid w:val="00197BC4"/>
    <w:rsid w:val="00197DE3"/>
    <w:rsid w:val="00197FFB"/>
    <w:rsid w:val="001A0197"/>
    <w:rsid w:val="001A022B"/>
    <w:rsid w:val="001A04A8"/>
    <w:rsid w:val="001A0FEE"/>
    <w:rsid w:val="001A1449"/>
    <w:rsid w:val="001A1954"/>
    <w:rsid w:val="001A200C"/>
    <w:rsid w:val="001A2105"/>
    <w:rsid w:val="001A27CC"/>
    <w:rsid w:val="001A29B0"/>
    <w:rsid w:val="001A317A"/>
    <w:rsid w:val="001A3614"/>
    <w:rsid w:val="001A3656"/>
    <w:rsid w:val="001A3CCD"/>
    <w:rsid w:val="001A406E"/>
    <w:rsid w:val="001A4A39"/>
    <w:rsid w:val="001A4AB1"/>
    <w:rsid w:val="001A582A"/>
    <w:rsid w:val="001A6C85"/>
    <w:rsid w:val="001A73A1"/>
    <w:rsid w:val="001A7ABF"/>
    <w:rsid w:val="001B049D"/>
    <w:rsid w:val="001B096F"/>
    <w:rsid w:val="001B1112"/>
    <w:rsid w:val="001B1278"/>
    <w:rsid w:val="001B19FE"/>
    <w:rsid w:val="001B1D57"/>
    <w:rsid w:val="001B1FE3"/>
    <w:rsid w:val="001B2062"/>
    <w:rsid w:val="001B22BA"/>
    <w:rsid w:val="001B238A"/>
    <w:rsid w:val="001B2598"/>
    <w:rsid w:val="001B26B6"/>
    <w:rsid w:val="001B26D4"/>
    <w:rsid w:val="001B2C3A"/>
    <w:rsid w:val="001B33F9"/>
    <w:rsid w:val="001B345C"/>
    <w:rsid w:val="001B4014"/>
    <w:rsid w:val="001B49A7"/>
    <w:rsid w:val="001B54D1"/>
    <w:rsid w:val="001B559E"/>
    <w:rsid w:val="001B55DE"/>
    <w:rsid w:val="001B5DD5"/>
    <w:rsid w:val="001B6336"/>
    <w:rsid w:val="001B63FF"/>
    <w:rsid w:val="001B685D"/>
    <w:rsid w:val="001B6C2A"/>
    <w:rsid w:val="001B6F24"/>
    <w:rsid w:val="001B72F5"/>
    <w:rsid w:val="001B76FE"/>
    <w:rsid w:val="001C007F"/>
    <w:rsid w:val="001C0C47"/>
    <w:rsid w:val="001C0C51"/>
    <w:rsid w:val="001C12C1"/>
    <w:rsid w:val="001C13B6"/>
    <w:rsid w:val="001C1440"/>
    <w:rsid w:val="001C1A93"/>
    <w:rsid w:val="001C1BD8"/>
    <w:rsid w:val="001C1E2A"/>
    <w:rsid w:val="001C1ED7"/>
    <w:rsid w:val="001C1F49"/>
    <w:rsid w:val="001C210B"/>
    <w:rsid w:val="001C2351"/>
    <w:rsid w:val="001C2410"/>
    <w:rsid w:val="001C2DDC"/>
    <w:rsid w:val="001C2FCD"/>
    <w:rsid w:val="001C3A67"/>
    <w:rsid w:val="001C3A7C"/>
    <w:rsid w:val="001C3F18"/>
    <w:rsid w:val="001C49AC"/>
    <w:rsid w:val="001C50FA"/>
    <w:rsid w:val="001C648B"/>
    <w:rsid w:val="001C68CD"/>
    <w:rsid w:val="001C73A6"/>
    <w:rsid w:val="001C73E8"/>
    <w:rsid w:val="001C7750"/>
    <w:rsid w:val="001C77D6"/>
    <w:rsid w:val="001C7803"/>
    <w:rsid w:val="001C7912"/>
    <w:rsid w:val="001C7B9D"/>
    <w:rsid w:val="001C7CDC"/>
    <w:rsid w:val="001C7E34"/>
    <w:rsid w:val="001D02D9"/>
    <w:rsid w:val="001D082A"/>
    <w:rsid w:val="001D096B"/>
    <w:rsid w:val="001D09E3"/>
    <w:rsid w:val="001D0B05"/>
    <w:rsid w:val="001D2700"/>
    <w:rsid w:val="001D2B56"/>
    <w:rsid w:val="001D2EBA"/>
    <w:rsid w:val="001D30D3"/>
    <w:rsid w:val="001D3931"/>
    <w:rsid w:val="001D3D8C"/>
    <w:rsid w:val="001D410C"/>
    <w:rsid w:val="001D4255"/>
    <w:rsid w:val="001D44B2"/>
    <w:rsid w:val="001D4A11"/>
    <w:rsid w:val="001D4EF7"/>
    <w:rsid w:val="001D5644"/>
    <w:rsid w:val="001D5717"/>
    <w:rsid w:val="001D5BDF"/>
    <w:rsid w:val="001D5D22"/>
    <w:rsid w:val="001D60E1"/>
    <w:rsid w:val="001D6549"/>
    <w:rsid w:val="001D6881"/>
    <w:rsid w:val="001D6C87"/>
    <w:rsid w:val="001D6EA1"/>
    <w:rsid w:val="001E00A6"/>
    <w:rsid w:val="001E0175"/>
    <w:rsid w:val="001E0254"/>
    <w:rsid w:val="001E0B73"/>
    <w:rsid w:val="001E11EF"/>
    <w:rsid w:val="001E18B8"/>
    <w:rsid w:val="001E1B2F"/>
    <w:rsid w:val="001E2388"/>
    <w:rsid w:val="001E255F"/>
    <w:rsid w:val="001E2B97"/>
    <w:rsid w:val="001E2DF1"/>
    <w:rsid w:val="001E3185"/>
    <w:rsid w:val="001E389F"/>
    <w:rsid w:val="001E38E7"/>
    <w:rsid w:val="001E3B45"/>
    <w:rsid w:val="001E3B88"/>
    <w:rsid w:val="001E3F48"/>
    <w:rsid w:val="001E4A6B"/>
    <w:rsid w:val="001E4B14"/>
    <w:rsid w:val="001E4B36"/>
    <w:rsid w:val="001E4DF7"/>
    <w:rsid w:val="001E5308"/>
    <w:rsid w:val="001E53F1"/>
    <w:rsid w:val="001E5920"/>
    <w:rsid w:val="001E6693"/>
    <w:rsid w:val="001E6709"/>
    <w:rsid w:val="001E6F37"/>
    <w:rsid w:val="001E7115"/>
    <w:rsid w:val="001E7894"/>
    <w:rsid w:val="001E7A28"/>
    <w:rsid w:val="001E7D50"/>
    <w:rsid w:val="001F0482"/>
    <w:rsid w:val="001F07C5"/>
    <w:rsid w:val="001F1120"/>
    <w:rsid w:val="001F11B1"/>
    <w:rsid w:val="001F12EB"/>
    <w:rsid w:val="001F177A"/>
    <w:rsid w:val="001F1B37"/>
    <w:rsid w:val="001F1CFD"/>
    <w:rsid w:val="001F2369"/>
    <w:rsid w:val="001F242C"/>
    <w:rsid w:val="001F28CD"/>
    <w:rsid w:val="001F2AE7"/>
    <w:rsid w:val="001F3384"/>
    <w:rsid w:val="001F3625"/>
    <w:rsid w:val="001F3A5F"/>
    <w:rsid w:val="001F3FA7"/>
    <w:rsid w:val="001F4336"/>
    <w:rsid w:val="001F4F14"/>
    <w:rsid w:val="001F506F"/>
    <w:rsid w:val="001F5345"/>
    <w:rsid w:val="001F5409"/>
    <w:rsid w:val="001F68F9"/>
    <w:rsid w:val="001F6CFA"/>
    <w:rsid w:val="001F7055"/>
    <w:rsid w:val="001F789F"/>
    <w:rsid w:val="001F79BE"/>
    <w:rsid w:val="0020053E"/>
    <w:rsid w:val="00200EBA"/>
    <w:rsid w:val="00201545"/>
    <w:rsid w:val="002018A6"/>
    <w:rsid w:val="0020195E"/>
    <w:rsid w:val="00201EFA"/>
    <w:rsid w:val="002022F4"/>
    <w:rsid w:val="00203238"/>
    <w:rsid w:val="00203A79"/>
    <w:rsid w:val="002045A6"/>
    <w:rsid w:val="002046A6"/>
    <w:rsid w:val="00204929"/>
    <w:rsid w:val="00204BA0"/>
    <w:rsid w:val="00204ED4"/>
    <w:rsid w:val="00204F97"/>
    <w:rsid w:val="00205523"/>
    <w:rsid w:val="002056FE"/>
    <w:rsid w:val="002057FA"/>
    <w:rsid w:val="00205810"/>
    <w:rsid w:val="002060F7"/>
    <w:rsid w:val="002062F2"/>
    <w:rsid w:val="00206876"/>
    <w:rsid w:val="00206A4D"/>
    <w:rsid w:val="002076B8"/>
    <w:rsid w:val="00207853"/>
    <w:rsid w:val="00207CEA"/>
    <w:rsid w:val="00207EBE"/>
    <w:rsid w:val="002105B9"/>
    <w:rsid w:val="002108E4"/>
    <w:rsid w:val="00211118"/>
    <w:rsid w:val="0021186C"/>
    <w:rsid w:val="00211FAE"/>
    <w:rsid w:val="0021229F"/>
    <w:rsid w:val="00212C61"/>
    <w:rsid w:val="00212CC8"/>
    <w:rsid w:val="0021308F"/>
    <w:rsid w:val="00213153"/>
    <w:rsid w:val="0021352B"/>
    <w:rsid w:val="00213A0F"/>
    <w:rsid w:val="00213BBF"/>
    <w:rsid w:val="00213E5B"/>
    <w:rsid w:val="00213FCD"/>
    <w:rsid w:val="00213FDE"/>
    <w:rsid w:val="0021440E"/>
    <w:rsid w:val="002149F6"/>
    <w:rsid w:val="00214D93"/>
    <w:rsid w:val="00214F81"/>
    <w:rsid w:val="002155BB"/>
    <w:rsid w:val="00215913"/>
    <w:rsid w:val="00215A6E"/>
    <w:rsid w:val="002161B4"/>
    <w:rsid w:val="002163E7"/>
    <w:rsid w:val="00217356"/>
    <w:rsid w:val="0021780D"/>
    <w:rsid w:val="00217B6D"/>
    <w:rsid w:val="002203B7"/>
    <w:rsid w:val="00220878"/>
    <w:rsid w:val="00220B1B"/>
    <w:rsid w:val="002213D4"/>
    <w:rsid w:val="00221769"/>
    <w:rsid w:val="0022183A"/>
    <w:rsid w:val="002220A6"/>
    <w:rsid w:val="002220B0"/>
    <w:rsid w:val="002228D6"/>
    <w:rsid w:val="00222EC4"/>
    <w:rsid w:val="002237B5"/>
    <w:rsid w:val="00223FC2"/>
    <w:rsid w:val="0022407C"/>
    <w:rsid w:val="002245D8"/>
    <w:rsid w:val="0022498B"/>
    <w:rsid w:val="00224A6E"/>
    <w:rsid w:val="00225D66"/>
    <w:rsid w:val="0022622D"/>
    <w:rsid w:val="0022653D"/>
    <w:rsid w:val="002270AF"/>
    <w:rsid w:val="00230CE0"/>
    <w:rsid w:val="0023114F"/>
    <w:rsid w:val="002315DA"/>
    <w:rsid w:val="00231C93"/>
    <w:rsid w:val="00232DBF"/>
    <w:rsid w:val="002331BD"/>
    <w:rsid w:val="00234201"/>
    <w:rsid w:val="00234860"/>
    <w:rsid w:val="00234B65"/>
    <w:rsid w:val="00235621"/>
    <w:rsid w:val="00235FB4"/>
    <w:rsid w:val="002365BB"/>
    <w:rsid w:val="00236A07"/>
    <w:rsid w:val="002370F1"/>
    <w:rsid w:val="002373AD"/>
    <w:rsid w:val="002376FA"/>
    <w:rsid w:val="00240763"/>
    <w:rsid w:val="0024076C"/>
    <w:rsid w:val="00240D9C"/>
    <w:rsid w:val="00240E54"/>
    <w:rsid w:val="00240F60"/>
    <w:rsid w:val="00241463"/>
    <w:rsid w:val="002418B0"/>
    <w:rsid w:val="00241A61"/>
    <w:rsid w:val="00241B82"/>
    <w:rsid w:val="0024285A"/>
    <w:rsid w:val="00242F6A"/>
    <w:rsid w:val="00243404"/>
    <w:rsid w:val="00243BDE"/>
    <w:rsid w:val="00243C6B"/>
    <w:rsid w:val="00243D15"/>
    <w:rsid w:val="0024478F"/>
    <w:rsid w:val="00244E4F"/>
    <w:rsid w:val="00244F0A"/>
    <w:rsid w:val="0024510B"/>
    <w:rsid w:val="002451B8"/>
    <w:rsid w:val="002461B4"/>
    <w:rsid w:val="00246217"/>
    <w:rsid w:val="0024667D"/>
    <w:rsid w:val="00246791"/>
    <w:rsid w:val="002468DD"/>
    <w:rsid w:val="00246DC0"/>
    <w:rsid w:val="00246EB3"/>
    <w:rsid w:val="00247493"/>
    <w:rsid w:val="00247A28"/>
    <w:rsid w:val="00247A39"/>
    <w:rsid w:val="00247CF7"/>
    <w:rsid w:val="00247FEA"/>
    <w:rsid w:val="00250AB8"/>
    <w:rsid w:val="00251579"/>
    <w:rsid w:val="0025176A"/>
    <w:rsid w:val="00251780"/>
    <w:rsid w:val="002521B4"/>
    <w:rsid w:val="002525B0"/>
    <w:rsid w:val="00252F34"/>
    <w:rsid w:val="0025375E"/>
    <w:rsid w:val="00253CD3"/>
    <w:rsid w:val="0025428B"/>
    <w:rsid w:val="00254462"/>
    <w:rsid w:val="0025446D"/>
    <w:rsid w:val="00254868"/>
    <w:rsid w:val="00254890"/>
    <w:rsid w:val="00254A69"/>
    <w:rsid w:val="00254F0F"/>
    <w:rsid w:val="00255658"/>
    <w:rsid w:val="0025598E"/>
    <w:rsid w:val="002559B4"/>
    <w:rsid w:val="00255EA3"/>
    <w:rsid w:val="00255F34"/>
    <w:rsid w:val="00255F87"/>
    <w:rsid w:val="00256363"/>
    <w:rsid w:val="00256482"/>
    <w:rsid w:val="00256718"/>
    <w:rsid w:val="00256F51"/>
    <w:rsid w:val="0025704A"/>
    <w:rsid w:val="00257418"/>
    <w:rsid w:val="00257AAA"/>
    <w:rsid w:val="00257E0D"/>
    <w:rsid w:val="00257EF8"/>
    <w:rsid w:val="00257F08"/>
    <w:rsid w:val="00260F2A"/>
    <w:rsid w:val="002613B5"/>
    <w:rsid w:val="00261742"/>
    <w:rsid w:val="00261858"/>
    <w:rsid w:val="00261B6E"/>
    <w:rsid w:val="002621C4"/>
    <w:rsid w:val="00262B74"/>
    <w:rsid w:val="00262E64"/>
    <w:rsid w:val="00263045"/>
    <w:rsid w:val="00263E30"/>
    <w:rsid w:val="00264C90"/>
    <w:rsid w:val="00264FAB"/>
    <w:rsid w:val="0026537E"/>
    <w:rsid w:val="00265674"/>
    <w:rsid w:val="0026625E"/>
    <w:rsid w:val="00266387"/>
    <w:rsid w:val="00266A16"/>
    <w:rsid w:val="00266A92"/>
    <w:rsid w:val="00266E82"/>
    <w:rsid w:val="00266EF3"/>
    <w:rsid w:val="002670A4"/>
    <w:rsid w:val="002672C3"/>
    <w:rsid w:val="0026766B"/>
    <w:rsid w:val="0026795D"/>
    <w:rsid w:val="00270185"/>
    <w:rsid w:val="00270638"/>
    <w:rsid w:val="002706B1"/>
    <w:rsid w:val="00270875"/>
    <w:rsid w:val="00270C58"/>
    <w:rsid w:val="00270CE3"/>
    <w:rsid w:val="00270CE6"/>
    <w:rsid w:val="00271796"/>
    <w:rsid w:val="0027321D"/>
    <w:rsid w:val="00273960"/>
    <w:rsid w:val="002742E5"/>
    <w:rsid w:val="002743B7"/>
    <w:rsid w:val="002745AE"/>
    <w:rsid w:val="00274908"/>
    <w:rsid w:val="002762FD"/>
    <w:rsid w:val="0027664F"/>
    <w:rsid w:val="00276776"/>
    <w:rsid w:val="00276ECA"/>
    <w:rsid w:val="002773E6"/>
    <w:rsid w:val="00277496"/>
    <w:rsid w:val="002776EF"/>
    <w:rsid w:val="002778E6"/>
    <w:rsid w:val="002805D3"/>
    <w:rsid w:val="00280834"/>
    <w:rsid w:val="0028125B"/>
    <w:rsid w:val="00281A10"/>
    <w:rsid w:val="0028242A"/>
    <w:rsid w:val="00282BEA"/>
    <w:rsid w:val="002832D4"/>
    <w:rsid w:val="002836EA"/>
    <w:rsid w:val="00283A43"/>
    <w:rsid w:val="00283B91"/>
    <w:rsid w:val="00284FD1"/>
    <w:rsid w:val="00285754"/>
    <w:rsid w:val="0028597F"/>
    <w:rsid w:val="002869A3"/>
    <w:rsid w:val="00286A6E"/>
    <w:rsid w:val="00287706"/>
    <w:rsid w:val="00287D9F"/>
    <w:rsid w:val="00287FEC"/>
    <w:rsid w:val="00290258"/>
    <w:rsid w:val="00290319"/>
    <w:rsid w:val="0029094D"/>
    <w:rsid w:val="00290BA4"/>
    <w:rsid w:val="00290C31"/>
    <w:rsid w:val="00290D77"/>
    <w:rsid w:val="00291111"/>
    <w:rsid w:val="00291C79"/>
    <w:rsid w:val="00291D7E"/>
    <w:rsid w:val="00292087"/>
    <w:rsid w:val="0029213A"/>
    <w:rsid w:val="00292337"/>
    <w:rsid w:val="0029282C"/>
    <w:rsid w:val="002932F8"/>
    <w:rsid w:val="0029334F"/>
    <w:rsid w:val="00293424"/>
    <w:rsid w:val="00293DF1"/>
    <w:rsid w:val="00293EDF"/>
    <w:rsid w:val="00294090"/>
    <w:rsid w:val="0029473A"/>
    <w:rsid w:val="002948E9"/>
    <w:rsid w:val="00295CF7"/>
    <w:rsid w:val="00296675"/>
    <w:rsid w:val="0029745B"/>
    <w:rsid w:val="00297AE3"/>
    <w:rsid w:val="002A02F4"/>
    <w:rsid w:val="002A03EA"/>
    <w:rsid w:val="002A0877"/>
    <w:rsid w:val="002A100C"/>
    <w:rsid w:val="002A1CCF"/>
    <w:rsid w:val="002A24CD"/>
    <w:rsid w:val="002A26F4"/>
    <w:rsid w:val="002A2F4F"/>
    <w:rsid w:val="002A41AB"/>
    <w:rsid w:val="002A4403"/>
    <w:rsid w:val="002A454B"/>
    <w:rsid w:val="002A4732"/>
    <w:rsid w:val="002A4B80"/>
    <w:rsid w:val="002A4BF0"/>
    <w:rsid w:val="002A4CEE"/>
    <w:rsid w:val="002A4DFD"/>
    <w:rsid w:val="002A50DE"/>
    <w:rsid w:val="002A558B"/>
    <w:rsid w:val="002A56B4"/>
    <w:rsid w:val="002A57FC"/>
    <w:rsid w:val="002A58EF"/>
    <w:rsid w:val="002A6712"/>
    <w:rsid w:val="002A6A09"/>
    <w:rsid w:val="002A6AAF"/>
    <w:rsid w:val="002A705E"/>
    <w:rsid w:val="002A7373"/>
    <w:rsid w:val="002A7720"/>
    <w:rsid w:val="002A7A9D"/>
    <w:rsid w:val="002B011A"/>
    <w:rsid w:val="002B02BB"/>
    <w:rsid w:val="002B0592"/>
    <w:rsid w:val="002B09CE"/>
    <w:rsid w:val="002B1165"/>
    <w:rsid w:val="002B170D"/>
    <w:rsid w:val="002B19A5"/>
    <w:rsid w:val="002B1BD5"/>
    <w:rsid w:val="002B1BF9"/>
    <w:rsid w:val="002B2059"/>
    <w:rsid w:val="002B2262"/>
    <w:rsid w:val="002B23B5"/>
    <w:rsid w:val="002B2652"/>
    <w:rsid w:val="002B27D0"/>
    <w:rsid w:val="002B2DC3"/>
    <w:rsid w:val="002B2E50"/>
    <w:rsid w:val="002B3AE7"/>
    <w:rsid w:val="002B3D8C"/>
    <w:rsid w:val="002B4302"/>
    <w:rsid w:val="002B44BF"/>
    <w:rsid w:val="002B46E9"/>
    <w:rsid w:val="002B47EC"/>
    <w:rsid w:val="002B500F"/>
    <w:rsid w:val="002B5019"/>
    <w:rsid w:val="002B54DF"/>
    <w:rsid w:val="002B5DD7"/>
    <w:rsid w:val="002B5E2E"/>
    <w:rsid w:val="002B6F31"/>
    <w:rsid w:val="002B71E4"/>
    <w:rsid w:val="002C056D"/>
    <w:rsid w:val="002C0E5C"/>
    <w:rsid w:val="002C1707"/>
    <w:rsid w:val="002C2439"/>
    <w:rsid w:val="002C2BA9"/>
    <w:rsid w:val="002C3585"/>
    <w:rsid w:val="002C36F3"/>
    <w:rsid w:val="002C3A4A"/>
    <w:rsid w:val="002C4114"/>
    <w:rsid w:val="002C4149"/>
    <w:rsid w:val="002C4207"/>
    <w:rsid w:val="002C4D6D"/>
    <w:rsid w:val="002C6B10"/>
    <w:rsid w:val="002C71BB"/>
    <w:rsid w:val="002C7E37"/>
    <w:rsid w:val="002D02E3"/>
    <w:rsid w:val="002D068D"/>
    <w:rsid w:val="002D1675"/>
    <w:rsid w:val="002D1839"/>
    <w:rsid w:val="002D1AE9"/>
    <w:rsid w:val="002D27A2"/>
    <w:rsid w:val="002D284A"/>
    <w:rsid w:val="002D3CA5"/>
    <w:rsid w:val="002D4249"/>
    <w:rsid w:val="002D4A74"/>
    <w:rsid w:val="002D4BF3"/>
    <w:rsid w:val="002D5094"/>
    <w:rsid w:val="002D53C2"/>
    <w:rsid w:val="002D5AF6"/>
    <w:rsid w:val="002D5DE9"/>
    <w:rsid w:val="002D5FE4"/>
    <w:rsid w:val="002D6337"/>
    <w:rsid w:val="002D6914"/>
    <w:rsid w:val="002D6B86"/>
    <w:rsid w:val="002D6FE2"/>
    <w:rsid w:val="002D70B0"/>
    <w:rsid w:val="002D752E"/>
    <w:rsid w:val="002D7696"/>
    <w:rsid w:val="002D7D7E"/>
    <w:rsid w:val="002E059E"/>
    <w:rsid w:val="002E0C54"/>
    <w:rsid w:val="002E0C88"/>
    <w:rsid w:val="002E0E7A"/>
    <w:rsid w:val="002E11BB"/>
    <w:rsid w:val="002E12D7"/>
    <w:rsid w:val="002E1C2C"/>
    <w:rsid w:val="002E1CA3"/>
    <w:rsid w:val="002E20C5"/>
    <w:rsid w:val="002E28E3"/>
    <w:rsid w:val="002E2F86"/>
    <w:rsid w:val="002E3330"/>
    <w:rsid w:val="002E34E6"/>
    <w:rsid w:val="002E3621"/>
    <w:rsid w:val="002E3661"/>
    <w:rsid w:val="002E3D07"/>
    <w:rsid w:val="002E4881"/>
    <w:rsid w:val="002E4CB1"/>
    <w:rsid w:val="002E5087"/>
    <w:rsid w:val="002E50F7"/>
    <w:rsid w:val="002E51D5"/>
    <w:rsid w:val="002E52EA"/>
    <w:rsid w:val="002E5447"/>
    <w:rsid w:val="002E54C2"/>
    <w:rsid w:val="002E5D06"/>
    <w:rsid w:val="002E5E31"/>
    <w:rsid w:val="002E5F37"/>
    <w:rsid w:val="002E5F46"/>
    <w:rsid w:val="002E622F"/>
    <w:rsid w:val="002E6765"/>
    <w:rsid w:val="002E7C43"/>
    <w:rsid w:val="002F01C1"/>
    <w:rsid w:val="002F058A"/>
    <w:rsid w:val="002F12E7"/>
    <w:rsid w:val="002F1771"/>
    <w:rsid w:val="002F1BD3"/>
    <w:rsid w:val="002F1CFC"/>
    <w:rsid w:val="002F2373"/>
    <w:rsid w:val="002F28D1"/>
    <w:rsid w:val="002F3245"/>
    <w:rsid w:val="002F3E8F"/>
    <w:rsid w:val="002F4802"/>
    <w:rsid w:val="002F4D5D"/>
    <w:rsid w:val="002F4E98"/>
    <w:rsid w:val="002F560C"/>
    <w:rsid w:val="002F60F3"/>
    <w:rsid w:val="002F62D4"/>
    <w:rsid w:val="002F63C1"/>
    <w:rsid w:val="002F6516"/>
    <w:rsid w:val="002F6C57"/>
    <w:rsid w:val="002F6F6E"/>
    <w:rsid w:val="002F6F87"/>
    <w:rsid w:val="002F742C"/>
    <w:rsid w:val="002F7600"/>
    <w:rsid w:val="0030079B"/>
    <w:rsid w:val="00300F5D"/>
    <w:rsid w:val="003011E6"/>
    <w:rsid w:val="003013D7"/>
    <w:rsid w:val="0030250E"/>
    <w:rsid w:val="00302794"/>
    <w:rsid w:val="00302B4B"/>
    <w:rsid w:val="00303092"/>
    <w:rsid w:val="003031FB"/>
    <w:rsid w:val="003032FC"/>
    <w:rsid w:val="00304919"/>
    <w:rsid w:val="00304F65"/>
    <w:rsid w:val="003055E8"/>
    <w:rsid w:val="00305A18"/>
    <w:rsid w:val="00305A3F"/>
    <w:rsid w:val="00305CE2"/>
    <w:rsid w:val="003069A0"/>
    <w:rsid w:val="003071ED"/>
    <w:rsid w:val="003074BE"/>
    <w:rsid w:val="00307A8C"/>
    <w:rsid w:val="00307CBD"/>
    <w:rsid w:val="00307D65"/>
    <w:rsid w:val="003100AB"/>
    <w:rsid w:val="003102FD"/>
    <w:rsid w:val="00310593"/>
    <w:rsid w:val="00310626"/>
    <w:rsid w:val="00310DE0"/>
    <w:rsid w:val="00310E0A"/>
    <w:rsid w:val="00311CE7"/>
    <w:rsid w:val="00312514"/>
    <w:rsid w:val="00312781"/>
    <w:rsid w:val="0031293F"/>
    <w:rsid w:val="00312A89"/>
    <w:rsid w:val="00312F3C"/>
    <w:rsid w:val="0031466F"/>
    <w:rsid w:val="00315213"/>
    <w:rsid w:val="0031531F"/>
    <w:rsid w:val="003153BB"/>
    <w:rsid w:val="00315BBB"/>
    <w:rsid w:val="003160CD"/>
    <w:rsid w:val="003164D1"/>
    <w:rsid w:val="00316603"/>
    <w:rsid w:val="00316712"/>
    <w:rsid w:val="00316CF4"/>
    <w:rsid w:val="003178B0"/>
    <w:rsid w:val="00317A82"/>
    <w:rsid w:val="00317BCC"/>
    <w:rsid w:val="00317D8C"/>
    <w:rsid w:val="00320115"/>
    <w:rsid w:val="0032028C"/>
    <w:rsid w:val="00320816"/>
    <w:rsid w:val="00321012"/>
    <w:rsid w:val="003210EC"/>
    <w:rsid w:val="00321241"/>
    <w:rsid w:val="00321497"/>
    <w:rsid w:val="00321872"/>
    <w:rsid w:val="00321D65"/>
    <w:rsid w:val="00321EAF"/>
    <w:rsid w:val="003226E3"/>
    <w:rsid w:val="00322B6C"/>
    <w:rsid w:val="0032347D"/>
    <w:rsid w:val="003242D2"/>
    <w:rsid w:val="00324727"/>
    <w:rsid w:val="0032486D"/>
    <w:rsid w:val="00325360"/>
    <w:rsid w:val="0032599A"/>
    <w:rsid w:val="00325BAB"/>
    <w:rsid w:val="0032636B"/>
    <w:rsid w:val="0032679E"/>
    <w:rsid w:val="00327517"/>
    <w:rsid w:val="003275BF"/>
    <w:rsid w:val="00327F2F"/>
    <w:rsid w:val="00330BB1"/>
    <w:rsid w:val="00330BCB"/>
    <w:rsid w:val="00330BE0"/>
    <w:rsid w:val="00330F9B"/>
    <w:rsid w:val="003312B5"/>
    <w:rsid w:val="003317A5"/>
    <w:rsid w:val="00331948"/>
    <w:rsid w:val="003319C3"/>
    <w:rsid w:val="00332B26"/>
    <w:rsid w:val="00332B31"/>
    <w:rsid w:val="00332E6C"/>
    <w:rsid w:val="003332A4"/>
    <w:rsid w:val="003335E8"/>
    <w:rsid w:val="00333632"/>
    <w:rsid w:val="0033367D"/>
    <w:rsid w:val="0033383E"/>
    <w:rsid w:val="0033387C"/>
    <w:rsid w:val="00333C62"/>
    <w:rsid w:val="00333E00"/>
    <w:rsid w:val="003340D2"/>
    <w:rsid w:val="00334B3F"/>
    <w:rsid w:val="0033593A"/>
    <w:rsid w:val="00335BAD"/>
    <w:rsid w:val="00336623"/>
    <w:rsid w:val="003367E5"/>
    <w:rsid w:val="00337477"/>
    <w:rsid w:val="00337C9F"/>
    <w:rsid w:val="00340270"/>
    <w:rsid w:val="00340E74"/>
    <w:rsid w:val="003410AF"/>
    <w:rsid w:val="003413F9"/>
    <w:rsid w:val="00341793"/>
    <w:rsid w:val="0034187D"/>
    <w:rsid w:val="00341EFD"/>
    <w:rsid w:val="00342285"/>
    <w:rsid w:val="00342587"/>
    <w:rsid w:val="003427CB"/>
    <w:rsid w:val="003437B9"/>
    <w:rsid w:val="00343D29"/>
    <w:rsid w:val="00344466"/>
    <w:rsid w:val="003444D7"/>
    <w:rsid w:val="00344942"/>
    <w:rsid w:val="0034511A"/>
    <w:rsid w:val="0034526D"/>
    <w:rsid w:val="00345337"/>
    <w:rsid w:val="003454B3"/>
    <w:rsid w:val="0034580E"/>
    <w:rsid w:val="003465A2"/>
    <w:rsid w:val="00346A32"/>
    <w:rsid w:val="00346AB8"/>
    <w:rsid w:val="00346B5C"/>
    <w:rsid w:val="003472F1"/>
    <w:rsid w:val="003475F4"/>
    <w:rsid w:val="00347717"/>
    <w:rsid w:val="00347D1A"/>
    <w:rsid w:val="00347D3B"/>
    <w:rsid w:val="00347DBA"/>
    <w:rsid w:val="0035023B"/>
    <w:rsid w:val="003503D2"/>
    <w:rsid w:val="00350604"/>
    <w:rsid w:val="0035129E"/>
    <w:rsid w:val="003514D3"/>
    <w:rsid w:val="00351B3F"/>
    <w:rsid w:val="00351BFF"/>
    <w:rsid w:val="003524A0"/>
    <w:rsid w:val="00353043"/>
    <w:rsid w:val="00353120"/>
    <w:rsid w:val="0035314F"/>
    <w:rsid w:val="00353E5F"/>
    <w:rsid w:val="00353EDC"/>
    <w:rsid w:val="00354500"/>
    <w:rsid w:val="00354C7A"/>
    <w:rsid w:val="00354E8A"/>
    <w:rsid w:val="00355BB0"/>
    <w:rsid w:val="00355BE2"/>
    <w:rsid w:val="00355CB6"/>
    <w:rsid w:val="003563A2"/>
    <w:rsid w:val="0035649C"/>
    <w:rsid w:val="00356879"/>
    <w:rsid w:val="00356A1C"/>
    <w:rsid w:val="00356A7B"/>
    <w:rsid w:val="0035780A"/>
    <w:rsid w:val="00357A7A"/>
    <w:rsid w:val="00357B12"/>
    <w:rsid w:val="00357ED5"/>
    <w:rsid w:val="0036011C"/>
    <w:rsid w:val="0036073B"/>
    <w:rsid w:val="0036076D"/>
    <w:rsid w:val="00360A8C"/>
    <w:rsid w:val="00360D53"/>
    <w:rsid w:val="003612A4"/>
    <w:rsid w:val="003616CA"/>
    <w:rsid w:val="00361715"/>
    <w:rsid w:val="00362CE2"/>
    <w:rsid w:val="0036398F"/>
    <w:rsid w:val="00363B6A"/>
    <w:rsid w:val="00363BD6"/>
    <w:rsid w:val="00363F1D"/>
    <w:rsid w:val="00364198"/>
    <w:rsid w:val="003643DA"/>
    <w:rsid w:val="003643F7"/>
    <w:rsid w:val="00364BAC"/>
    <w:rsid w:val="00364C06"/>
    <w:rsid w:val="003653E1"/>
    <w:rsid w:val="003653EB"/>
    <w:rsid w:val="003658F8"/>
    <w:rsid w:val="0036596E"/>
    <w:rsid w:val="00365A0C"/>
    <w:rsid w:val="00365CA7"/>
    <w:rsid w:val="00367368"/>
    <w:rsid w:val="003678F3"/>
    <w:rsid w:val="0036793A"/>
    <w:rsid w:val="003679F7"/>
    <w:rsid w:val="00367AC6"/>
    <w:rsid w:val="00367B00"/>
    <w:rsid w:val="00367F60"/>
    <w:rsid w:val="00370136"/>
    <w:rsid w:val="00370458"/>
    <w:rsid w:val="0037090F"/>
    <w:rsid w:val="00370DA2"/>
    <w:rsid w:val="00370E70"/>
    <w:rsid w:val="003712C2"/>
    <w:rsid w:val="00371417"/>
    <w:rsid w:val="003716E2"/>
    <w:rsid w:val="003719A4"/>
    <w:rsid w:val="003719B6"/>
    <w:rsid w:val="00371D83"/>
    <w:rsid w:val="00371E2C"/>
    <w:rsid w:val="0037293D"/>
    <w:rsid w:val="003729B2"/>
    <w:rsid w:val="00372E39"/>
    <w:rsid w:val="003745FA"/>
    <w:rsid w:val="0037499F"/>
    <w:rsid w:val="003769B5"/>
    <w:rsid w:val="00376B72"/>
    <w:rsid w:val="0037722E"/>
    <w:rsid w:val="003773BB"/>
    <w:rsid w:val="003773EC"/>
    <w:rsid w:val="003777EB"/>
    <w:rsid w:val="00377B40"/>
    <w:rsid w:val="00377B63"/>
    <w:rsid w:val="003803B2"/>
    <w:rsid w:val="00380439"/>
    <w:rsid w:val="00380494"/>
    <w:rsid w:val="003808B9"/>
    <w:rsid w:val="00381452"/>
    <w:rsid w:val="00381716"/>
    <w:rsid w:val="00383411"/>
    <w:rsid w:val="0038354A"/>
    <w:rsid w:val="00383613"/>
    <w:rsid w:val="00383866"/>
    <w:rsid w:val="0038391A"/>
    <w:rsid w:val="0038394D"/>
    <w:rsid w:val="00383E4A"/>
    <w:rsid w:val="003845AD"/>
    <w:rsid w:val="003850EF"/>
    <w:rsid w:val="003852DB"/>
    <w:rsid w:val="0038559E"/>
    <w:rsid w:val="003858CA"/>
    <w:rsid w:val="003865BE"/>
    <w:rsid w:val="00386721"/>
    <w:rsid w:val="00386BD4"/>
    <w:rsid w:val="00387148"/>
    <w:rsid w:val="0038791E"/>
    <w:rsid w:val="003913B8"/>
    <w:rsid w:val="00391861"/>
    <w:rsid w:val="003919B9"/>
    <w:rsid w:val="00391A13"/>
    <w:rsid w:val="00391AA4"/>
    <w:rsid w:val="00391FEA"/>
    <w:rsid w:val="00392046"/>
    <w:rsid w:val="00392632"/>
    <w:rsid w:val="00392969"/>
    <w:rsid w:val="00392A7C"/>
    <w:rsid w:val="00392E42"/>
    <w:rsid w:val="00393121"/>
    <w:rsid w:val="003934AD"/>
    <w:rsid w:val="00393646"/>
    <w:rsid w:val="003936F6"/>
    <w:rsid w:val="00393B15"/>
    <w:rsid w:val="00394239"/>
    <w:rsid w:val="0039423A"/>
    <w:rsid w:val="003943A9"/>
    <w:rsid w:val="0039447E"/>
    <w:rsid w:val="0039458A"/>
    <w:rsid w:val="00394D08"/>
    <w:rsid w:val="00394D46"/>
    <w:rsid w:val="00395174"/>
    <w:rsid w:val="00395329"/>
    <w:rsid w:val="00395993"/>
    <w:rsid w:val="00395D10"/>
    <w:rsid w:val="00395D2D"/>
    <w:rsid w:val="00396238"/>
    <w:rsid w:val="0039680A"/>
    <w:rsid w:val="00397B40"/>
    <w:rsid w:val="003A039E"/>
    <w:rsid w:val="003A045A"/>
    <w:rsid w:val="003A1956"/>
    <w:rsid w:val="003A1B5F"/>
    <w:rsid w:val="003A1BDA"/>
    <w:rsid w:val="003A1BF5"/>
    <w:rsid w:val="003A1D96"/>
    <w:rsid w:val="003A28CA"/>
    <w:rsid w:val="003A414C"/>
    <w:rsid w:val="003A42C0"/>
    <w:rsid w:val="003A481A"/>
    <w:rsid w:val="003A4C7E"/>
    <w:rsid w:val="003A50C8"/>
    <w:rsid w:val="003A54C4"/>
    <w:rsid w:val="003A5BAB"/>
    <w:rsid w:val="003A6656"/>
    <w:rsid w:val="003A747C"/>
    <w:rsid w:val="003A7522"/>
    <w:rsid w:val="003A7ADB"/>
    <w:rsid w:val="003A7AF1"/>
    <w:rsid w:val="003A7E6B"/>
    <w:rsid w:val="003B010A"/>
    <w:rsid w:val="003B0C0C"/>
    <w:rsid w:val="003B1A1D"/>
    <w:rsid w:val="003B250F"/>
    <w:rsid w:val="003B25B2"/>
    <w:rsid w:val="003B2958"/>
    <w:rsid w:val="003B2BCA"/>
    <w:rsid w:val="003B335F"/>
    <w:rsid w:val="003B356B"/>
    <w:rsid w:val="003B3CC2"/>
    <w:rsid w:val="003B456C"/>
    <w:rsid w:val="003B49EC"/>
    <w:rsid w:val="003B4DF3"/>
    <w:rsid w:val="003B5018"/>
    <w:rsid w:val="003B5282"/>
    <w:rsid w:val="003B5970"/>
    <w:rsid w:val="003B59B2"/>
    <w:rsid w:val="003B636A"/>
    <w:rsid w:val="003B63AA"/>
    <w:rsid w:val="003B684B"/>
    <w:rsid w:val="003B6894"/>
    <w:rsid w:val="003B6B58"/>
    <w:rsid w:val="003B72B1"/>
    <w:rsid w:val="003B744C"/>
    <w:rsid w:val="003B7512"/>
    <w:rsid w:val="003C0C07"/>
    <w:rsid w:val="003C1005"/>
    <w:rsid w:val="003C15DB"/>
    <w:rsid w:val="003C192C"/>
    <w:rsid w:val="003C1A1A"/>
    <w:rsid w:val="003C1F73"/>
    <w:rsid w:val="003C21C3"/>
    <w:rsid w:val="003C2C90"/>
    <w:rsid w:val="003C2E80"/>
    <w:rsid w:val="003C3E41"/>
    <w:rsid w:val="003C3FFC"/>
    <w:rsid w:val="003C4863"/>
    <w:rsid w:val="003C5F1E"/>
    <w:rsid w:val="003C6672"/>
    <w:rsid w:val="003C68D5"/>
    <w:rsid w:val="003C79A5"/>
    <w:rsid w:val="003C7A2F"/>
    <w:rsid w:val="003D0098"/>
    <w:rsid w:val="003D045D"/>
    <w:rsid w:val="003D05A4"/>
    <w:rsid w:val="003D0644"/>
    <w:rsid w:val="003D07E4"/>
    <w:rsid w:val="003D0850"/>
    <w:rsid w:val="003D08AE"/>
    <w:rsid w:val="003D094C"/>
    <w:rsid w:val="003D09DB"/>
    <w:rsid w:val="003D0F8B"/>
    <w:rsid w:val="003D10CE"/>
    <w:rsid w:val="003D1511"/>
    <w:rsid w:val="003D1A60"/>
    <w:rsid w:val="003D299A"/>
    <w:rsid w:val="003D29CE"/>
    <w:rsid w:val="003D3088"/>
    <w:rsid w:val="003D3EB5"/>
    <w:rsid w:val="003D46D0"/>
    <w:rsid w:val="003D565F"/>
    <w:rsid w:val="003D59F6"/>
    <w:rsid w:val="003D769F"/>
    <w:rsid w:val="003D7759"/>
    <w:rsid w:val="003D7BE2"/>
    <w:rsid w:val="003D7C0D"/>
    <w:rsid w:val="003E0AC8"/>
    <w:rsid w:val="003E157C"/>
    <w:rsid w:val="003E179C"/>
    <w:rsid w:val="003E18C9"/>
    <w:rsid w:val="003E2259"/>
    <w:rsid w:val="003E2B92"/>
    <w:rsid w:val="003E2F8D"/>
    <w:rsid w:val="003E3313"/>
    <w:rsid w:val="003E34C8"/>
    <w:rsid w:val="003E3A92"/>
    <w:rsid w:val="003E4A6F"/>
    <w:rsid w:val="003E4AF5"/>
    <w:rsid w:val="003E4C3E"/>
    <w:rsid w:val="003E54F9"/>
    <w:rsid w:val="003E5BE3"/>
    <w:rsid w:val="003E5EAA"/>
    <w:rsid w:val="003E5EB8"/>
    <w:rsid w:val="003E5F2C"/>
    <w:rsid w:val="003E72D4"/>
    <w:rsid w:val="003E75C3"/>
    <w:rsid w:val="003E7862"/>
    <w:rsid w:val="003E7CA9"/>
    <w:rsid w:val="003F0124"/>
    <w:rsid w:val="003F06DF"/>
    <w:rsid w:val="003F137B"/>
    <w:rsid w:val="003F13E3"/>
    <w:rsid w:val="003F141F"/>
    <w:rsid w:val="003F2289"/>
    <w:rsid w:val="003F2AD8"/>
    <w:rsid w:val="003F2E3B"/>
    <w:rsid w:val="003F3323"/>
    <w:rsid w:val="003F3CA0"/>
    <w:rsid w:val="003F3FC4"/>
    <w:rsid w:val="003F4602"/>
    <w:rsid w:val="003F54C3"/>
    <w:rsid w:val="003F54CD"/>
    <w:rsid w:val="003F578A"/>
    <w:rsid w:val="003F59E0"/>
    <w:rsid w:val="003F693C"/>
    <w:rsid w:val="003F6BD3"/>
    <w:rsid w:val="003F6D35"/>
    <w:rsid w:val="003F6E50"/>
    <w:rsid w:val="0040005B"/>
    <w:rsid w:val="004000CE"/>
    <w:rsid w:val="0040070D"/>
    <w:rsid w:val="00400C1D"/>
    <w:rsid w:val="004012FF"/>
    <w:rsid w:val="00402705"/>
    <w:rsid w:val="00402B10"/>
    <w:rsid w:val="00402B48"/>
    <w:rsid w:val="00404468"/>
    <w:rsid w:val="00404807"/>
    <w:rsid w:val="004052E7"/>
    <w:rsid w:val="00405811"/>
    <w:rsid w:val="004059DD"/>
    <w:rsid w:val="00405AD2"/>
    <w:rsid w:val="00405C8C"/>
    <w:rsid w:val="00405F4F"/>
    <w:rsid w:val="00406BBB"/>
    <w:rsid w:val="00407C3A"/>
    <w:rsid w:val="00407DC7"/>
    <w:rsid w:val="00407E0B"/>
    <w:rsid w:val="004103B8"/>
    <w:rsid w:val="00410A70"/>
    <w:rsid w:val="00410B3B"/>
    <w:rsid w:val="00410C59"/>
    <w:rsid w:val="0041159A"/>
    <w:rsid w:val="00411CF0"/>
    <w:rsid w:val="00411D8F"/>
    <w:rsid w:val="00411F5D"/>
    <w:rsid w:val="004121FA"/>
    <w:rsid w:val="004127F0"/>
    <w:rsid w:val="0041283F"/>
    <w:rsid w:val="0041318C"/>
    <w:rsid w:val="00413800"/>
    <w:rsid w:val="004139A1"/>
    <w:rsid w:val="00413EE1"/>
    <w:rsid w:val="00414DC0"/>
    <w:rsid w:val="00415268"/>
    <w:rsid w:val="004158B7"/>
    <w:rsid w:val="0041596C"/>
    <w:rsid w:val="00415D2D"/>
    <w:rsid w:val="00415E8E"/>
    <w:rsid w:val="0041607A"/>
    <w:rsid w:val="00416272"/>
    <w:rsid w:val="00416864"/>
    <w:rsid w:val="00416BFE"/>
    <w:rsid w:val="0041733E"/>
    <w:rsid w:val="004173EC"/>
    <w:rsid w:val="004175C4"/>
    <w:rsid w:val="0041791B"/>
    <w:rsid w:val="0041791C"/>
    <w:rsid w:val="00417C08"/>
    <w:rsid w:val="00417D00"/>
    <w:rsid w:val="0042007A"/>
    <w:rsid w:val="00420297"/>
    <w:rsid w:val="004206E7"/>
    <w:rsid w:val="00420828"/>
    <w:rsid w:val="00420AB4"/>
    <w:rsid w:val="004211F2"/>
    <w:rsid w:val="004215A3"/>
    <w:rsid w:val="00421658"/>
    <w:rsid w:val="004220B3"/>
    <w:rsid w:val="00422F89"/>
    <w:rsid w:val="00424050"/>
    <w:rsid w:val="004247FB"/>
    <w:rsid w:val="00424ABD"/>
    <w:rsid w:val="00424BA1"/>
    <w:rsid w:val="00424D30"/>
    <w:rsid w:val="00425F97"/>
    <w:rsid w:val="0042608C"/>
    <w:rsid w:val="004264F0"/>
    <w:rsid w:val="00427E6B"/>
    <w:rsid w:val="00430731"/>
    <w:rsid w:val="00430C4F"/>
    <w:rsid w:val="00430E8A"/>
    <w:rsid w:val="00430FEB"/>
    <w:rsid w:val="0043174B"/>
    <w:rsid w:val="00431DC2"/>
    <w:rsid w:val="00431DD0"/>
    <w:rsid w:val="0043211E"/>
    <w:rsid w:val="00432DC7"/>
    <w:rsid w:val="00433059"/>
    <w:rsid w:val="00433636"/>
    <w:rsid w:val="00433B5F"/>
    <w:rsid w:val="00433C54"/>
    <w:rsid w:val="0043456F"/>
    <w:rsid w:val="00434C09"/>
    <w:rsid w:val="004352FE"/>
    <w:rsid w:val="0043593D"/>
    <w:rsid w:val="00436403"/>
    <w:rsid w:val="00437151"/>
    <w:rsid w:val="0043761A"/>
    <w:rsid w:val="00437D2E"/>
    <w:rsid w:val="00440918"/>
    <w:rsid w:val="00440BDE"/>
    <w:rsid w:val="00440E91"/>
    <w:rsid w:val="0044117F"/>
    <w:rsid w:val="00441E11"/>
    <w:rsid w:val="004422AE"/>
    <w:rsid w:val="004425F5"/>
    <w:rsid w:val="00442FEF"/>
    <w:rsid w:val="00443AD3"/>
    <w:rsid w:val="00443C2A"/>
    <w:rsid w:val="00444300"/>
    <w:rsid w:val="004449E6"/>
    <w:rsid w:val="0044600B"/>
    <w:rsid w:val="00446270"/>
    <w:rsid w:val="004466CD"/>
    <w:rsid w:val="0044699B"/>
    <w:rsid w:val="00446BD3"/>
    <w:rsid w:val="00446DB1"/>
    <w:rsid w:val="00447114"/>
    <w:rsid w:val="004473AB"/>
    <w:rsid w:val="00447A5A"/>
    <w:rsid w:val="00447A7D"/>
    <w:rsid w:val="00447C8F"/>
    <w:rsid w:val="004501B7"/>
    <w:rsid w:val="0045065C"/>
    <w:rsid w:val="00450D9B"/>
    <w:rsid w:val="00451065"/>
    <w:rsid w:val="00451C36"/>
    <w:rsid w:val="00451DB2"/>
    <w:rsid w:val="00452808"/>
    <w:rsid w:val="00453076"/>
    <w:rsid w:val="00453725"/>
    <w:rsid w:val="004537D9"/>
    <w:rsid w:val="00453C5F"/>
    <w:rsid w:val="00453C8C"/>
    <w:rsid w:val="00454385"/>
    <w:rsid w:val="004543FB"/>
    <w:rsid w:val="004547EF"/>
    <w:rsid w:val="00454CF8"/>
    <w:rsid w:val="00454E65"/>
    <w:rsid w:val="00455300"/>
    <w:rsid w:val="004553E6"/>
    <w:rsid w:val="0045620E"/>
    <w:rsid w:val="0045667C"/>
    <w:rsid w:val="00456B67"/>
    <w:rsid w:val="00456CCB"/>
    <w:rsid w:val="004572EA"/>
    <w:rsid w:val="004577FA"/>
    <w:rsid w:val="0045792B"/>
    <w:rsid w:val="004603F6"/>
    <w:rsid w:val="0046052B"/>
    <w:rsid w:val="00460D1E"/>
    <w:rsid w:val="00461B5B"/>
    <w:rsid w:val="00461B62"/>
    <w:rsid w:val="00461CCC"/>
    <w:rsid w:val="00461D29"/>
    <w:rsid w:val="0046212A"/>
    <w:rsid w:val="0046254E"/>
    <w:rsid w:val="004625F8"/>
    <w:rsid w:val="0046272B"/>
    <w:rsid w:val="00462820"/>
    <w:rsid w:val="004628F1"/>
    <w:rsid w:val="0046293A"/>
    <w:rsid w:val="00462B60"/>
    <w:rsid w:val="00462E96"/>
    <w:rsid w:val="00463374"/>
    <w:rsid w:val="00463715"/>
    <w:rsid w:val="004639FE"/>
    <w:rsid w:val="00463BA9"/>
    <w:rsid w:val="00463D46"/>
    <w:rsid w:val="00464D64"/>
    <w:rsid w:val="004653C5"/>
    <w:rsid w:val="004659F6"/>
    <w:rsid w:val="00466966"/>
    <w:rsid w:val="00467538"/>
    <w:rsid w:val="004675B1"/>
    <w:rsid w:val="00467C05"/>
    <w:rsid w:val="0047052E"/>
    <w:rsid w:val="0047096A"/>
    <w:rsid w:val="00470A40"/>
    <w:rsid w:val="00470C3E"/>
    <w:rsid w:val="00470DCE"/>
    <w:rsid w:val="004714E3"/>
    <w:rsid w:val="00471715"/>
    <w:rsid w:val="0047208B"/>
    <w:rsid w:val="00472682"/>
    <w:rsid w:val="00472780"/>
    <w:rsid w:val="004728F0"/>
    <w:rsid w:val="004737EE"/>
    <w:rsid w:val="00473AB6"/>
    <w:rsid w:val="00473CBA"/>
    <w:rsid w:val="004743DC"/>
    <w:rsid w:val="00474721"/>
    <w:rsid w:val="00474EDC"/>
    <w:rsid w:val="0047556B"/>
    <w:rsid w:val="00475EB9"/>
    <w:rsid w:val="0047602A"/>
    <w:rsid w:val="0047606E"/>
    <w:rsid w:val="004760AD"/>
    <w:rsid w:val="00476E08"/>
    <w:rsid w:val="00477123"/>
    <w:rsid w:val="0047761D"/>
    <w:rsid w:val="0048053B"/>
    <w:rsid w:val="00480A0A"/>
    <w:rsid w:val="004816EC"/>
    <w:rsid w:val="004817FD"/>
    <w:rsid w:val="0048231E"/>
    <w:rsid w:val="00482400"/>
    <w:rsid w:val="00482817"/>
    <w:rsid w:val="00483AED"/>
    <w:rsid w:val="00483BC7"/>
    <w:rsid w:val="004840B8"/>
    <w:rsid w:val="00484180"/>
    <w:rsid w:val="004843D8"/>
    <w:rsid w:val="0048513D"/>
    <w:rsid w:val="00485431"/>
    <w:rsid w:val="00485650"/>
    <w:rsid w:val="00485927"/>
    <w:rsid w:val="00485EAC"/>
    <w:rsid w:val="00486591"/>
    <w:rsid w:val="00486F1D"/>
    <w:rsid w:val="004871D0"/>
    <w:rsid w:val="0048762A"/>
    <w:rsid w:val="00487AF2"/>
    <w:rsid w:val="0049000A"/>
    <w:rsid w:val="0049004B"/>
    <w:rsid w:val="004904BC"/>
    <w:rsid w:val="0049068A"/>
    <w:rsid w:val="004906CB"/>
    <w:rsid w:val="004908D5"/>
    <w:rsid w:val="00490B52"/>
    <w:rsid w:val="00490CBC"/>
    <w:rsid w:val="00490E9D"/>
    <w:rsid w:val="00491159"/>
    <w:rsid w:val="004914C7"/>
    <w:rsid w:val="004917A5"/>
    <w:rsid w:val="00491808"/>
    <w:rsid w:val="00492854"/>
    <w:rsid w:val="00492C3F"/>
    <w:rsid w:val="0049312C"/>
    <w:rsid w:val="0049313B"/>
    <w:rsid w:val="004931D6"/>
    <w:rsid w:val="00493417"/>
    <w:rsid w:val="0049374A"/>
    <w:rsid w:val="0049424B"/>
    <w:rsid w:val="0049491F"/>
    <w:rsid w:val="00495494"/>
    <w:rsid w:val="00495B30"/>
    <w:rsid w:val="004967E8"/>
    <w:rsid w:val="00497DEE"/>
    <w:rsid w:val="004A1531"/>
    <w:rsid w:val="004A15B3"/>
    <w:rsid w:val="004A1BAC"/>
    <w:rsid w:val="004A2B75"/>
    <w:rsid w:val="004A310D"/>
    <w:rsid w:val="004A4732"/>
    <w:rsid w:val="004A476E"/>
    <w:rsid w:val="004A4EAE"/>
    <w:rsid w:val="004A5627"/>
    <w:rsid w:val="004A57C3"/>
    <w:rsid w:val="004A5A9C"/>
    <w:rsid w:val="004A5AE2"/>
    <w:rsid w:val="004A5E19"/>
    <w:rsid w:val="004A5E1C"/>
    <w:rsid w:val="004A6946"/>
    <w:rsid w:val="004A6E20"/>
    <w:rsid w:val="004A6E91"/>
    <w:rsid w:val="004A751F"/>
    <w:rsid w:val="004A75BE"/>
    <w:rsid w:val="004B05B3"/>
    <w:rsid w:val="004B05F3"/>
    <w:rsid w:val="004B07E3"/>
    <w:rsid w:val="004B0C45"/>
    <w:rsid w:val="004B0C7B"/>
    <w:rsid w:val="004B23DF"/>
    <w:rsid w:val="004B2E65"/>
    <w:rsid w:val="004B32BE"/>
    <w:rsid w:val="004B32E7"/>
    <w:rsid w:val="004B3393"/>
    <w:rsid w:val="004B375D"/>
    <w:rsid w:val="004B3ACE"/>
    <w:rsid w:val="004B3B44"/>
    <w:rsid w:val="004B3C6F"/>
    <w:rsid w:val="004B3F60"/>
    <w:rsid w:val="004B46E7"/>
    <w:rsid w:val="004B49B2"/>
    <w:rsid w:val="004B50C9"/>
    <w:rsid w:val="004B51BD"/>
    <w:rsid w:val="004B5494"/>
    <w:rsid w:val="004B5AF5"/>
    <w:rsid w:val="004B6B3C"/>
    <w:rsid w:val="004B6E0C"/>
    <w:rsid w:val="004B79C6"/>
    <w:rsid w:val="004C012A"/>
    <w:rsid w:val="004C0F2A"/>
    <w:rsid w:val="004C1836"/>
    <w:rsid w:val="004C1E9B"/>
    <w:rsid w:val="004C1F63"/>
    <w:rsid w:val="004C1FB5"/>
    <w:rsid w:val="004C2238"/>
    <w:rsid w:val="004C2C3A"/>
    <w:rsid w:val="004C33AB"/>
    <w:rsid w:val="004C35F0"/>
    <w:rsid w:val="004C3970"/>
    <w:rsid w:val="004C544A"/>
    <w:rsid w:val="004C5AAB"/>
    <w:rsid w:val="004C5E92"/>
    <w:rsid w:val="004C5FBB"/>
    <w:rsid w:val="004C6353"/>
    <w:rsid w:val="004C6E90"/>
    <w:rsid w:val="004C7306"/>
    <w:rsid w:val="004C7399"/>
    <w:rsid w:val="004C74CB"/>
    <w:rsid w:val="004D0BA8"/>
    <w:rsid w:val="004D0C9C"/>
    <w:rsid w:val="004D0D52"/>
    <w:rsid w:val="004D0DE4"/>
    <w:rsid w:val="004D0EBE"/>
    <w:rsid w:val="004D1963"/>
    <w:rsid w:val="004D2297"/>
    <w:rsid w:val="004D2917"/>
    <w:rsid w:val="004D2AD0"/>
    <w:rsid w:val="004D321C"/>
    <w:rsid w:val="004D391B"/>
    <w:rsid w:val="004D43DF"/>
    <w:rsid w:val="004D4439"/>
    <w:rsid w:val="004D4BA6"/>
    <w:rsid w:val="004D4E59"/>
    <w:rsid w:val="004D4F5A"/>
    <w:rsid w:val="004D7A1A"/>
    <w:rsid w:val="004D7DAE"/>
    <w:rsid w:val="004D7DEA"/>
    <w:rsid w:val="004E07A6"/>
    <w:rsid w:val="004E101C"/>
    <w:rsid w:val="004E1282"/>
    <w:rsid w:val="004E1379"/>
    <w:rsid w:val="004E1502"/>
    <w:rsid w:val="004E1EFF"/>
    <w:rsid w:val="004E1FE2"/>
    <w:rsid w:val="004E20F1"/>
    <w:rsid w:val="004E23ED"/>
    <w:rsid w:val="004E25D0"/>
    <w:rsid w:val="004E2602"/>
    <w:rsid w:val="004E367F"/>
    <w:rsid w:val="004E36DA"/>
    <w:rsid w:val="004E3F83"/>
    <w:rsid w:val="004E42F9"/>
    <w:rsid w:val="004E53CF"/>
    <w:rsid w:val="004E6186"/>
    <w:rsid w:val="004E6767"/>
    <w:rsid w:val="004E6CBF"/>
    <w:rsid w:val="004E6D40"/>
    <w:rsid w:val="004E6EE3"/>
    <w:rsid w:val="004E7B34"/>
    <w:rsid w:val="004E7D12"/>
    <w:rsid w:val="004F0466"/>
    <w:rsid w:val="004F0CFE"/>
    <w:rsid w:val="004F1669"/>
    <w:rsid w:val="004F28C5"/>
    <w:rsid w:val="004F2D3B"/>
    <w:rsid w:val="004F33C4"/>
    <w:rsid w:val="004F4183"/>
    <w:rsid w:val="004F466F"/>
    <w:rsid w:val="004F4BBA"/>
    <w:rsid w:val="004F4E0D"/>
    <w:rsid w:val="004F4F0B"/>
    <w:rsid w:val="004F52C9"/>
    <w:rsid w:val="004F59BE"/>
    <w:rsid w:val="004F5E53"/>
    <w:rsid w:val="004F626C"/>
    <w:rsid w:val="004F6A7C"/>
    <w:rsid w:val="004F6AF8"/>
    <w:rsid w:val="004F72A8"/>
    <w:rsid w:val="004F7508"/>
    <w:rsid w:val="004F7702"/>
    <w:rsid w:val="004F7AB1"/>
    <w:rsid w:val="004F7AC4"/>
    <w:rsid w:val="005002DE"/>
    <w:rsid w:val="005003CA"/>
    <w:rsid w:val="00500548"/>
    <w:rsid w:val="00500C27"/>
    <w:rsid w:val="00501235"/>
    <w:rsid w:val="00501509"/>
    <w:rsid w:val="005020EF"/>
    <w:rsid w:val="005037FE"/>
    <w:rsid w:val="00503A05"/>
    <w:rsid w:val="00503B1E"/>
    <w:rsid w:val="00503F2E"/>
    <w:rsid w:val="00504172"/>
    <w:rsid w:val="00504749"/>
    <w:rsid w:val="00504967"/>
    <w:rsid w:val="00504CC8"/>
    <w:rsid w:val="00504CEB"/>
    <w:rsid w:val="00504E1E"/>
    <w:rsid w:val="00504E5E"/>
    <w:rsid w:val="00505793"/>
    <w:rsid w:val="00505A90"/>
    <w:rsid w:val="00505B97"/>
    <w:rsid w:val="00505CBF"/>
    <w:rsid w:val="005065DA"/>
    <w:rsid w:val="005068CA"/>
    <w:rsid w:val="0051046D"/>
    <w:rsid w:val="00510ABD"/>
    <w:rsid w:val="00510E60"/>
    <w:rsid w:val="00510F5F"/>
    <w:rsid w:val="005111DD"/>
    <w:rsid w:val="00511CD5"/>
    <w:rsid w:val="00512B6A"/>
    <w:rsid w:val="00512D22"/>
    <w:rsid w:val="00512D4D"/>
    <w:rsid w:val="00512DF0"/>
    <w:rsid w:val="00513230"/>
    <w:rsid w:val="0051328D"/>
    <w:rsid w:val="00513584"/>
    <w:rsid w:val="005137F3"/>
    <w:rsid w:val="00513844"/>
    <w:rsid w:val="00513D18"/>
    <w:rsid w:val="00513E5C"/>
    <w:rsid w:val="00514006"/>
    <w:rsid w:val="00514440"/>
    <w:rsid w:val="00514B53"/>
    <w:rsid w:val="00514FA0"/>
    <w:rsid w:val="00515266"/>
    <w:rsid w:val="0051558E"/>
    <w:rsid w:val="005155F6"/>
    <w:rsid w:val="0051575E"/>
    <w:rsid w:val="0051599D"/>
    <w:rsid w:val="00515CD8"/>
    <w:rsid w:val="0051620B"/>
    <w:rsid w:val="00516324"/>
    <w:rsid w:val="00516583"/>
    <w:rsid w:val="00516E5C"/>
    <w:rsid w:val="00516FAD"/>
    <w:rsid w:val="005172A6"/>
    <w:rsid w:val="005178DF"/>
    <w:rsid w:val="0052050D"/>
    <w:rsid w:val="00520A4E"/>
    <w:rsid w:val="00520DA6"/>
    <w:rsid w:val="005213F6"/>
    <w:rsid w:val="0052237A"/>
    <w:rsid w:val="005223D3"/>
    <w:rsid w:val="00522725"/>
    <w:rsid w:val="00522808"/>
    <w:rsid w:val="00522A1A"/>
    <w:rsid w:val="00522B7E"/>
    <w:rsid w:val="00522FE0"/>
    <w:rsid w:val="00523261"/>
    <w:rsid w:val="005237E0"/>
    <w:rsid w:val="005238D7"/>
    <w:rsid w:val="005238D8"/>
    <w:rsid w:val="00523EF6"/>
    <w:rsid w:val="00524743"/>
    <w:rsid w:val="00524ADD"/>
    <w:rsid w:val="00524D1E"/>
    <w:rsid w:val="00524E08"/>
    <w:rsid w:val="00525521"/>
    <w:rsid w:val="005255BF"/>
    <w:rsid w:val="00525AA9"/>
    <w:rsid w:val="005260E8"/>
    <w:rsid w:val="00526DBB"/>
    <w:rsid w:val="00527009"/>
    <w:rsid w:val="0052717A"/>
    <w:rsid w:val="005274BD"/>
    <w:rsid w:val="00527501"/>
    <w:rsid w:val="005278C3"/>
    <w:rsid w:val="005279DE"/>
    <w:rsid w:val="00527C92"/>
    <w:rsid w:val="00530049"/>
    <w:rsid w:val="005303B6"/>
    <w:rsid w:val="0053111C"/>
    <w:rsid w:val="00531E6D"/>
    <w:rsid w:val="0053212D"/>
    <w:rsid w:val="00532605"/>
    <w:rsid w:val="00532BD7"/>
    <w:rsid w:val="00532C2C"/>
    <w:rsid w:val="00532D0A"/>
    <w:rsid w:val="00533CB0"/>
    <w:rsid w:val="00533FF4"/>
    <w:rsid w:val="005342E4"/>
    <w:rsid w:val="005347C7"/>
    <w:rsid w:val="0053536F"/>
    <w:rsid w:val="00535CFD"/>
    <w:rsid w:val="0053646F"/>
    <w:rsid w:val="00536E61"/>
    <w:rsid w:val="00537311"/>
    <w:rsid w:val="00537440"/>
    <w:rsid w:val="005377DB"/>
    <w:rsid w:val="005379D2"/>
    <w:rsid w:val="00540236"/>
    <w:rsid w:val="00540F6F"/>
    <w:rsid w:val="0054104F"/>
    <w:rsid w:val="0054188E"/>
    <w:rsid w:val="00542134"/>
    <w:rsid w:val="005425B7"/>
    <w:rsid w:val="00542E83"/>
    <w:rsid w:val="00543B4F"/>
    <w:rsid w:val="00543CF5"/>
    <w:rsid w:val="00544BAE"/>
    <w:rsid w:val="00545CE4"/>
    <w:rsid w:val="0054602B"/>
    <w:rsid w:val="00546C7B"/>
    <w:rsid w:val="00546E91"/>
    <w:rsid w:val="005473AF"/>
    <w:rsid w:val="0054748E"/>
    <w:rsid w:val="00550224"/>
    <w:rsid w:val="005504F2"/>
    <w:rsid w:val="00551304"/>
    <w:rsid w:val="00551B50"/>
    <w:rsid w:val="00551E98"/>
    <w:rsid w:val="00552389"/>
    <w:rsid w:val="005534C2"/>
    <w:rsid w:val="00553D68"/>
    <w:rsid w:val="0055499A"/>
    <w:rsid w:val="005549D5"/>
    <w:rsid w:val="00554EE7"/>
    <w:rsid w:val="00555E83"/>
    <w:rsid w:val="0055720E"/>
    <w:rsid w:val="005572E7"/>
    <w:rsid w:val="0055771B"/>
    <w:rsid w:val="00557807"/>
    <w:rsid w:val="00557810"/>
    <w:rsid w:val="00557B80"/>
    <w:rsid w:val="00557D51"/>
    <w:rsid w:val="005601E0"/>
    <w:rsid w:val="005603B3"/>
    <w:rsid w:val="00560584"/>
    <w:rsid w:val="00560B9B"/>
    <w:rsid w:val="00560ED5"/>
    <w:rsid w:val="00560EEB"/>
    <w:rsid w:val="005615AB"/>
    <w:rsid w:val="00561BA6"/>
    <w:rsid w:val="00561DBF"/>
    <w:rsid w:val="00561E7B"/>
    <w:rsid w:val="00561F87"/>
    <w:rsid w:val="00562022"/>
    <w:rsid w:val="005624CA"/>
    <w:rsid w:val="00562694"/>
    <w:rsid w:val="00562A32"/>
    <w:rsid w:val="00562E7D"/>
    <w:rsid w:val="005636E4"/>
    <w:rsid w:val="00563C5A"/>
    <w:rsid w:val="00563D87"/>
    <w:rsid w:val="005645BB"/>
    <w:rsid w:val="0056466E"/>
    <w:rsid w:val="0056482C"/>
    <w:rsid w:val="005654C1"/>
    <w:rsid w:val="00565572"/>
    <w:rsid w:val="0056560A"/>
    <w:rsid w:val="00565C6C"/>
    <w:rsid w:val="00565FA6"/>
    <w:rsid w:val="00566AE1"/>
    <w:rsid w:val="00566E3B"/>
    <w:rsid w:val="005671F5"/>
    <w:rsid w:val="00567983"/>
    <w:rsid w:val="00567A3A"/>
    <w:rsid w:val="00567A54"/>
    <w:rsid w:val="00567D1C"/>
    <w:rsid w:val="00567ED1"/>
    <w:rsid w:val="005703D4"/>
    <w:rsid w:val="00570774"/>
    <w:rsid w:val="00570CEB"/>
    <w:rsid w:val="005716D2"/>
    <w:rsid w:val="00571802"/>
    <w:rsid w:val="00572023"/>
    <w:rsid w:val="0057231B"/>
    <w:rsid w:val="00572A67"/>
    <w:rsid w:val="00572DD4"/>
    <w:rsid w:val="00572E4B"/>
    <w:rsid w:val="00573302"/>
    <w:rsid w:val="0057394F"/>
    <w:rsid w:val="00574BCE"/>
    <w:rsid w:val="005752DD"/>
    <w:rsid w:val="0057536D"/>
    <w:rsid w:val="0057548A"/>
    <w:rsid w:val="00575646"/>
    <w:rsid w:val="00575814"/>
    <w:rsid w:val="00575A08"/>
    <w:rsid w:val="00576481"/>
    <w:rsid w:val="0057651B"/>
    <w:rsid w:val="00577340"/>
    <w:rsid w:val="00577600"/>
    <w:rsid w:val="005778C8"/>
    <w:rsid w:val="00577C9E"/>
    <w:rsid w:val="00577CA5"/>
    <w:rsid w:val="0058000D"/>
    <w:rsid w:val="0058080F"/>
    <w:rsid w:val="00580F35"/>
    <w:rsid w:val="0058105A"/>
    <w:rsid w:val="00581426"/>
    <w:rsid w:val="00581860"/>
    <w:rsid w:val="005819F1"/>
    <w:rsid w:val="0058244C"/>
    <w:rsid w:val="00582752"/>
    <w:rsid w:val="00582A1E"/>
    <w:rsid w:val="00582DEA"/>
    <w:rsid w:val="00583077"/>
    <w:rsid w:val="0058309A"/>
    <w:rsid w:val="00583370"/>
    <w:rsid w:val="0058346F"/>
    <w:rsid w:val="0058372F"/>
    <w:rsid w:val="00583E00"/>
    <w:rsid w:val="005854AC"/>
    <w:rsid w:val="00585EEE"/>
    <w:rsid w:val="00585FFA"/>
    <w:rsid w:val="00586223"/>
    <w:rsid w:val="005862C2"/>
    <w:rsid w:val="005869A8"/>
    <w:rsid w:val="00586AA0"/>
    <w:rsid w:val="005872BF"/>
    <w:rsid w:val="0059051D"/>
    <w:rsid w:val="005907E0"/>
    <w:rsid w:val="00590AF3"/>
    <w:rsid w:val="00590BBC"/>
    <w:rsid w:val="00590E87"/>
    <w:rsid w:val="0059136B"/>
    <w:rsid w:val="00591985"/>
    <w:rsid w:val="00591F0F"/>
    <w:rsid w:val="005921FE"/>
    <w:rsid w:val="00592278"/>
    <w:rsid w:val="00592510"/>
    <w:rsid w:val="0059354F"/>
    <w:rsid w:val="00593E5A"/>
    <w:rsid w:val="0059424F"/>
    <w:rsid w:val="00594342"/>
    <w:rsid w:val="00594656"/>
    <w:rsid w:val="00594F73"/>
    <w:rsid w:val="00595B0E"/>
    <w:rsid w:val="00595E96"/>
    <w:rsid w:val="00595FB7"/>
    <w:rsid w:val="0059645F"/>
    <w:rsid w:val="005967D7"/>
    <w:rsid w:val="00596D52"/>
    <w:rsid w:val="005971E7"/>
    <w:rsid w:val="0059794C"/>
    <w:rsid w:val="00597E90"/>
    <w:rsid w:val="005A09AE"/>
    <w:rsid w:val="005A0DA7"/>
    <w:rsid w:val="005A12E3"/>
    <w:rsid w:val="005A1459"/>
    <w:rsid w:val="005A1AFA"/>
    <w:rsid w:val="005A1BEF"/>
    <w:rsid w:val="005A2682"/>
    <w:rsid w:val="005A2E6F"/>
    <w:rsid w:val="005A422F"/>
    <w:rsid w:val="005A4834"/>
    <w:rsid w:val="005A483D"/>
    <w:rsid w:val="005A48CE"/>
    <w:rsid w:val="005A4A7D"/>
    <w:rsid w:val="005A5D7D"/>
    <w:rsid w:val="005A65E3"/>
    <w:rsid w:val="005A6D23"/>
    <w:rsid w:val="005A6E9A"/>
    <w:rsid w:val="005A7BE6"/>
    <w:rsid w:val="005A7FD1"/>
    <w:rsid w:val="005B0CBE"/>
    <w:rsid w:val="005B0DF1"/>
    <w:rsid w:val="005B0F94"/>
    <w:rsid w:val="005B189B"/>
    <w:rsid w:val="005B2399"/>
    <w:rsid w:val="005B272C"/>
    <w:rsid w:val="005B2D9D"/>
    <w:rsid w:val="005B3083"/>
    <w:rsid w:val="005B34F3"/>
    <w:rsid w:val="005B375E"/>
    <w:rsid w:val="005B3BEF"/>
    <w:rsid w:val="005B3C1C"/>
    <w:rsid w:val="005B3C73"/>
    <w:rsid w:val="005B3D27"/>
    <w:rsid w:val="005B3FE5"/>
    <w:rsid w:val="005B4057"/>
    <w:rsid w:val="005B4132"/>
    <w:rsid w:val="005B443C"/>
    <w:rsid w:val="005B4632"/>
    <w:rsid w:val="005B4A84"/>
    <w:rsid w:val="005B4F5F"/>
    <w:rsid w:val="005B588D"/>
    <w:rsid w:val="005B5B8A"/>
    <w:rsid w:val="005B6631"/>
    <w:rsid w:val="005B6C41"/>
    <w:rsid w:val="005B7017"/>
    <w:rsid w:val="005B7138"/>
    <w:rsid w:val="005B7533"/>
    <w:rsid w:val="005C0401"/>
    <w:rsid w:val="005C04FD"/>
    <w:rsid w:val="005C0D1D"/>
    <w:rsid w:val="005C1399"/>
    <w:rsid w:val="005C14B0"/>
    <w:rsid w:val="005C27E2"/>
    <w:rsid w:val="005C2A06"/>
    <w:rsid w:val="005C2A07"/>
    <w:rsid w:val="005C2F60"/>
    <w:rsid w:val="005C3326"/>
    <w:rsid w:val="005C3983"/>
    <w:rsid w:val="005C3DC8"/>
    <w:rsid w:val="005C3DE6"/>
    <w:rsid w:val="005C3E8E"/>
    <w:rsid w:val="005C50B2"/>
    <w:rsid w:val="005C5468"/>
    <w:rsid w:val="005C59F6"/>
    <w:rsid w:val="005C5AC6"/>
    <w:rsid w:val="005C6253"/>
    <w:rsid w:val="005C69A6"/>
    <w:rsid w:val="005C705E"/>
    <w:rsid w:val="005C74FE"/>
    <w:rsid w:val="005C7812"/>
    <w:rsid w:val="005C7A5B"/>
    <w:rsid w:val="005C7A84"/>
    <w:rsid w:val="005C7B3F"/>
    <w:rsid w:val="005C7F4A"/>
    <w:rsid w:val="005D0CD4"/>
    <w:rsid w:val="005D19A4"/>
    <w:rsid w:val="005D1A21"/>
    <w:rsid w:val="005D1D99"/>
    <w:rsid w:val="005D209A"/>
    <w:rsid w:val="005D27FF"/>
    <w:rsid w:val="005D28E4"/>
    <w:rsid w:val="005D2901"/>
    <w:rsid w:val="005D2969"/>
    <w:rsid w:val="005D29B0"/>
    <w:rsid w:val="005D2C40"/>
    <w:rsid w:val="005D2D4E"/>
    <w:rsid w:val="005D3A56"/>
    <w:rsid w:val="005D3EE7"/>
    <w:rsid w:val="005D4588"/>
    <w:rsid w:val="005D4ECC"/>
    <w:rsid w:val="005D502A"/>
    <w:rsid w:val="005D680D"/>
    <w:rsid w:val="005D6FF8"/>
    <w:rsid w:val="005D7D57"/>
    <w:rsid w:val="005E105F"/>
    <w:rsid w:val="005E107F"/>
    <w:rsid w:val="005E11CA"/>
    <w:rsid w:val="005E15E9"/>
    <w:rsid w:val="005E1DC3"/>
    <w:rsid w:val="005E20C9"/>
    <w:rsid w:val="005E2A96"/>
    <w:rsid w:val="005E2F3B"/>
    <w:rsid w:val="005E2FD0"/>
    <w:rsid w:val="005E34DC"/>
    <w:rsid w:val="005E36D8"/>
    <w:rsid w:val="005E3906"/>
    <w:rsid w:val="005E39DD"/>
    <w:rsid w:val="005E3BF5"/>
    <w:rsid w:val="005E3CA9"/>
    <w:rsid w:val="005E400A"/>
    <w:rsid w:val="005E41F5"/>
    <w:rsid w:val="005E4202"/>
    <w:rsid w:val="005E4596"/>
    <w:rsid w:val="005E48AA"/>
    <w:rsid w:val="005E4B0A"/>
    <w:rsid w:val="005E518A"/>
    <w:rsid w:val="005E520E"/>
    <w:rsid w:val="005E5705"/>
    <w:rsid w:val="005E5C5A"/>
    <w:rsid w:val="005E5D06"/>
    <w:rsid w:val="005E671C"/>
    <w:rsid w:val="005E7131"/>
    <w:rsid w:val="005E741D"/>
    <w:rsid w:val="005E794F"/>
    <w:rsid w:val="005E7EE8"/>
    <w:rsid w:val="005F027A"/>
    <w:rsid w:val="005F052E"/>
    <w:rsid w:val="005F07A1"/>
    <w:rsid w:val="005F0994"/>
    <w:rsid w:val="005F15E6"/>
    <w:rsid w:val="005F16B6"/>
    <w:rsid w:val="005F1C8C"/>
    <w:rsid w:val="005F2621"/>
    <w:rsid w:val="005F29C4"/>
    <w:rsid w:val="005F2E95"/>
    <w:rsid w:val="005F34A3"/>
    <w:rsid w:val="005F3E28"/>
    <w:rsid w:val="005F4150"/>
    <w:rsid w:val="005F4191"/>
    <w:rsid w:val="005F4385"/>
    <w:rsid w:val="005F448A"/>
    <w:rsid w:val="005F4F68"/>
    <w:rsid w:val="005F58B7"/>
    <w:rsid w:val="005F59A7"/>
    <w:rsid w:val="005F5BBA"/>
    <w:rsid w:val="005F5CCD"/>
    <w:rsid w:val="005F5E23"/>
    <w:rsid w:val="005F6407"/>
    <w:rsid w:val="005F6631"/>
    <w:rsid w:val="005F6776"/>
    <w:rsid w:val="005F681E"/>
    <w:rsid w:val="005F6B9F"/>
    <w:rsid w:val="005F7057"/>
    <w:rsid w:val="00600339"/>
    <w:rsid w:val="006021BA"/>
    <w:rsid w:val="006023AA"/>
    <w:rsid w:val="00602D7A"/>
    <w:rsid w:val="00602D8E"/>
    <w:rsid w:val="00603441"/>
    <w:rsid w:val="00603949"/>
    <w:rsid w:val="006046CA"/>
    <w:rsid w:val="006049E0"/>
    <w:rsid w:val="00604A8A"/>
    <w:rsid w:val="00604E93"/>
    <w:rsid w:val="00605150"/>
    <w:rsid w:val="006059C0"/>
    <w:rsid w:val="00605D5E"/>
    <w:rsid w:val="00606922"/>
    <w:rsid w:val="00606E40"/>
    <w:rsid w:val="006102FA"/>
    <w:rsid w:val="006106A5"/>
    <w:rsid w:val="00610C3E"/>
    <w:rsid w:val="006113EC"/>
    <w:rsid w:val="0061144A"/>
    <w:rsid w:val="00611904"/>
    <w:rsid w:val="006119D7"/>
    <w:rsid w:val="00612C48"/>
    <w:rsid w:val="00612F41"/>
    <w:rsid w:val="00613747"/>
    <w:rsid w:val="0061390C"/>
    <w:rsid w:val="00613C8E"/>
    <w:rsid w:val="00613E54"/>
    <w:rsid w:val="00614CB5"/>
    <w:rsid w:val="00614F98"/>
    <w:rsid w:val="0061523E"/>
    <w:rsid w:val="00615538"/>
    <w:rsid w:val="0061557F"/>
    <w:rsid w:val="00615BD6"/>
    <w:rsid w:val="0061629D"/>
    <w:rsid w:val="00616527"/>
    <w:rsid w:val="006165D9"/>
    <w:rsid w:val="006166C6"/>
    <w:rsid w:val="006170FB"/>
    <w:rsid w:val="0061784B"/>
    <w:rsid w:val="00617886"/>
    <w:rsid w:val="006178C0"/>
    <w:rsid w:val="0061790E"/>
    <w:rsid w:val="00617DAF"/>
    <w:rsid w:val="00617EB4"/>
    <w:rsid w:val="006207F3"/>
    <w:rsid w:val="00620BC9"/>
    <w:rsid w:val="00621139"/>
    <w:rsid w:val="00621168"/>
    <w:rsid w:val="006213F6"/>
    <w:rsid w:val="0062226E"/>
    <w:rsid w:val="006228D2"/>
    <w:rsid w:val="00622FBA"/>
    <w:rsid w:val="00623076"/>
    <w:rsid w:val="006230EB"/>
    <w:rsid w:val="0062332E"/>
    <w:rsid w:val="0062375F"/>
    <w:rsid w:val="00623D52"/>
    <w:rsid w:val="006240C3"/>
    <w:rsid w:val="00624250"/>
    <w:rsid w:val="006248B2"/>
    <w:rsid w:val="00624945"/>
    <w:rsid w:val="00624DC5"/>
    <w:rsid w:val="00624FD6"/>
    <w:rsid w:val="006254F1"/>
    <w:rsid w:val="00625B65"/>
    <w:rsid w:val="00626021"/>
    <w:rsid w:val="006260CB"/>
    <w:rsid w:val="006264A9"/>
    <w:rsid w:val="0062772A"/>
    <w:rsid w:val="00627B84"/>
    <w:rsid w:val="006300BF"/>
    <w:rsid w:val="00630604"/>
    <w:rsid w:val="00630C41"/>
    <w:rsid w:val="00630C77"/>
    <w:rsid w:val="00631638"/>
    <w:rsid w:val="0063197E"/>
    <w:rsid w:val="00631AD6"/>
    <w:rsid w:val="00631EA4"/>
    <w:rsid w:val="00632FD0"/>
    <w:rsid w:val="00632FD8"/>
    <w:rsid w:val="0063331C"/>
    <w:rsid w:val="00633BC4"/>
    <w:rsid w:val="00633E5F"/>
    <w:rsid w:val="00634346"/>
    <w:rsid w:val="006343E6"/>
    <w:rsid w:val="006345DE"/>
    <w:rsid w:val="00634937"/>
    <w:rsid w:val="00634C4E"/>
    <w:rsid w:val="00634CC2"/>
    <w:rsid w:val="00635269"/>
    <w:rsid w:val="00635287"/>
    <w:rsid w:val="00636217"/>
    <w:rsid w:val="00636D5A"/>
    <w:rsid w:val="00637045"/>
    <w:rsid w:val="00637435"/>
    <w:rsid w:val="00637451"/>
    <w:rsid w:val="0063745C"/>
    <w:rsid w:val="00640836"/>
    <w:rsid w:val="00640892"/>
    <w:rsid w:val="0064096B"/>
    <w:rsid w:val="00641127"/>
    <w:rsid w:val="006412CD"/>
    <w:rsid w:val="00641F1A"/>
    <w:rsid w:val="006425CC"/>
    <w:rsid w:val="006425D8"/>
    <w:rsid w:val="0064261F"/>
    <w:rsid w:val="00642699"/>
    <w:rsid w:val="00642A36"/>
    <w:rsid w:val="0064310F"/>
    <w:rsid w:val="00643431"/>
    <w:rsid w:val="006435EB"/>
    <w:rsid w:val="00643BF8"/>
    <w:rsid w:val="00643EBE"/>
    <w:rsid w:val="0064456A"/>
    <w:rsid w:val="006447A9"/>
    <w:rsid w:val="006448C2"/>
    <w:rsid w:val="00644AA8"/>
    <w:rsid w:val="00644D21"/>
    <w:rsid w:val="00644E2E"/>
    <w:rsid w:val="006450F0"/>
    <w:rsid w:val="00645264"/>
    <w:rsid w:val="00645C15"/>
    <w:rsid w:val="00645C6D"/>
    <w:rsid w:val="00646063"/>
    <w:rsid w:val="00646066"/>
    <w:rsid w:val="00646127"/>
    <w:rsid w:val="00646D26"/>
    <w:rsid w:val="00647012"/>
    <w:rsid w:val="00647969"/>
    <w:rsid w:val="0064796B"/>
    <w:rsid w:val="0065079A"/>
    <w:rsid w:val="00650FEC"/>
    <w:rsid w:val="00651B96"/>
    <w:rsid w:val="00651DE7"/>
    <w:rsid w:val="00651FE9"/>
    <w:rsid w:val="0065258D"/>
    <w:rsid w:val="00652652"/>
    <w:rsid w:val="006526A8"/>
    <w:rsid w:val="00652C0F"/>
    <w:rsid w:val="0065313D"/>
    <w:rsid w:val="00653163"/>
    <w:rsid w:val="00654323"/>
    <w:rsid w:val="00654E2F"/>
    <w:rsid w:val="006552F8"/>
    <w:rsid w:val="00655BF0"/>
    <w:rsid w:val="00655D59"/>
    <w:rsid w:val="00656241"/>
    <w:rsid w:val="006569BB"/>
    <w:rsid w:val="00656BBF"/>
    <w:rsid w:val="00656CF1"/>
    <w:rsid w:val="00657885"/>
    <w:rsid w:val="00660221"/>
    <w:rsid w:val="00660DF2"/>
    <w:rsid w:val="00660E12"/>
    <w:rsid w:val="00660EF5"/>
    <w:rsid w:val="00661F84"/>
    <w:rsid w:val="00662126"/>
    <w:rsid w:val="00662180"/>
    <w:rsid w:val="006622DF"/>
    <w:rsid w:val="00662B97"/>
    <w:rsid w:val="00663568"/>
    <w:rsid w:val="006637F3"/>
    <w:rsid w:val="00664196"/>
    <w:rsid w:val="006642ED"/>
    <w:rsid w:val="00664591"/>
    <w:rsid w:val="0066489E"/>
    <w:rsid w:val="00664D06"/>
    <w:rsid w:val="0066566F"/>
    <w:rsid w:val="00666363"/>
    <w:rsid w:val="00666498"/>
    <w:rsid w:val="00666C1C"/>
    <w:rsid w:val="00666EEB"/>
    <w:rsid w:val="00667017"/>
    <w:rsid w:val="00667298"/>
    <w:rsid w:val="00670AD7"/>
    <w:rsid w:val="00670C62"/>
    <w:rsid w:val="00672272"/>
    <w:rsid w:val="006727ED"/>
    <w:rsid w:val="00672E73"/>
    <w:rsid w:val="00672FB1"/>
    <w:rsid w:val="00673915"/>
    <w:rsid w:val="00673984"/>
    <w:rsid w:val="00673DFD"/>
    <w:rsid w:val="006746B9"/>
    <w:rsid w:val="00674D06"/>
    <w:rsid w:val="00674F50"/>
    <w:rsid w:val="0067642E"/>
    <w:rsid w:val="00677FBC"/>
    <w:rsid w:val="00680183"/>
    <w:rsid w:val="006801DC"/>
    <w:rsid w:val="0068096D"/>
    <w:rsid w:val="00680C1B"/>
    <w:rsid w:val="00680F53"/>
    <w:rsid w:val="006811A9"/>
    <w:rsid w:val="00681DB8"/>
    <w:rsid w:val="00681F11"/>
    <w:rsid w:val="0068237D"/>
    <w:rsid w:val="0068266B"/>
    <w:rsid w:val="006829B8"/>
    <w:rsid w:val="00682DF8"/>
    <w:rsid w:val="00682FF6"/>
    <w:rsid w:val="006830F4"/>
    <w:rsid w:val="006838CA"/>
    <w:rsid w:val="00683B77"/>
    <w:rsid w:val="0068466E"/>
    <w:rsid w:val="00684C25"/>
    <w:rsid w:val="006859AD"/>
    <w:rsid w:val="00685F24"/>
    <w:rsid w:val="00686240"/>
    <w:rsid w:val="006863DC"/>
    <w:rsid w:val="0068695D"/>
    <w:rsid w:val="0068715D"/>
    <w:rsid w:val="0068786A"/>
    <w:rsid w:val="00687AC7"/>
    <w:rsid w:val="00687DA3"/>
    <w:rsid w:val="0069006C"/>
    <w:rsid w:val="006906CB"/>
    <w:rsid w:val="00690F37"/>
    <w:rsid w:val="006917B4"/>
    <w:rsid w:val="00691BB8"/>
    <w:rsid w:val="006932C6"/>
    <w:rsid w:val="00693945"/>
    <w:rsid w:val="00693A49"/>
    <w:rsid w:val="00693FB2"/>
    <w:rsid w:val="0069443F"/>
    <w:rsid w:val="0069445A"/>
    <w:rsid w:val="00694B00"/>
    <w:rsid w:val="00694BC3"/>
    <w:rsid w:val="00695162"/>
    <w:rsid w:val="006956FB"/>
    <w:rsid w:val="006958F3"/>
    <w:rsid w:val="00695E44"/>
    <w:rsid w:val="006961A8"/>
    <w:rsid w:val="00696F85"/>
    <w:rsid w:val="00697145"/>
    <w:rsid w:val="006A040C"/>
    <w:rsid w:val="006A0CAE"/>
    <w:rsid w:val="006A0E82"/>
    <w:rsid w:val="006A13E5"/>
    <w:rsid w:val="006A1818"/>
    <w:rsid w:val="006A1EF2"/>
    <w:rsid w:val="006A22F3"/>
    <w:rsid w:val="006A24C2"/>
    <w:rsid w:val="006A2605"/>
    <w:rsid w:val="006A2AE1"/>
    <w:rsid w:val="006A2B73"/>
    <w:rsid w:val="006A2E39"/>
    <w:rsid w:val="006A2F43"/>
    <w:rsid w:val="006A3198"/>
    <w:rsid w:val="006A31C1"/>
    <w:rsid w:val="006A3A06"/>
    <w:rsid w:val="006A4BD1"/>
    <w:rsid w:val="006A4F31"/>
    <w:rsid w:val="006A50B1"/>
    <w:rsid w:val="006A5D8C"/>
    <w:rsid w:val="006A5F3A"/>
    <w:rsid w:val="006A7F58"/>
    <w:rsid w:val="006B0089"/>
    <w:rsid w:val="006B079F"/>
    <w:rsid w:val="006B0BAD"/>
    <w:rsid w:val="006B12CF"/>
    <w:rsid w:val="006B1919"/>
    <w:rsid w:val="006B1BBE"/>
    <w:rsid w:val="006B2B4B"/>
    <w:rsid w:val="006B41F5"/>
    <w:rsid w:val="006B4631"/>
    <w:rsid w:val="006B4B63"/>
    <w:rsid w:val="006B4C2E"/>
    <w:rsid w:val="006B521F"/>
    <w:rsid w:val="006B53D2"/>
    <w:rsid w:val="006B59EA"/>
    <w:rsid w:val="006B5CEC"/>
    <w:rsid w:val="006B614E"/>
    <w:rsid w:val="006B6347"/>
    <w:rsid w:val="006B670E"/>
    <w:rsid w:val="006B6A9A"/>
    <w:rsid w:val="006B7A07"/>
    <w:rsid w:val="006B7F26"/>
    <w:rsid w:val="006C0104"/>
    <w:rsid w:val="006C01C2"/>
    <w:rsid w:val="006C0306"/>
    <w:rsid w:val="006C0413"/>
    <w:rsid w:val="006C05E3"/>
    <w:rsid w:val="006C092A"/>
    <w:rsid w:val="006C0CCD"/>
    <w:rsid w:val="006C1057"/>
    <w:rsid w:val="006C124B"/>
    <w:rsid w:val="006C198D"/>
    <w:rsid w:val="006C1CDB"/>
    <w:rsid w:val="006C1EF1"/>
    <w:rsid w:val="006C208A"/>
    <w:rsid w:val="006C2698"/>
    <w:rsid w:val="006C2BDF"/>
    <w:rsid w:val="006C2D79"/>
    <w:rsid w:val="006C2DD8"/>
    <w:rsid w:val="006C315B"/>
    <w:rsid w:val="006C327A"/>
    <w:rsid w:val="006C3757"/>
    <w:rsid w:val="006C3F1B"/>
    <w:rsid w:val="006C45EF"/>
    <w:rsid w:val="006C49BB"/>
    <w:rsid w:val="006C5194"/>
    <w:rsid w:val="006C64AF"/>
    <w:rsid w:val="006C6DB7"/>
    <w:rsid w:val="006C6E1D"/>
    <w:rsid w:val="006C716C"/>
    <w:rsid w:val="006D04EF"/>
    <w:rsid w:val="006D07CD"/>
    <w:rsid w:val="006D0891"/>
    <w:rsid w:val="006D09F9"/>
    <w:rsid w:val="006D1896"/>
    <w:rsid w:val="006D1E96"/>
    <w:rsid w:val="006D1FA0"/>
    <w:rsid w:val="006D3424"/>
    <w:rsid w:val="006D3881"/>
    <w:rsid w:val="006D551A"/>
    <w:rsid w:val="006D566E"/>
    <w:rsid w:val="006D59E6"/>
    <w:rsid w:val="006D5C39"/>
    <w:rsid w:val="006D66BC"/>
    <w:rsid w:val="006D69ED"/>
    <w:rsid w:val="006D6A8A"/>
    <w:rsid w:val="006D70A5"/>
    <w:rsid w:val="006D77D0"/>
    <w:rsid w:val="006D7EF3"/>
    <w:rsid w:val="006E0482"/>
    <w:rsid w:val="006E074C"/>
    <w:rsid w:val="006E0971"/>
    <w:rsid w:val="006E0DC3"/>
    <w:rsid w:val="006E14E7"/>
    <w:rsid w:val="006E163D"/>
    <w:rsid w:val="006E18C3"/>
    <w:rsid w:val="006E2402"/>
    <w:rsid w:val="006E270B"/>
    <w:rsid w:val="006E2C15"/>
    <w:rsid w:val="006E2F82"/>
    <w:rsid w:val="006E3031"/>
    <w:rsid w:val="006E305F"/>
    <w:rsid w:val="006E327B"/>
    <w:rsid w:val="006E3580"/>
    <w:rsid w:val="006E3637"/>
    <w:rsid w:val="006E3B28"/>
    <w:rsid w:val="006E4009"/>
    <w:rsid w:val="006E409B"/>
    <w:rsid w:val="006E454D"/>
    <w:rsid w:val="006E466E"/>
    <w:rsid w:val="006E49AD"/>
    <w:rsid w:val="006E4A0C"/>
    <w:rsid w:val="006E4D6E"/>
    <w:rsid w:val="006E522D"/>
    <w:rsid w:val="006E56EE"/>
    <w:rsid w:val="006E5769"/>
    <w:rsid w:val="006E5920"/>
    <w:rsid w:val="006E5D57"/>
    <w:rsid w:val="006E5DFF"/>
    <w:rsid w:val="006E5E47"/>
    <w:rsid w:val="006E679E"/>
    <w:rsid w:val="006E6886"/>
    <w:rsid w:val="006E6B00"/>
    <w:rsid w:val="006E6B90"/>
    <w:rsid w:val="006E7736"/>
    <w:rsid w:val="006E7917"/>
    <w:rsid w:val="006E7EBF"/>
    <w:rsid w:val="006F01A1"/>
    <w:rsid w:val="006F0760"/>
    <w:rsid w:val="006F0DA1"/>
    <w:rsid w:val="006F0E74"/>
    <w:rsid w:val="006F158C"/>
    <w:rsid w:val="006F1F03"/>
    <w:rsid w:val="006F2641"/>
    <w:rsid w:val="006F273B"/>
    <w:rsid w:val="006F2B3F"/>
    <w:rsid w:val="006F313C"/>
    <w:rsid w:val="006F3313"/>
    <w:rsid w:val="006F3CBA"/>
    <w:rsid w:val="006F40C8"/>
    <w:rsid w:val="006F431D"/>
    <w:rsid w:val="006F4681"/>
    <w:rsid w:val="006F4835"/>
    <w:rsid w:val="006F4D06"/>
    <w:rsid w:val="006F4EB8"/>
    <w:rsid w:val="006F57D8"/>
    <w:rsid w:val="006F60E0"/>
    <w:rsid w:val="006F62C1"/>
    <w:rsid w:val="006F6F0E"/>
    <w:rsid w:val="006F778F"/>
    <w:rsid w:val="006F7945"/>
    <w:rsid w:val="006F7BA9"/>
    <w:rsid w:val="006F7C2E"/>
    <w:rsid w:val="00700037"/>
    <w:rsid w:val="007001A0"/>
    <w:rsid w:val="00700345"/>
    <w:rsid w:val="007003EA"/>
    <w:rsid w:val="00700E80"/>
    <w:rsid w:val="00700EDA"/>
    <w:rsid w:val="00701035"/>
    <w:rsid w:val="00701872"/>
    <w:rsid w:val="00701F25"/>
    <w:rsid w:val="007031A8"/>
    <w:rsid w:val="007031D5"/>
    <w:rsid w:val="0070380F"/>
    <w:rsid w:val="007038D3"/>
    <w:rsid w:val="00703998"/>
    <w:rsid w:val="00703B53"/>
    <w:rsid w:val="00704404"/>
    <w:rsid w:val="00704691"/>
    <w:rsid w:val="007046CB"/>
    <w:rsid w:val="0070489D"/>
    <w:rsid w:val="00705000"/>
    <w:rsid w:val="00705079"/>
    <w:rsid w:val="0070515E"/>
    <w:rsid w:val="00705837"/>
    <w:rsid w:val="0070597C"/>
    <w:rsid w:val="00705B9A"/>
    <w:rsid w:val="007061B6"/>
    <w:rsid w:val="00706869"/>
    <w:rsid w:val="00706A17"/>
    <w:rsid w:val="00706F19"/>
    <w:rsid w:val="00707B82"/>
    <w:rsid w:val="00707D87"/>
    <w:rsid w:val="00711491"/>
    <w:rsid w:val="007121ED"/>
    <w:rsid w:val="007123BD"/>
    <w:rsid w:val="00713DF1"/>
    <w:rsid w:val="0071470F"/>
    <w:rsid w:val="00714AF1"/>
    <w:rsid w:val="00714CE7"/>
    <w:rsid w:val="0071539D"/>
    <w:rsid w:val="0071558D"/>
    <w:rsid w:val="00715D53"/>
    <w:rsid w:val="0071624A"/>
    <w:rsid w:val="00716551"/>
    <w:rsid w:val="0071657F"/>
    <w:rsid w:val="00716809"/>
    <w:rsid w:val="0071770C"/>
    <w:rsid w:val="00717725"/>
    <w:rsid w:val="0071786B"/>
    <w:rsid w:val="007179ED"/>
    <w:rsid w:val="00717C92"/>
    <w:rsid w:val="00720644"/>
    <w:rsid w:val="00720899"/>
    <w:rsid w:val="007216C6"/>
    <w:rsid w:val="00721E6D"/>
    <w:rsid w:val="007223AB"/>
    <w:rsid w:val="00722452"/>
    <w:rsid w:val="00722459"/>
    <w:rsid w:val="00723394"/>
    <w:rsid w:val="007235A4"/>
    <w:rsid w:val="00723B24"/>
    <w:rsid w:val="00723B76"/>
    <w:rsid w:val="00723CE0"/>
    <w:rsid w:val="007243D9"/>
    <w:rsid w:val="00724ED0"/>
    <w:rsid w:val="00724F32"/>
    <w:rsid w:val="0072582F"/>
    <w:rsid w:val="00725954"/>
    <w:rsid w:val="00725A71"/>
    <w:rsid w:val="00725B03"/>
    <w:rsid w:val="00725DA4"/>
    <w:rsid w:val="0072611B"/>
    <w:rsid w:val="00726667"/>
    <w:rsid w:val="00726CD6"/>
    <w:rsid w:val="007271B7"/>
    <w:rsid w:val="007271D4"/>
    <w:rsid w:val="007273C0"/>
    <w:rsid w:val="00727DBF"/>
    <w:rsid w:val="0073039F"/>
    <w:rsid w:val="007305C1"/>
    <w:rsid w:val="00730690"/>
    <w:rsid w:val="00730EF2"/>
    <w:rsid w:val="00731093"/>
    <w:rsid w:val="00731538"/>
    <w:rsid w:val="00731561"/>
    <w:rsid w:val="0073173B"/>
    <w:rsid w:val="00731A8A"/>
    <w:rsid w:val="00731D5C"/>
    <w:rsid w:val="007333D6"/>
    <w:rsid w:val="00733453"/>
    <w:rsid w:val="00733627"/>
    <w:rsid w:val="00733AFF"/>
    <w:rsid w:val="00733CAB"/>
    <w:rsid w:val="0073411F"/>
    <w:rsid w:val="00734354"/>
    <w:rsid w:val="00734454"/>
    <w:rsid w:val="0073476B"/>
    <w:rsid w:val="00734D05"/>
    <w:rsid w:val="007353C4"/>
    <w:rsid w:val="00735524"/>
    <w:rsid w:val="007356BA"/>
    <w:rsid w:val="00735892"/>
    <w:rsid w:val="00735AAC"/>
    <w:rsid w:val="00735AC9"/>
    <w:rsid w:val="0073608E"/>
    <w:rsid w:val="007361D7"/>
    <w:rsid w:val="0073629B"/>
    <w:rsid w:val="007371EA"/>
    <w:rsid w:val="007372C1"/>
    <w:rsid w:val="00737F97"/>
    <w:rsid w:val="00740996"/>
    <w:rsid w:val="00740CD8"/>
    <w:rsid w:val="00740F21"/>
    <w:rsid w:val="00740F33"/>
    <w:rsid w:val="00741776"/>
    <w:rsid w:val="00741A7A"/>
    <w:rsid w:val="00742052"/>
    <w:rsid w:val="00742C71"/>
    <w:rsid w:val="0074324C"/>
    <w:rsid w:val="007439DC"/>
    <w:rsid w:val="00743D5F"/>
    <w:rsid w:val="00744304"/>
    <w:rsid w:val="00744536"/>
    <w:rsid w:val="007447C3"/>
    <w:rsid w:val="00745439"/>
    <w:rsid w:val="0074684A"/>
    <w:rsid w:val="007468ED"/>
    <w:rsid w:val="00746907"/>
    <w:rsid w:val="00746F51"/>
    <w:rsid w:val="007478BA"/>
    <w:rsid w:val="00750021"/>
    <w:rsid w:val="00750124"/>
    <w:rsid w:val="00750B1C"/>
    <w:rsid w:val="0075138F"/>
    <w:rsid w:val="0075194F"/>
    <w:rsid w:val="00751A46"/>
    <w:rsid w:val="00751B37"/>
    <w:rsid w:val="00751C7E"/>
    <w:rsid w:val="007522DB"/>
    <w:rsid w:val="00752433"/>
    <w:rsid w:val="00752728"/>
    <w:rsid w:val="00752CCD"/>
    <w:rsid w:val="007531CE"/>
    <w:rsid w:val="007532E3"/>
    <w:rsid w:val="007536D1"/>
    <w:rsid w:val="00753FFB"/>
    <w:rsid w:val="0075445D"/>
    <w:rsid w:val="00754934"/>
    <w:rsid w:val="00754BE7"/>
    <w:rsid w:val="00754D47"/>
    <w:rsid w:val="007552B7"/>
    <w:rsid w:val="00755365"/>
    <w:rsid w:val="0075543A"/>
    <w:rsid w:val="00755494"/>
    <w:rsid w:val="00755D63"/>
    <w:rsid w:val="0075631C"/>
    <w:rsid w:val="007569BE"/>
    <w:rsid w:val="00756EC0"/>
    <w:rsid w:val="007573F8"/>
    <w:rsid w:val="007604DF"/>
    <w:rsid w:val="00760686"/>
    <w:rsid w:val="00760A76"/>
    <w:rsid w:val="00760B00"/>
    <w:rsid w:val="00760BFE"/>
    <w:rsid w:val="007610DD"/>
    <w:rsid w:val="007613EF"/>
    <w:rsid w:val="007614ED"/>
    <w:rsid w:val="00761672"/>
    <w:rsid w:val="007617D7"/>
    <w:rsid w:val="00761BD2"/>
    <w:rsid w:val="00761D9B"/>
    <w:rsid w:val="0076227C"/>
    <w:rsid w:val="007625C3"/>
    <w:rsid w:val="00762F12"/>
    <w:rsid w:val="0076314C"/>
    <w:rsid w:val="00763EEF"/>
    <w:rsid w:val="007641B2"/>
    <w:rsid w:val="007641F2"/>
    <w:rsid w:val="00764379"/>
    <w:rsid w:val="0076449C"/>
    <w:rsid w:val="00764702"/>
    <w:rsid w:val="00764D59"/>
    <w:rsid w:val="0076522B"/>
    <w:rsid w:val="00765759"/>
    <w:rsid w:val="00765EA0"/>
    <w:rsid w:val="00766145"/>
    <w:rsid w:val="007666CC"/>
    <w:rsid w:val="007669EF"/>
    <w:rsid w:val="007669F9"/>
    <w:rsid w:val="00766AC5"/>
    <w:rsid w:val="00767708"/>
    <w:rsid w:val="00767C53"/>
    <w:rsid w:val="00767CD0"/>
    <w:rsid w:val="00767DEA"/>
    <w:rsid w:val="007700CE"/>
    <w:rsid w:val="007701EC"/>
    <w:rsid w:val="00770242"/>
    <w:rsid w:val="0077026E"/>
    <w:rsid w:val="00770A6D"/>
    <w:rsid w:val="007715C1"/>
    <w:rsid w:val="0077168C"/>
    <w:rsid w:val="00772102"/>
    <w:rsid w:val="00772170"/>
    <w:rsid w:val="007724AD"/>
    <w:rsid w:val="00772632"/>
    <w:rsid w:val="007727A6"/>
    <w:rsid w:val="00772970"/>
    <w:rsid w:val="00772A80"/>
    <w:rsid w:val="00772B35"/>
    <w:rsid w:val="007733C9"/>
    <w:rsid w:val="00773965"/>
    <w:rsid w:val="00773B39"/>
    <w:rsid w:val="00773B8B"/>
    <w:rsid w:val="007741EB"/>
    <w:rsid w:val="0077425D"/>
    <w:rsid w:val="00774385"/>
    <w:rsid w:val="00774C15"/>
    <w:rsid w:val="00774EF3"/>
    <w:rsid w:val="007754C2"/>
    <w:rsid w:val="00775679"/>
    <w:rsid w:val="007762D0"/>
    <w:rsid w:val="007769D0"/>
    <w:rsid w:val="007778DD"/>
    <w:rsid w:val="00777924"/>
    <w:rsid w:val="00780366"/>
    <w:rsid w:val="007804D8"/>
    <w:rsid w:val="007805BB"/>
    <w:rsid w:val="0078069E"/>
    <w:rsid w:val="00780700"/>
    <w:rsid w:val="00780741"/>
    <w:rsid w:val="0078080C"/>
    <w:rsid w:val="007811A6"/>
    <w:rsid w:val="00781361"/>
    <w:rsid w:val="00781D8F"/>
    <w:rsid w:val="007824A2"/>
    <w:rsid w:val="00782541"/>
    <w:rsid w:val="00782BC6"/>
    <w:rsid w:val="00782DEF"/>
    <w:rsid w:val="00783076"/>
    <w:rsid w:val="007835EF"/>
    <w:rsid w:val="007836C8"/>
    <w:rsid w:val="00783744"/>
    <w:rsid w:val="00783A04"/>
    <w:rsid w:val="00784182"/>
    <w:rsid w:val="00784B67"/>
    <w:rsid w:val="00785368"/>
    <w:rsid w:val="0078557F"/>
    <w:rsid w:val="00785650"/>
    <w:rsid w:val="00785D61"/>
    <w:rsid w:val="00785EC0"/>
    <w:rsid w:val="0078667C"/>
    <w:rsid w:val="00786DA8"/>
    <w:rsid w:val="00786E6B"/>
    <w:rsid w:val="00787628"/>
    <w:rsid w:val="00787C40"/>
    <w:rsid w:val="00790214"/>
    <w:rsid w:val="00790481"/>
    <w:rsid w:val="007905BD"/>
    <w:rsid w:val="00790C18"/>
    <w:rsid w:val="00790EAE"/>
    <w:rsid w:val="007911C7"/>
    <w:rsid w:val="00791525"/>
    <w:rsid w:val="00791A6B"/>
    <w:rsid w:val="00792842"/>
    <w:rsid w:val="00792AB7"/>
    <w:rsid w:val="00792C25"/>
    <w:rsid w:val="0079417D"/>
    <w:rsid w:val="00794B43"/>
    <w:rsid w:val="0079541A"/>
    <w:rsid w:val="007957C4"/>
    <w:rsid w:val="0079593F"/>
    <w:rsid w:val="00795EEF"/>
    <w:rsid w:val="00796110"/>
    <w:rsid w:val="007969B1"/>
    <w:rsid w:val="00797E1E"/>
    <w:rsid w:val="00797F6A"/>
    <w:rsid w:val="007A00EA"/>
    <w:rsid w:val="007A0353"/>
    <w:rsid w:val="007A04D5"/>
    <w:rsid w:val="007A066C"/>
    <w:rsid w:val="007A06AD"/>
    <w:rsid w:val="007A09E1"/>
    <w:rsid w:val="007A0A38"/>
    <w:rsid w:val="007A0A8B"/>
    <w:rsid w:val="007A0B7E"/>
    <w:rsid w:val="007A0BC6"/>
    <w:rsid w:val="007A0EE1"/>
    <w:rsid w:val="007A1139"/>
    <w:rsid w:val="007A144F"/>
    <w:rsid w:val="007A18EF"/>
    <w:rsid w:val="007A1EAF"/>
    <w:rsid w:val="007A222F"/>
    <w:rsid w:val="007A23F9"/>
    <w:rsid w:val="007A2CE8"/>
    <w:rsid w:val="007A2FB8"/>
    <w:rsid w:val="007A3193"/>
    <w:rsid w:val="007A319D"/>
    <w:rsid w:val="007A3308"/>
    <w:rsid w:val="007A33D0"/>
    <w:rsid w:val="007A39F8"/>
    <w:rsid w:val="007A4C23"/>
    <w:rsid w:val="007A4D02"/>
    <w:rsid w:val="007A4EFC"/>
    <w:rsid w:val="007A5236"/>
    <w:rsid w:val="007A5703"/>
    <w:rsid w:val="007A5BEB"/>
    <w:rsid w:val="007A5E40"/>
    <w:rsid w:val="007A64E3"/>
    <w:rsid w:val="007A679F"/>
    <w:rsid w:val="007A67D9"/>
    <w:rsid w:val="007A6F56"/>
    <w:rsid w:val="007A78CA"/>
    <w:rsid w:val="007A7CA2"/>
    <w:rsid w:val="007B0169"/>
    <w:rsid w:val="007B066C"/>
    <w:rsid w:val="007B0899"/>
    <w:rsid w:val="007B0C08"/>
    <w:rsid w:val="007B0C45"/>
    <w:rsid w:val="007B0D7B"/>
    <w:rsid w:val="007B1238"/>
    <w:rsid w:val="007B188C"/>
    <w:rsid w:val="007B1AD1"/>
    <w:rsid w:val="007B1CB6"/>
    <w:rsid w:val="007B1E2D"/>
    <w:rsid w:val="007B222B"/>
    <w:rsid w:val="007B2E82"/>
    <w:rsid w:val="007B315A"/>
    <w:rsid w:val="007B34E0"/>
    <w:rsid w:val="007B37FA"/>
    <w:rsid w:val="007B3D9F"/>
    <w:rsid w:val="007B4568"/>
    <w:rsid w:val="007B4CCC"/>
    <w:rsid w:val="007B54D0"/>
    <w:rsid w:val="007B59A6"/>
    <w:rsid w:val="007B5A53"/>
    <w:rsid w:val="007B649C"/>
    <w:rsid w:val="007B6566"/>
    <w:rsid w:val="007B67D8"/>
    <w:rsid w:val="007B7886"/>
    <w:rsid w:val="007C0082"/>
    <w:rsid w:val="007C00D2"/>
    <w:rsid w:val="007C0150"/>
    <w:rsid w:val="007C05D8"/>
    <w:rsid w:val="007C0775"/>
    <w:rsid w:val="007C078C"/>
    <w:rsid w:val="007C0DF8"/>
    <w:rsid w:val="007C1142"/>
    <w:rsid w:val="007C185D"/>
    <w:rsid w:val="007C1C75"/>
    <w:rsid w:val="007C1D0A"/>
    <w:rsid w:val="007C1E35"/>
    <w:rsid w:val="007C1E36"/>
    <w:rsid w:val="007C27BF"/>
    <w:rsid w:val="007C282E"/>
    <w:rsid w:val="007C3A65"/>
    <w:rsid w:val="007C4B00"/>
    <w:rsid w:val="007C4B04"/>
    <w:rsid w:val="007C5276"/>
    <w:rsid w:val="007C5508"/>
    <w:rsid w:val="007C5EE2"/>
    <w:rsid w:val="007C6092"/>
    <w:rsid w:val="007C6208"/>
    <w:rsid w:val="007C6E42"/>
    <w:rsid w:val="007C7368"/>
    <w:rsid w:val="007C7A36"/>
    <w:rsid w:val="007D0A20"/>
    <w:rsid w:val="007D0D0C"/>
    <w:rsid w:val="007D1168"/>
    <w:rsid w:val="007D1182"/>
    <w:rsid w:val="007D13A0"/>
    <w:rsid w:val="007D1942"/>
    <w:rsid w:val="007D1F3B"/>
    <w:rsid w:val="007D3527"/>
    <w:rsid w:val="007D36C5"/>
    <w:rsid w:val="007D371A"/>
    <w:rsid w:val="007D3849"/>
    <w:rsid w:val="007D3D18"/>
    <w:rsid w:val="007D418D"/>
    <w:rsid w:val="007D434F"/>
    <w:rsid w:val="007D435A"/>
    <w:rsid w:val="007D4398"/>
    <w:rsid w:val="007D49F6"/>
    <w:rsid w:val="007D4DC6"/>
    <w:rsid w:val="007D4F92"/>
    <w:rsid w:val="007D61EA"/>
    <w:rsid w:val="007D767A"/>
    <w:rsid w:val="007E0E47"/>
    <w:rsid w:val="007E1750"/>
    <w:rsid w:val="007E1B0E"/>
    <w:rsid w:val="007E1CC2"/>
    <w:rsid w:val="007E26C9"/>
    <w:rsid w:val="007E3AC9"/>
    <w:rsid w:val="007E3B76"/>
    <w:rsid w:val="007E3EDF"/>
    <w:rsid w:val="007E4B16"/>
    <w:rsid w:val="007E50AD"/>
    <w:rsid w:val="007E538B"/>
    <w:rsid w:val="007E5743"/>
    <w:rsid w:val="007E5FEC"/>
    <w:rsid w:val="007E6173"/>
    <w:rsid w:val="007E63CF"/>
    <w:rsid w:val="007E667B"/>
    <w:rsid w:val="007E6AC7"/>
    <w:rsid w:val="007E70D8"/>
    <w:rsid w:val="007E7411"/>
    <w:rsid w:val="007E770E"/>
    <w:rsid w:val="007E7A05"/>
    <w:rsid w:val="007E7A58"/>
    <w:rsid w:val="007E7BEF"/>
    <w:rsid w:val="007F0756"/>
    <w:rsid w:val="007F0797"/>
    <w:rsid w:val="007F0990"/>
    <w:rsid w:val="007F10B6"/>
    <w:rsid w:val="007F1176"/>
    <w:rsid w:val="007F18A2"/>
    <w:rsid w:val="007F1FA9"/>
    <w:rsid w:val="007F2258"/>
    <w:rsid w:val="007F22F2"/>
    <w:rsid w:val="007F2371"/>
    <w:rsid w:val="007F2AC3"/>
    <w:rsid w:val="007F3093"/>
    <w:rsid w:val="007F33D7"/>
    <w:rsid w:val="007F380D"/>
    <w:rsid w:val="007F38C3"/>
    <w:rsid w:val="007F3F50"/>
    <w:rsid w:val="007F40DE"/>
    <w:rsid w:val="007F4AF5"/>
    <w:rsid w:val="007F4DB3"/>
    <w:rsid w:val="007F580E"/>
    <w:rsid w:val="007F5C28"/>
    <w:rsid w:val="007F607D"/>
    <w:rsid w:val="007F616E"/>
    <w:rsid w:val="007F68D6"/>
    <w:rsid w:val="007F7387"/>
    <w:rsid w:val="007F7800"/>
    <w:rsid w:val="008006F4"/>
    <w:rsid w:val="008008C7"/>
    <w:rsid w:val="00800FE0"/>
    <w:rsid w:val="00801673"/>
    <w:rsid w:val="008018ED"/>
    <w:rsid w:val="00801960"/>
    <w:rsid w:val="00801E6C"/>
    <w:rsid w:val="00802784"/>
    <w:rsid w:val="008029F9"/>
    <w:rsid w:val="00802B58"/>
    <w:rsid w:val="00802F7A"/>
    <w:rsid w:val="00802FDC"/>
    <w:rsid w:val="00803475"/>
    <w:rsid w:val="008034C5"/>
    <w:rsid w:val="00803ADE"/>
    <w:rsid w:val="00803B99"/>
    <w:rsid w:val="00803BAC"/>
    <w:rsid w:val="00803E83"/>
    <w:rsid w:val="00803F00"/>
    <w:rsid w:val="008042D5"/>
    <w:rsid w:val="0080439D"/>
    <w:rsid w:val="0080564D"/>
    <w:rsid w:val="008056C0"/>
    <w:rsid w:val="008059BC"/>
    <w:rsid w:val="00805A11"/>
    <w:rsid w:val="00805BA8"/>
    <w:rsid w:val="00805EFF"/>
    <w:rsid w:val="00805FFF"/>
    <w:rsid w:val="0080610A"/>
    <w:rsid w:val="00806180"/>
    <w:rsid w:val="008068F4"/>
    <w:rsid w:val="00806D21"/>
    <w:rsid w:val="00806FE0"/>
    <w:rsid w:val="00807232"/>
    <w:rsid w:val="00807270"/>
    <w:rsid w:val="0080776B"/>
    <w:rsid w:val="008077B5"/>
    <w:rsid w:val="00807ADC"/>
    <w:rsid w:val="00807E89"/>
    <w:rsid w:val="00807ED2"/>
    <w:rsid w:val="008100D7"/>
    <w:rsid w:val="008109DB"/>
    <w:rsid w:val="00810D8E"/>
    <w:rsid w:val="00811135"/>
    <w:rsid w:val="008112AF"/>
    <w:rsid w:val="00811DFB"/>
    <w:rsid w:val="00811F79"/>
    <w:rsid w:val="00812006"/>
    <w:rsid w:val="00812712"/>
    <w:rsid w:val="00812B99"/>
    <w:rsid w:val="00812CB5"/>
    <w:rsid w:val="008132BD"/>
    <w:rsid w:val="0081334E"/>
    <w:rsid w:val="008136C4"/>
    <w:rsid w:val="00813A1A"/>
    <w:rsid w:val="00814435"/>
    <w:rsid w:val="00814CF2"/>
    <w:rsid w:val="00814E60"/>
    <w:rsid w:val="00815045"/>
    <w:rsid w:val="008152CE"/>
    <w:rsid w:val="00815B15"/>
    <w:rsid w:val="008162F3"/>
    <w:rsid w:val="00816508"/>
    <w:rsid w:val="00817C72"/>
    <w:rsid w:val="00820200"/>
    <w:rsid w:val="00820493"/>
    <w:rsid w:val="008206F4"/>
    <w:rsid w:val="008209D4"/>
    <w:rsid w:val="0082111E"/>
    <w:rsid w:val="0082152E"/>
    <w:rsid w:val="0082169E"/>
    <w:rsid w:val="00822112"/>
    <w:rsid w:val="0082315A"/>
    <w:rsid w:val="008236D4"/>
    <w:rsid w:val="00823DEE"/>
    <w:rsid w:val="00824312"/>
    <w:rsid w:val="008244B1"/>
    <w:rsid w:val="008244B9"/>
    <w:rsid w:val="008247AD"/>
    <w:rsid w:val="00824AF8"/>
    <w:rsid w:val="008274DE"/>
    <w:rsid w:val="008277D5"/>
    <w:rsid w:val="008301CF"/>
    <w:rsid w:val="00830257"/>
    <w:rsid w:val="0083109C"/>
    <w:rsid w:val="008316FA"/>
    <w:rsid w:val="008319AD"/>
    <w:rsid w:val="008319EE"/>
    <w:rsid w:val="00831A03"/>
    <w:rsid w:val="00831EA1"/>
    <w:rsid w:val="00832561"/>
    <w:rsid w:val="00833237"/>
    <w:rsid w:val="0083327A"/>
    <w:rsid w:val="00833BB1"/>
    <w:rsid w:val="00833D2E"/>
    <w:rsid w:val="00833F9F"/>
    <w:rsid w:val="00834829"/>
    <w:rsid w:val="008348A2"/>
    <w:rsid w:val="00835000"/>
    <w:rsid w:val="00835255"/>
    <w:rsid w:val="00835329"/>
    <w:rsid w:val="00835A55"/>
    <w:rsid w:val="0083607F"/>
    <w:rsid w:val="0083669D"/>
    <w:rsid w:val="00836964"/>
    <w:rsid w:val="00836A90"/>
    <w:rsid w:val="00836C0F"/>
    <w:rsid w:val="00836CF1"/>
    <w:rsid w:val="00836FF6"/>
    <w:rsid w:val="008376F7"/>
    <w:rsid w:val="00837E35"/>
    <w:rsid w:val="00840F15"/>
    <w:rsid w:val="00841323"/>
    <w:rsid w:val="00841944"/>
    <w:rsid w:val="00841BA4"/>
    <w:rsid w:val="008422D0"/>
    <w:rsid w:val="00842388"/>
    <w:rsid w:val="0084287E"/>
    <w:rsid w:val="00842C8F"/>
    <w:rsid w:val="00843199"/>
    <w:rsid w:val="00843216"/>
    <w:rsid w:val="00843589"/>
    <w:rsid w:val="00843B5E"/>
    <w:rsid w:val="00843FAF"/>
    <w:rsid w:val="0084417F"/>
    <w:rsid w:val="008444B8"/>
    <w:rsid w:val="00844630"/>
    <w:rsid w:val="00844F1B"/>
    <w:rsid w:val="008463F8"/>
    <w:rsid w:val="00846825"/>
    <w:rsid w:val="008469F6"/>
    <w:rsid w:val="00846C10"/>
    <w:rsid w:val="008471B5"/>
    <w:rsid w:val="00847601"/>
    <w:rsid w:val="0084761E"/>
    <w:rsid w:val="008478BE"/>
    <w:rsid w:val="00847B26"/>
    <w:rsid w:val="00847C94"/>
    <w:rsid w:val="00847F86"/>
    <w:rsid w:val="008506F2"/>
    <w:rsid w:val="00850C21"/>
    <w:rsid w:val="0085141D"/>
    <w:rsid w:val="0085142B"/>
    <w:rsid w:val="00851509"/>
    <w:rsid w:val="00851605"/>
    <w:rsid w:val="0085169C"/>
    <w:rsid w:val="00851818"/>
    <w:rsid w:val="00851AB2"/>
    <w:rsid w:val="00852078"/>
    <w:rsid w:val="008524BC"/>
    <w:rsid w:val="008525D1"/>
    <w:rsid w:val="00852F7C"/>
    <w:rsid w:val="00853F0E"/>
    <w:rsid w:val="008545D1"/>
    <w:rsid w:val="0085480F"/>
    <w:rsid w:val="00854E9E"/>
    <w:rsid w:val="00855511"/>
    <w:rsid w:val="008555A9"/>
    <w:rsid w:val="008564B6"/>
    <w:rsid w:val="00856D0A"/>
    <w:rsid w:val="0085718D"/>
    <w:rsid w:val="00857517"/>
    <w:rsid w:val="00857847"/>
    <w:rsid w:val="00860DEF"/>
    <w:rsid w:val="0086110C"/>
    <w:rsid w:val="00861366"/>
    <w:rsid w:val="00861C13"/>
    <w:rsid w:val="0086209E"/>
    <w:rsid w:val="008624B7"/>
    <w:rsid w:val="008633D9"/>
    <w:rsid w:val="008637D3"/>
    <w:rsid w:val="00863EE9"/>
    <w:rsid w:val="00863F33"/>
    <w:rsid w:val="00864CA5"/>
    <w:rsid w:val="008653A7"/>
    <w:rsid w:val="008653DA"/>
    <w:rsid w:val="00867EA4"/>
    <w:rsid w:val="00870316"/>
    <w:rsid w:val="008703B7"/>
    <w:rsid w:val="0087040C"/>
    <w:rsid w:val="00870497"/>
    <w:rsid w:val="00870AEC"/>
    <w:rsid w:val="00870F8F"/>
    <w:rsid w:val="00871643"/>
    <w:rsid w:val="008719D4"/>
    <w:rsid w:val="00871A71"/>
    <w:rsid w:val="00871B4D"/>
    <w:rsid w:val="008726A8"/>
    <w:rsid w:val="00872B0D"/>
    <w:rsid w:val="008730A6"/>
    <w:rsid w:val="0087376E"/>
    <w:rsid w:val="00873D4F"/>
    <w:rsid w:val="008741BD"/>
    <w:rsid w:val="00874278"/>
    <w:rsid w:val="0087428A"/>
    <w:rsid w:val="00874F64"/>
    <w:rsid w:val="008758FE"/>
    <w:rsid w:val="00875A0E"/>
    <w:rsid w:val="0087642E"/>
    <w:rsid w:val="00877250"/>
    <w:rsid w:val="0088064C"/>
    <w:rsid w:val="00880866"/>
    <w:rsid w:val="00880CCA"/>
    <w:rsid w:val="00881297"/>
    <w:rsid w:val="00881EB9"/>
    <w:rsid w:val="0088236E"/>
    <w:rsid w:val="008823A5"/>
    <w:rsid w:val="0088359C"/>
    <w:rsid w:val="00885083"/>
    <w:rsid w:val="008854EF"/>
    <w:rsid w:val="00885809"/>
    <w:rsid w:val="00886558"/>
    <w:rsid w:val="008868FC"/>
    <w:rsid w:val="00886E17"/>
    <w:rsid w:val="00886E71"/>
    <w:rsid w:val="00887129"/>
    <w:rsid w:val="00887951"/>
    <w:rsid w:val="00887BCB"/>
    <w:rsid w:val="00887F19"/>
    <w:rsid w:val="00890536"/>
    <w:rsid w:val="00890695"/>
    <w:rsid w:val="00890EFE"/>
    <w:rsid w:val="0089183E"/>
    <w:rsid w:val="008918E0"/>
    <w:rsid w:val="00891998"/>
    <w:rsid w:val="008920F7"/>
    <w:rsid w:val="00892181"/>
    <w:rsid w:val="00892314"/>
    <w:rsid w:val="00893078"/>
    <w:rsid w:val="00893232"/>
    <w:rsid w:val="0089357A"/>
    <w:rsid w:val="008937D9"/>
    <w:rsid w:val="00893E91"/>
    <w:rsid w:val="00894272"/>
    <w:rsid w:val="00894B7A"/>
    <w:rsid w:val="00894BCD"/>
    <w:rsid w:val="00895301"/>
    <w:rsid w:val="00895F94"/>
    <w:rsid w:val="008961D7"/>
    <w:rsid w:val="008962EB"/>
    <w:rsid w:val="00896F38"/>
    <w:rsid w:val="00897CB3"/>
    <w:rsid w:val="00897EE4"/>
    <w:rsid w:val="008A16AC"/>
    <w:rsid w:val="008A2A05"/>
    <w:rsid w:val="008A2C09"/>
    <w:rsid w:val="008A32F0"/>
    <w:rsid w:val="008A36A2"/>
    <w:rsid w:val="008A41E2"/>
    <w:rsid w:val="008A4E68"/>
    <w:rsid w:val="008A5141"/>
    <w:rsid w:val="008A61B0"/>
    <w:rsid w:val="008A620B"/>
    <w:rsid w:val="008A6737"/>
    <w:rsid w:val="008A6D49"/>
    <w:rsid w:val="008A6EA2"/>
    <w:rsid w:val="008A6EE2"/>
    <w:rsid w:val="008A7434"/>
    <w:rsid w:val="008A7AB6"/>
    <w:rsid w:val="008A7C40"/>
    <w:rsid w:val="008A7E90"/>
    <w:rsid w:val="008A7EE9"/>
    <w:rsid w:val="008B0552"/>
    <w:rsid w:val="008B0867"/>
    <w:rsid w:val="008B0D66"/>
    <w:rsid w:val="008B0F7D"/>
    <w:rsid w:val="008B1E96"/>
    <w:rsid w:val="008B1EBF"/>
    <w:rsid w:val="008B2631"/>
    <w:rsid w:val="008B289F"/>
    <w:rsid w:val="008B3161"/>
    <w:rsid w:val="008B31A0"/>
    <w:rsid w:val="008B3611"/>
    <w:rsid w:val="008B372C"/>
    <w:rsid w:val="008B3944"/>
    <w:rsid w:val="008B3FD6"/>
    <w:rsid w:val="008B4050"/>
    <w:rsid w:val="008B48CC"/>
    <w:rsid w:val="008B4A32"/>
    <w:rsid w:val="008B4C7A"/>
    <w:rsid w:val="008B4CD4"/>
    <w:rsid w:val="008B50C2"/>
    <w:rsid w:val="008B5204"/>
    <w:rsid w:val="008B52F6"/>
    <w:rsid w:val="008B5C3C"/>
    <w:rsid w:val="008B5CA2"/>
    <w:rsid w:val="008B61C9"/>
    <w:rsid w:val="008B629B"/>
    <w:rsid w:val="008B63DD"/>
    <w:rsid w:val="008B7524"/>
    <w:rsid w:val="008B7A31"/>
    <w:rsid w:val="008B7C09"/>
    <w:rsid w:val="008B7F4E"/>
    <w:rsid w:val="008B7FE4"/>
    <w:rsid w:val="008C021B"/>
    <w:rsid w:val="008C115C"/>
    <w:rsid w:val="008C11DF"/>
    <w:rsid w:val="008C12B9"/>
    <w:rsid w:val="008C133F"/>
    <w:rsid w:val="008C1478"/>
    <w:rsid w:val="008C2052"/>
    <w:rsid w:val="008C271E"/>
    <w:rsid w:val="008C2AF2"/>
    <w:rsid w:val="008C2BC1"/>
    <w:rsid w:val="008C3677"/>
    <w:rsid w:val="008C4094"/>
    <w:rsid w:val="008C4521"/>
    <w:rsid w:val="008C46AA"/>
    <w:rsid w:val="008C4955"/>
    <w:rsid w:val="008C4DC1"/>
    <w:rsid w:val="008C4F70"/>
    <w:rsid w:val="008C5331"/>
    <w:rsid w:val="008C5399"/>
    <w:rsid w:val="008C53FC"/>
    <w:rsid w:val="008C5592"/>
    <w:rsid w:val="008C5CDD"/>
    <w:rsid w:val="008C5D98"/>
    <w:rsid w:val="008C6099"/>
    <w:rsid w:val="008C60AE"/>
    <w:rsid w:val="008C6137"/>
    <w:rsid w:val="008C72E6"/>
    <w:rsid w:val="008D0121"/>
    <w:rsid w:val="008D0223"/>
    <w:rsid w:val="008D0314"/>
    <w:rsid w:val="008D05C2"/>
    <w:rsid w:val="008D08A1"/>
    <w:rsid w:val="008D0EE7"/>
    <w:rsid w:val="008D1138"/>
    <w:rsid w:val="008D142E"/>
    <w:rsid w:val="008D1E50"/>
    <w:rsid w:val="008D231E"/>
    <w:rsid w:val="008D27E8"/>
    <w:rsid w:val="008D2BA2"/>
    <w:rsid w:val="008D2C14"/>
    <w:rsid w:val="008D2F2A"/>
    <w:rsid w:val="008D332A"/>
    <w:rsid w:val="008D3956"/>
    <w:rsid w:val="008D3C9B"/>
    <w:rsid w:val="008D591F"/>
    <w:rsid w:val="008D5CFF"/>
    <w:rsid w:val="008D61C0"/>
    <w:rsid w:val="008D61EF"/>
    <w:rsid w:val="008D6263"/>
    <w:rsid w:val="008D65B7"/>
    <w:rsid w:val="008D68BA"/>
    <w:rsid w:val="008D71DD"/>
    <w:rsid w:val="008D7F8C"/>
    <w:rsid w:val="008E0120"/>
    <w:rsid w:val="008E0312"/>
    <w:rsid w:val="008E0AE7"/>
    <w:rsid w:val="008E0F24"/>
    <w:rsid w:val="008E133E"/>
    <w:rsid w:val="008E1497"/>
    <w:rsid w:val="008E1FBE"/>
    <w:rsid w:val="008E349A"/>
    <w:rsid w:val="008E35BB"/>
    <w:rsid w:val="008E380C"/>
    <w:rsid w:val="008E3969"/>
    <w:rsid w:val="008E3C60"/>
    <w:rsid w:val="008E4A2D"/>
    <w:rsid w:val="008E4A84"/>
    <w:rsid w:val="008E4CFA"/>
    <w:rsid w:val="008E4F19"/>
    <w:rsid w:val="008E4F32"/>
    <w:rsid w:val="008E4F52"/>
    <w:rsid w:val="008E514A"/>
    <w:rsid w:val="008E55FE"/>
    <w:rsid w:val="008E5C6D"/>
    <w:rsid w:val="008E6119"/>
    <w:rsid w:val="008E66A2"/>
    <w:rsid w:val="008E6D32"/>
    <w:rsid w:val="008E7357"/>
    <w:rsid w:val="008E744B"/>
    <w:rsid w:val="008E75BE"/>
    <w:rsid w:val="008E75C7"/>
    <w:rsid w:val="008E7C05"/>
    <w:rsid w:val="008E7CDD"/>
    <w:rsid w:val="008F00AF"/>
    <w:rsid w:val="008F044A"/>
    <w:rsid w:val="008F0855"/>
    <w:rsid w:val="008F0A61"/>
    <w:rsid w:val="008F1019"/>
    <w:rsid w:val="008F10A9"/>
    <w:rsid w:val="008F124B"/>
    <w:rsid w:val="008F1922"/>
    <w:rsid w:val="008F1B41"/>
    <w:rsid w:val="008F2108"/>
    <w:rsid w:val="008F23BB"/>
    <w:rsid w:val="008F2567"/>
    <w:rsid w:val="008F30A0"/>
    <w:rsid w:val="008F3239"/>
    <w:rsid w:val="008F39D5"/>
    <w:rsid w:val="008F3E3D"/>
    <w:rsid w:val="008F4284"/>
    <w:rsid w:val="008F42C0"/>
    <w:rsid w:val="008F4FAF"/>
    <w:rsid w:val="008F53BC"/>
    <w:rsid w:val="008F5432"/>
    <w:rsid w:val="008F5628"/>
    <w:rsid w:val="008F6152"/>
    <w:rsid w:val="008F68B1"/>
    <w:rsid w:val="008F721C"/>
    <w:rsid w:val="008F78C8"/>
    <w:rsid w:val="008F7A54"/>
    <w:rsid w:val="008F7AA6"/>
    <w:rsid w:val="00900063"/>
    <w:rsid w:val="009016FF"/>
    <w:rsid w:val="00901DD5"/>
    <w:rsid w:val="00901E92"/>
    <w:rsid w:val="00902142"/>
    <w:rsid w:val="009029D4"/>
    <w:rsid w:val="00903883"/>
    <w:rsid w:val="00903C51"/>
    <w:rsid w:val="00903DF5"/>
    <w:rsid w:val="00904550"/>
    <w:rsid w:val="009045A3"/>
    <w:rsid w:val="00904674"/>
    <w:rsid w:val="00904778"/>
    <w:rsid w:val="009052DC"/>
    <w:rsid w:val="009054A7"/>
    <w:rsid w:val="00905C17"/>
    <w:rsid w:val="00906F4C"/>
    <w:rsid w:val="009075AF"/>
    <w:rsid w:val="009109E5"/>
    <w:rsid w:val="009111A0"/>
    <w:rsid w:val="0091152B"/>
    <w:rsid w:val="00911798"/>
    <w:rsid w:val="00911917"/>
    <w:rsid w:val="00911B81"/>
    <w:rsid w:val="009120DC"/>
    <w:rsid w:val="009122DA"/>
    <w:rsid w:val="0091257A"/>
    <w:rsid w:val="009125E8"/>
    <w:rsid w:val="00912B39"/>
    <w:rsid w:val="00913193"/>
    <w:rsid w:val="00913600"/>
    <w:rsid w:val="0091377B"/>
    <w:rsid w:val="009141CF"/>
    <w:rsid w:val="00914AF7"/>
    <w:rsid w:val="00914C15"/>
    <w:rsid w:val="00914EA2"/>
    <w:rsid w:val="00915515"/>
    <w:rsid w:val="009158A8"/>
    <w:rsid w:val="00916247"/>
    <w:rsid w:val="00917439"/>
    <w:rsid w:val="009179E5"/>
    <w:rsid w:val="00920786"/>
    <w:rsid w:val="00921147"/>
    <w:rsid w:val="009211DB"/>
    <w:rsid w:val="009211F5"/>
    <w:rsid w:val="009213E6"/>
    <w:rsid w:val="0092145F"/>
    <w:rsid w:val="0092146D"/>
    <w:rsid w:val="00921A85"/>
    <w:rsid w:val="0092217D"/>
    <w:rsid w:val="00922E15"/>
    <w:rsid w:val="00923127"/>
    <w:rsid w:val="00923439"/>
    <w:rsid w:val="009245DF"/>
    <w:rsid w:val="00924745"/>
    <w:rsid w:val="009250BF"/>
    <w:rsid w:val="009250F5"/>
    <w:rsid w:val="00925D94"/>
    <w:rsid w:val="00925DEF"/>
    <w:rsid w:val="00926385"/>
    <w:rsid w:val="00926863"/>
    <w:rsid w:val="0092687A"/>
    <w:rsid w:val="00926D13"/>
    <w:rsid w:val="00930001"/>
    <w:rsid w:val="00930C25"/>
    <w:rsid w:val="00932027"/>
    <w:rsid w:val="00932071"/>
    <w:rsid w:val="0093247F"/>
    <w:rsid w:val="009327E9"/>
    <w:rsid w:val="00932DA1"/>
    <w:rsid w:val="00932DCC"/>
    <w:rsid w:val="0093355A"/>
    <w:rsid w:val="009340FE"/>
    <w:rsid w:val="0093458D"/>
    <w:rsid w:val="00934F0E"/>
    <w:rsid w:val="009351D8"/>
    <w:rsid w:val="0093539D"/>
    <w:rsid w:val="0093544E"/>
    <w:rsid w:val="00936757"/>
    <w:rsid w:val="00936ADA"/>
    <w:rsid w:val="00936E60"/>
    <w:rsid w:val="00936F37"/>
    <w:rsid w:val="0093705B"/>
    <w:rsid w:val="00937DA5"/>
    <w:rsid w:val="0094081C"/>
    <w:rsid w:val="009413B0"/>
    <w:rsid w:val="009424C7"/>
    <w:rsid w:val="0094308F"/>
    <w:rsid w:val="009430E5"/>
    <w:rsid w:val="009438B9"/>
    <w:rsid w:val="00943E67"/>
    <w:rsid w:val="009441B0"/>
    <w:rsid w:val="00944279"/>
    <w:rsid w:val="009453DA"/>
    <w:rsid w:val="00945529"/>
    <w:rsid w:val="00945D84"/>
    <w:rsid w:val="009464E8"/>
    <w:rsid w:val="009470B6"/>
    <w:rsid w:val="009472E6"/>
    <w:rsid w:val="00947C85"/>
    <w:rsid w:val="00947E38"/>
    <w:rsid w:val="00947FF0"/>
    <w:rsid w:val="00950014"/>
    <w:rsid w:val="00950373"/>
    <w:rsid w:val="00950999"/>
    <w:rsid w:val="00950BD0"/>
    <w:rsid w:val="00950D1E"/>
    <w:rsid w:val="00951372"/>
    <w:rsid w:val="0095163E"/>
    <w:rsid w:val="00951CBD"/>
    <w:rsid w:val="00951DEF"/>
    <w:rsid w:val="00951E30"/>
    <w:rsid w:val="009520DF"/>
    <w:rsid w:val="009528A7"/>
    <w:rsid w:val="009529E7"/>
    <w:rsid w:val="00952A1B"/>
    <w:rsid w:val="00952EEE"/>
    <w:rsid w:val="00952FDF"/>
    <w:rsid w:val="0095310E"/>
    <w:rsid w:val="00953620"/>
    <w:rsid w:val="00954159"/>
    <w:rsid w:val="009546AF"/>
    <w:rsid w:val="00954781"/>
    <w:rsid w:val="0095499A"/>
    <w:rsid w:val="00954A2E"/>
    <w:rsid w:val="00954CA2"/>
    <w:rsid w:val="00954F1A"/>
    <w:rsid w:val="00955C02"/>
    <w:rsid w:val="00955D0C"/>
    <w:rsid w:val="00955E17"/>
    <w:rsid w:val="009561B6"/>
    <w:rsid w:val="009561CB"/>
    <w:rsid w:val="00957875"/>
    <w:rsid w:val="00957D7F"/>
    <w:rsid w:val="00960815"/>
    <w:rsid w:val="00960DA8"/>
    <w:rsid w:val="00960E39"/>
    <w:rsid w:val="0096205D"/>
    <w:rsid w:val="0096235B"/>
    <w:rsid w:val="00962432"/>
    <w:rsid w:val="00963008"/>
    <w:rsid w:val="009630BD"/>
    <w:rsid w:val="00963632"/>
    <w:rsid w:val="00963BA0"/>
    <w:rsid w:val="0096400C"/>
    <w:rsid w:val="00964074"/>
    <w:rsid w:val="009640A0"/>
    <w:rsid w:val="0096420B"/>
    <w:rsid w:val="00964605"/>
    <w:rsid w:val="00964861"/>
    <w:rsid w:val="009648FD"/>
    <w:rsid w:val="00964DDF"/>
    <w:rsid w:val="009652F9"/>
    <w:rsid w:val="009655C8"/>
    <w:rsid w:val="009657E7"/>
    <w:rsid w:val="00965CBD"/>
    <w:rsid w:val="00965F5F"/>
    <w:rsid w:val="0096647A"/>
    <w:rsid w:val="00966490"/>
    <w:rsid w:val="00966C50"/>
    <w:rsid w:val="00966C8B"/>
    <w:rsid w:val="00967119"/>
    <w:rsid w:val="00967570"/>
    <w:rsid w:val="00967F55"/>
    <w:rsid w:val="0097028A"/>
    <w:rsid w:val="0097034A"/>
    <w:rsid w:val="00970551"/>
    <w:rsid w:val="00970BDF"/>
    <w:rsid w:val="00971A8E"/>
    <w:rsid w:val="00971A90"/>
    <w:rsid w:val="00971D62"/>
    <w:rsid w:val="00971EBC"/>
    <w:rsid w:val="00972A7A"/>
    <w:rsid w:val="00973087"/>
    <w:rsid w:val="00973167"/>
    <w:rsid w:val="00973174"/>
    <w:rsid w:val="00973270"/>
    <w:rsid w:val="00973BE7"/>
    <w:rsid w:val="00974FA0"/>
    <w:rsid w:val="00975062"/>
    <w:rsid w:val="009759D7"/>
    <w:rsid w:val="00975D54"/>
    <w:rsid w:val="009760FB"/>
    <w:rsid w:val="009767B7"/>
    <w:rsid w:val="00976AD9"/>
    <w:rsid w:val="00976EA2"/>
    <w:rsid w:val="0097754F"/>
    <w:rsid w:val="009776DC"/>
    <w:rsid w:val="00977A68"/>
    <w:rsid w:val="00980081"/>
    <w:rsid w:val="009817CA"/>
    <w:rsid w:val="00981ECD"/>
    <w:rsid w:val="00981ED5"/>
    <w:rsid w:val="009820DB"/>
    <w:rsid w:val="00982536"/>
    <w:rsid w:val="0098269E"/>
    <w:rsid w:val="00982A25"/>
    <w:rsid w:val="00982A66"/>
    <w:rsid w:val="00982EEC"/>
    <w:rsid w:val="0098359B"/>
    <w:rsid w:val="009837C8"/>
    <w:rsid w:val="00983D5B"/>
    <w:rsid w:val="009844D5"/>
    <w:rsid w:val="00985229"/>
    <w:rsid w:val="009854E8"/>
    <w:rsid w:val="00985896"/>
    <w:rsid w:val="00986439"/>
    <w:rsid w:val="009865E3"/>
    <w:rsid w:val="0098664C"/>
    <w:rsid w:val="009900C9"/>
    <w:rsid w:val="009903B9"/>
    <w:rsid w:val="00990439"/>
    <w:rsid w:val="00990959"/>
    <w:rsid w:val="009911AC"/>
    <w:rsid w:val="009915D8"/>
    <w:rsid w:val="00992C8C"/>
    <w:rsid w:val="0099316A"/>
    <w:rsid w:val="00993247"/>
    <w:rsid w:val="009940F7"/>
    <w:rsid w:val="009942AC"/>
    <w:rsid w:val="00994698"/>
    <w:rsid w:val="00994E7C"/>
    <w:rsid w:val="00994F9C"/>
    <w:rsid w:val="009953DF"/>
    <w:rsid w:val="00995B59"/>
    <w:rsid w:val="009960AD"/>
    <w:rsid w:val="009963C6"/>
    <w:rsid w:val="00996970"/>
    <w:rsid w:val="009969ED"/>
    <w:rsid w:val="00996C0B"/>
    <w:rsid w:val="00997313"/>
    <w:rsid w:val="009976CE"/>
    <w:rsid w:val="0099792B"/>
    <w:rsid w:val="009979AA"/>
    <w:rsid w:val="00997A55"/>
    <w:rsid w:val="00997F0C"/>
    <w:rsid w:val="009A1030"/>
    <w:rsid w:val="009A1332"/>
    <w:rsid w:val="009A1516"/>
    <w:rsid w:val="009A1526"/>
    <w:rsid w:val="009A15BC"/>
    <w:rsid w:val="009A1AE4"/>
    <w:rsid w:val="009A1CE3"/>
    <w:rsid w:val="009A1D7E"/>
    <w:rsid w:val="009A2795"/>
    <w:rsid w:val="009A2844"/>
    <w:rsid w:val="009A3404"/>
    <w:rsid w:val="009A39A1"/>
    <w:rsid w:val="009A3C5F"/>
    <w:rsid w:val="009A402A"/>
    <w:rsid w:val="009A42B4"/>
    <w:rsid w:val="009A43B9"/>
    <w:rsid w:val="009A4541"/>
    <w:rsid w:val="009A5077"/>
    <w:rsid w:val="009A592D"/>
    <w:rsid w:val="009A5E89"/>
    <w:rsid w:val="009A6082"/>
    <w:rsid w:val="009A6254"/>
    <w:rsid w:val="009A665D"/>
    <w:rsid w:val="009A75FB"/>
    <w:rsid w:val="009A779F"/>
    <w:rsid w:val="009B03B3"/>
    <w:rsid w:val="009B03BF"/>
    <w:rsid w:val="009B0A89"/>
    <w:rsid w:val="009B10C2"/>
    <w:rsid w:val="009B14E0"/>
    <w:rsid w:val="009B1758"/>
    <w:rsid w:val="009B18B6"/>
    <w:rsid w:val="009B2280"/>
    <w:rsid w:val="009B2412"/>
    <w:rsid w:val="009B2930"/>
    <w:rsid w:val="009B37D4"/>
    <w:rsid w:val="009B3A17"/>
    <w:rsid w:val="009B41B3"/>
    <w:rsid w:val="009B46A6"/>
    <w:rsid w:val="009B51C0"/>
    <w:rsid w:val="009B5C35"/>
    <w:rsid w:val="009B6420"/>
    <w:rsid w:val="009B6425"/>
    <w:rsid w:val="009B6923"/>
    <w:rsid w:val="009B6BF7"/>
    <w:rsid w:val="009B71A4"/>
    <w:rsid w:val="009B7618"/>
    <w:rsid w:val="009B7981"/>
    <w:rsid w:val="009C0426"/>
    <w:rsid w:val="009C0522"/>
    <w:rsid w:val="009C0AB3"/>
    <w:rsid w:val="009C14E2"/>
    <w:rsid w:val="009C1BD9"/>
    <w:rsid w:val="009C1CE8"/>
    <w:rsid w:val="009C28F9"/>
    <w:rsid w:val="009C2F5C"/>
    <w:rsid w:val="009C33A5"/>
    <w:rsid w:val="009C37DB"/>
    <w:rsid w:val="009C399E"/>
    <w:rsid w:val="009C4281"/>
    <w:rsid w:val="009C43CB"/>
    <w:rsid w:val="009C4473"/>
    <w:rsid w:val="009C4917"/>
    <w:rsid w:val="009C51D3"/>
    <w:rsid w:val="009C537B"/>
    <w:rsid w:val="009C57CB"/>
    <w:rsid w:val="009C5B4E"/>
    <w:rsid w:val="009C6A74"/>
    <w:rsid w:val="009C6C6B"/>
    <w:rsid w:val="009C7DC5"/>
    <w:rsid w:val="009C7EAC"/>
    <w:rsid w:val="009D0122"/>
    <w:rsid w:val="009D06E9"/>
    <w:rsid w:val="009D0EE4"/>
    <w:rsid w:val="009D120F"/>
    <w:rsid w:val="009D1583"/>
    <w:rsid w:val="009D1AA3"/>
    <w:rsid w:val="009D1BDC"/>
    <w:rsid w:val="009D1D8F"/>
    <w:rsid w:val="009D1DEE"/>
    <w:rsid w:val="009D1F12"/>
    <w:rsid w:val="009D204F"/>
    <w:rsid w:val="009D232E"/>
    <w:rsid w:val="009D2485"/>
    <w:rsid w:val="009D2F0E"/>
    <w:rsid w:val="009D33B3"/>
    <w:rsid w:val="009D3986"/>
    <w:rsid w:val="009D3B6B"/>
    <w:rsid w:val="009D3B88"/>
    <w:rsid w:val="009D3E7B"/>
    <w:rsid w:val="009D3F10"/>
    <w:rsid w:val="009D40C1"/>
    <w:rsid w:val="009D4649"/>
    <w:rsid w:val="009D490C"/>
    <w:rsid w:val="009D4999"/>
    <w:rsid w:val="009D59AE"/>
    <w:rsid w:val="009D5B4D"/>
    <w:rsid w:val="009D5FAE"/>
    <w:rsid w:val="009D6561"/>
    <w:rsid w:val="009D6A6F"/>
    <w:rsid w:val="009D7175"/>
    <w:rsid w:val="009D71F2"/>
    <w:rsid w:val="009D7345"/>
    <w:rsid w:val="009E0363"/>
    <w:rsid w:val="009E140D"/>
    <w:rsid w:val="009E1DD9"/>
    <w:rsid w:val="009E23AB"/>
    <w:rsid w:val="009E2D8A"/>
    <w:rsid w:val="009E2E12"/>
    <w:rsid w:val="009E3617"/>
    <w:rsid w:val="009E423A"/>
    <w:rsid w:val="009E5269"/>
    <w:rsid w:val="009E66ED"/>
    <w:rsid w:val="009E69A2"/>
    <w:rsid w:val="009E6B2A"/>
    <w:rsid w:val="009E7066"/>
    <w:rsid w:val="009E7473"/>
    <w:rsid w:val="009E7F84"/>
    <w:rsid w:val="009F01A7"/>
    <w:rsid w:val="009F06A8"/>
    <w:rsid w:val="009F092F"/>
    <w:rsid w:val="009F1033"/>
    <w:rsid w:val="009F110B"/>
    <w:rsid w:val="009F120F"/>
    <w:rsid w:val="009F1FD7"/>
    <w:rsid w:val="009F2BF0"/>
    <w:rsid w:val="009F2C79"/>
    <w:rsid w:val="009F38B0"/>
    <w:rsid w:val="009F414A"/>
    <w:rsid w:val="009F443E"/>
    <w:rsid w:val="009F4D1A"/>
    <w:rsid w:val="009F4FEB"/>
    <w:rsid w:val="009F50D0"/>
    <w:rsid w:val="009F5635"/>
    <w:rsid w:val="009F56C3"/>
    <w:rsid w:val="009F5B4A"/>
    <w:rsid w:val="009F5E29"/>
    <w:rsid w:val="009F5EF7"/>
    <w:rsid w:val="009F6008"/>
    <w:rsid w:val="009F648A"/>
    <w:rsid w:val="009F64E8"/>
    <w:rsid w:val="009F69FD"/>
    <w:rsid w:val="009F6A68"/>
    <w:rsid w:val="009F6ACC"/>
    <w:rsid w:val="009F6CCB"/>
    <w:rsid w:val="009F6F29"/>
    <w:rsid w:val="009F70BD"/>
    <w:rsid w:val="009F7BA3"/>
    <w:rsid w:val="009F7DB2"/>
    <w:rsid w:val="00A002B7"/>
    <w:rsid w:val="00A00737"/>
    <w:rsid w:val="00A00825"/>
    <w:rsid w:val="00A0178D"/>
    <w:rsid w:val="00A02298"/>
    <w:rsid w:val="00A02779"/>
    <w:rsid w:val="00A02B36"/>
    <w:rsid w:val="00A03210"/>
    <w:rsid w:val="00A032A0"/>
    <w:rsid w:val="00A03DC9"/>
    <w:rsid w:val="00A040CA"/>
    <w:rsid w:val="00A04177"/>
    <w:rsid w:val="00A04D5F"/>
    <w:rsid w:val="00A04F27"/>
    <w:rsid w:val="00A050A7"/>
    <w:rsid w:val="00A059BF"/>
    <w:rsid w:val="00A05ABC"/>
    <w:rsid w:val="00A05AE3"/>
    <w:rsid w:val="00A05DA9"/>
    <w:rsid w:val="00A06118"/>
    <w:rsid w:val="00A06473"/>
    <w:rsid w:val="00A06852"/>
    <w:rsid w:val="00A06C9E"/>
    <w:rsid w:val="00A06F51"/>
    <w:rsid w:val="00A07136"/>
    <w:rsid w:val="00A076F8"/>
    <w:rsid w:val="00A07F80"/>
    <w:rsid w:val="00A10052"/>
    <w:rsid w:val="00A103D8"/>
    <w:rsid w:val="00A105E1"/>
    <w:rsid w:val="00A10A05"/>
    <w:rsid w:val="00A10B08"/>
    <w:rsid w:val="00A10DF4"/>
    <w:rsid w:val="00A10F81"/>
    <w:rsid w:val="00A11672"/>
    <w:rsid w:val="00A11F6F"/>
    <w:rsid w:val="00A120C1"/>
    <w:rsid w:val="00A12828"/>
    <w:rsid w:val="00A128AC"/>
    <w:rsid w:val="00A131B1"/>
    <w:rsid w:val="00A13395"/>
    <w:rsid w:val="00A1353B"/>
    <w:rsid w:val="00A13BEE"/>
    <w:rsid w:val="00A140C9"/>
    <w:rsid w:val="00A140E6"/>
    <w:rsid w:val="00A1439F"/>
    <w:rsid w:val="00A14775"/>
    <w:rsid w:val="00A14E54"/>
    <w:rsid w:val="00A1577C"/>
    <w:rsid w:val="00A15801"/>
    <w:rsid w:val="00A15B89"/>
    <w:rsid w:val="00A15EB0"/>
    <w:rsid w:val="00A169D3"/>
    <w:rsid w:val="00A174EA"/>
    <w:rsid w:val="00A17720"/>
    <w:rsid w:val="00A17ADB"/>
    <w:rsid w:val="00A17C6C"/>
    <w:rsid w:val="00A2056F"/>
    <w:rsid w:val="00A207C5"/>
    <w:rsid w:val="00A20A04"/>
    <w:rsid w:val="00A2146C"/>
    <w:rsid w:val="00A2199F"/>
    <w:rsid w:val="00A2211E"/>
    <w:rsid w:val="00A23153"/>
    <w:rsid w:val="00A231E1"/>
    <w:rsid w:val="00A23CD2"/>
    <w:rsid w:val="00A240CE"/>
    <w:rsid w:val="00A24824"/>
    <w:rsid w:val="00A2493B"/>
    <w:rsid w:val="00A259AA"/>
    <w:rsid w:val="00A25E4C"/>
    <w:rsid w:val="00A264D8"/>
    <w:rsid w:val="00A2668C"/>
    <w:rsid w:val="00A26DE3"/>
    <w:rsid w:val="00A27F2C"/>
    <w:rsid w:val="00A30461"/>
    <w:rsid w:val="00A305A2"/>
    <w:rsid w:val="00A30A79"/>
    <w:rsid w:val="00A30C61"/>
    <w:rsid w:val="00A31231"/>
    <w:rsid w:val="00A313BD"/>
    <w:rsid w:val="00A315E5"/>
    <w:rsid w:val="00A31716"/>
    <w:rsid w:val="00A3225E"/>
    <w:rsid w:val="00A32982"/>
    <w:rsid w:val="00A32C1F"/>
    <w:rsid w:val="00A331BC"/>
    <w:rsid w:val="00A3462D"/>
    <w:rsid w:val="00A346A7"/>
    <w:rsid w:val="00A347E6"/>
    <w:rsid w:val="00A347FE"/>
    <w:rsid w:val="00A350A6"/>
    <w:rsid w:val="00A36203"/>
    <w:rsid w:val="00A36B05"/>
    <w:rsid w:val="00A36F6C"/>
    <w:rsid w:val="00A37012"/>
    <w:rsid w:val="00A3706B"/>
    <w:rsid w:val="00A370B2"/>
    <w:rsid w:val="00A372B4"/>
    <w:rsid w:val="00A37900"/>
    <w:rsid w:val="00A37FA8"/>
    <w:rsid w:val="00A40210"/>
    <w:rsid w:val="00A40530"/>
    <w:rsid w:val="00A415B7"/>
    <w:rsid w:val="00A4182F"/>
    <w:rsid w:val="00A41C3A"/>
    <w:rsid w:val="00A41DAC"/>
    <w:rsid w:val="00A422FC"/>
    <w:rsid w:val="00A4279A"/>
    <w:rsid w:val="00A4367F"/>
    <w:rsid w:val="00A4386C"/>
    <w:rsid w:val="00A43A8E"/>
    <w:rsid w:val="00A443DA"/>
    <w:rsid w:val="00A44446"/>
    <w:rsid w:val="00A44456"/>
    <w:rsid w:val="00A4456C"/>
    <w:rsid w:val="00A446BB"/>
    <w:rsid w:val="00A44732"/>
    <w:rsid w:val="00A4496A"/>
    <w:rsid w:val="00A44CC0"/>
    <w:rsid w:val="00A45371"/>
    <w:rsid w:val="00A4627F"/>
    <w:rsid w:val="00A46749"/>
    <w:rsid w:val="00A46A7D"/>
    <w:rsid w:val="00A4757E"/>
    <w:rsid w:val="00A47959"/>
    <w:rsid w:val="00A47FD8"/>
    <w:rsid w:val="00A502BE"/>
    <w:rsid w:val="00A50527"/>
    <w:rsid w:val="00A50966"/>
    <w:rsid w:val="00A50C75"/>
    <w:rsid w:val="00A50D95"/>
    <w:rsid w:val="00A50E27"/>
    <w:rsid w:val="00A51297"/>
    <w:rsid w:val="00A51D8A"/>
    <w:rsid w:val="00A5238D"/>
    <w:rsid w:val="00A52668"/>
    <w:rsid w:val="00A5276C"/>
    <w:rsid w:val="00A527DD"/>
    <w:rsid w:val="00A52B25"/>
    <w:rsid w:val="00A52ED0"/>
    <w:rsid w:val="00A5306E"/>
    <w:rsid w:val="00A530DE"/>
    <w:rsid w:val="00A53114"/>
    <w:rsid w:val="00A532C3"/>
    <w:rsid w:val="00A53A93"/>
    <w:rsid w:val="00A53D95"/>
    <w:rsid w:val="00A5409F"/>
    <w:rsid w:val="00A5461E"/>
    <w:rsid w:val="00A549D8"/>
    <w:rsid w:val="00A54CF6"/>
    <w:rsid w:val="00A555ED"/>
    <w:rsid w:val="00A55BCF"/>
    <w:rsid w:val="00A55C24"/>
    <w:rsid w:val="00A55FEE"/>
    <w:rsid w:val="00A57DAE"/>
    <w:rsid w:val="00A61026"/>
    <w:rsid w:val="00A612E9"/>
    <w:rsid w:val="00A6154A"/>
    <w:rsid w:val="00A61879"/>
    <w:rsid w:val="00A61E65"/>
    <w:rsid w:val="00A61FF9"/>
    <w:rsid w:val="00A62256"/>
    <w:rsid w:val="00A62786"/>
    <w:rsid w:val="00A62DFF"/>
    <w:rsid w:val="00A63379"/>
    <w:rsid w:val="00A6384A"/>
    <w:rsid w:val="00A64163"/>
    <w:rsid w:val="00A6443C"/>
    <w:rsid w:val="00A648B8"/>
    <w:rsid w:val="00A65469"/>
    <w:rsid w:val="00A660C1"/>
    <w:rsid w:val="00A6649F"/>
    <w:rsid w:val="00A66EF6"/>
    <w:rsid w:val="00A672B1"/>
    <w:rsid w:val="00A67A78"/>
    <w:rsid w:val="00A67B21"/>
    <w:rsid w:val="00A67C46"/>
    <w:rsid w:val="00A70D02"/>
    <w:rsid w:val="00A71DE1"/>
    <w:rsid w:val="00A7238E"/>
    <w:rsid w:val="00A724D7"/>
    <w:rsid w:val="00A72563"/>
    <w:rsid w:val="00A728EE"/>
    <w:rsid w:val="00A72D5F"/>
    <w:rsid w:val="00A7466D"/>
    <w:rsid w:val="00A748E9"/>
    <w:rsid w:val="00A75285"/>
    <w:rsid w:val="00A75D08"/>
    <w:rsid w:val="00A772F3"/>
    <w:rsid w:val="00A773FB"/>
    <w:rsid w:val="00A77649"/>
    <w:rsid w:val="00A777C2"/>
    <w:rsid w:val="00A77B19"/>
    <w:rsid w:val="00A77E49"/>
    <w:rsid w:val="00A77E7A"/>
    <w:rsid w:val="00A77F9B"/>
    <w:rsid w:val="00A8065A"/>
    <w:rsid w:val="00A80A2E"/>
    <w:rsid w:val="00A80AC2"/>
    <w:rsid w:val="00A81960"/>
    <w:rsid w:val="00A81B7D"/>
    <w:rsid w:val="00A81C91"/>
    <w:rsid w:val="00A82011"/>
    <w:rsid w:val="00A825D1"/>
    <w:rsid w:val="00A826F8"/>
    <w:rsid w:val="00A82793"/>
    <w:rsid w:val="00A8281E"/>
    <w:rsid w:val="00A82D35"/>
    <w:rsid w:val="00A83C25"/>
    <w:rsid w:val="00A84295"/>
    <w:rsid w:val="00A84331"/>
    <w:rsid w:val="00A84E43"/>
    <w:rsid w:val="00A856BE"/>
    <w:rsid w:val="00A85C23"/>
    <w:rsid w:val="00A864F3"/>
    <w:rsid w:val="00A865A9"/>
    <w:rsid w:val="00A86D1E"/>
    <w:rsid w:val="00A86D71"/>
    <w:rsid w:val="00A870C5"/>
    <w:rsid w:val="00A87140"/>
    <w:rsid w:val="00A87378"/>
    <w:rsid w:val="00A874CD"/>
    <w:rsid w:val="00A87726"/>
    <w:rsid w:val="00A879C6"/>
    <w:rsid w:val="00A90661"/>
    <w:rsid w:val="00A90ADE"/>
    <w:rsid w:val="00A9108C"/>
    <w:rsid w:val="00A91236"/>
    <w:rsid w:val="00A91328"/>
    <w:rsid w:val="00A91ADA"/>
    <w:rsid w:val="00A91E4D"/>
    <w:rsid w:val="00A91F89"/>
    <w:rsid w:val="00A92545"/>
    <w:rsid w:val="00A940B4"/>
    <w:rsid w:val="00A945A3"/>
    <w:rsid w:val="00A94808"/>
    <w:rsid w:val="00A94B8C"/>
    <w:rsid w:val="00A94D9A"/>
    <w:rsid w:val="00A95A0B"/>
    <w:rsid w:val="00A95F95"/>
    <w:rsid w:val="00A966B3"/>
    <w:rsid w:val="00A9692C"/>
    <w:rsid w:val="00A96AE3"/>
    <w:rsid w:val="00A974F1"/>
    <w:rsid w:val="00A975F1"/>
    <w:rsid w:val="00A97CAA"/>
    <w:rsid w:val="00AA05CE"/>
    <w:rsid w:val="00AA0896"/>
    <w:rsid w:val="00AA0CB5"/>
    <w:rsid w:val="00AA0E5D"/>
    <w:rsid w:val="00AA12BE"/>
    <w:rsid w:val="00AA1D30"/>
    <w:rsid w:val="00AA1F64"/>
    <w:rsid w:val="00AA24D6"/>
    <w:rsid w:val="00AA28E4"/>
    <w:rsid w:val="00AA2B69"/>
    <w:rsid w:val="00AA32BF"/>
    <w:rsid w:val="00AA361E"/>
    <w:rsid w:val="00AA3AAD"/>
    <w:rsid w:val="00AA41C7"/>
    <w:rsid w:val="00AA4215"/>
    <w:rsid w:val="00AA43E3"/>
    <w:rsid w:val="00AA46D0"/>
    <w:rsid w:val="00AA46EA"/>
    <w:rsid w:val="00AA4BA4"/>
    <w:rsid w:val="00AA4F13"/>
    <w:rsid w:val="00AA4FDC"/>
    <w:rsid w:val="00AA52C3"/>
    <w:rsid w:val="00AA5473"/>
    <w:rsid w:val="00AA6607"/>
    <w:rsid w:val="00AA66FD"/>
    <w:rsid w:val="00AA6A49"/>
    <w:rsid w:val="00AA7009"/>
    <w:rsid w:val="00AA7787"/>
    <w:rsid w:val="00AA77F1"/>
    <w:rsid w:val="00AA7927"/>
    <w:rsid w:val="00AA7AFA"/>
    <w:rsid w:val="00AB03A7"/>
    <w:rsid w:val="00AB0446"/>
    <w:rsid w:val="00AB0A36"/>
    <w:rsid w:val="00AB0B68"/>
    <w:rsid w:val="00AB0BB8"/>
    <w:rsid w:val="00AB17A7"/>
    <w:rsid w:val="00AB19E3"/>
    <w:rsid w:val="00AB206F"/>
    <w:rsid w:val="00AB284A"/>
    <w:rsid w:val="00AB3385"/>
    <w:rsid w:val="00AB33B5"/>
    <w:rsid w:val="00AB34BF"/>
    <w:rsid w:val="00AB3DA1"/>
    <w:rsid w:val="00AB3DB5"/>
    <w:rsid w:val="00AB4070"/>
    <w:rsid w:val="00AB4658"/>
    <w:rsid w:val="00AB4AF2"/>
    <w:rsid w:val="00AB4C52"/>
    <w:rsid w:val="00AB4F92"/>
    <w:rsid w:val="00AB5100"/>
    <w:rsid w:val="00AB531C"/>
    <w:rsid w:val="00AB5C49"/>
    <w:rsid w:val="00AB5E46"/>
    <w:rsid w:val="00AB5F84"/>
    <w:rsid w:val="00AB64EA"/>
    <w:rsid w:val="00AB65EB"/>
    <w:rsid w:val="00AB68B8"/>
    <w:rsid w:val="00AB7C78"/>
    <w:rsid w:val="00AB7DD3"/>
    <w:rsid w:val="00AC006B"/>
    <w:rsid w:val="00AC0666"/>
    <w:rsid w:val="00AC0C91"/>
    <w:rsid w:val="00AC0CFB"/>
    <w:rsid w:val="00AC149C"/>
    <w:rsid w:val="00AC1D47"/>
    <w:rsid w:val="00AC1E71"/>
    <w:rsid w:val="00AC21DF"/>
    <w:rsid w:val="00AC2DD8"/>
    <w:rsid w:val="00AC34E7"/>
    <w:rsid w:val="00AC3595"/>
    <w:rsid w:val="00AC3CEC"/>
    <w:rsid w:val="00AC4B6E"/>
    <w:rsid w:val="00AC4C25"/>
    <w:rsid w:val="00AC5442"/>
    <w:rsid w:val="00AC58BF"/>
    <w:rsid w:val="00AC5939"/>
    <w:rsid w:val="00AC6062"/>
    <w:rsid w:val="00AC6AE7"/>
    <w:rsid w:val="00AC705A"/>
    <w:rsid w:val="00AC71FB"/>
    <w:rsid w:val="00AD04F2"/>
    <w:rsid w:val="00AD08AD"/>
    <w:rsid w:val="00AD0CD1"/>
    <w:rsid w:val="00AD106C"/>
    <w:rsid w:val="00AD1434"/>
    <w:rsid w:val="00AD1480"/>
    <w:rsid w:val="00AD1F82"/>
    <w:rsid w:val="00AD2EB2"/>
    <w:rsid w:val="00AD2F10"/>
    <w:rsid w:val="00AD30D9"/>
    <w:rsid w:val="00AD30E5"/>
    <w:rsid w:val="00AD31C4"/>
    <w:rsid w:val="00AD322B"/>
    <w:rsid w:val="00AD35E2"/>
    <w:rsid w:val="00AD3A6A"/>
    <w:rsid w:val="00AD3ACB"/>
    <w:rsid w:val="00AD3C84"/>
    <w:rsid w:val="00AD3C87"/>
    <w:rsid w:val="00AD3C8E"/>
    <w:rsid w:val="00AD3E98"/>
    <w:rsid w:val="00AD511C"/>
    <w:rsid w:val="00AD53BB"/>
    <w:rsid w:val="00AD5B2E"/>
    <w:rsid w:val="00AD5E89"/>
    <w:rsid w:val="00AD603B"/>
    <w:rsid w:val="00AD6549"/>
    <w:rsid w:val="00AD65FB"/>
    <w:rsid w:val="00AD6667"/>
    <w:rsid w:val="00AD6D34"/>
    <w:rsid w:val="00AD6D9C"/>
    <w:rsid w:val="00AD7B43"/>
    <w:rsid w:val="00AE0B5A"/>
    <w:rsid w:val="00AE17CE"/>
    <w:rsid w:val="00AE1C85"/>
    <w:rsid w:val="00AE1CCA"/>
    <w:rsid w:val="00AE3447"/>
    <w:rsid w:val="00AE3AC2"/>
    <w:rsid w:val="00AE3C92"/>
    <w:rsid w:val="00AE428F"/>
    <w:rsid w:val="00AE4808"/>
    <w:rsid w:val="00AE4F71"/>
    <w:rsid w:val="00AE5078"/>
    <w:rsid w:val="00AE567B"/>
    <w:rsid w:val="00AE63C4"/>
    <w:rsid w:val="00AE687F"/>
    <w:rsid w:val="00AE70C4"/>
    <w:rsid w:val="00AE779F"/>
    <w:rsid w:val="00AE7C7A"/>
    <w:rsid w:val="00AE7EDF"/>
    <w:rsid w:val="00AF0596"/>
    <w:rsid w:val="00AF0AA4"/>
    <w:rsid w:val="00AF1063"/>
    <w:rsid w:val="00AF1F2A"/>
    <w:rsid w:val="00AF25F5"/>
    <w:rsid w:val="00AF2DB0"/>
    <w:rsid w:val="00AF2E9C"/>
    <w:rsid w:val="00AF2FB6"/>
    <w:rsid w:val="00AF3399"/>
    <w:rsid w:val="00AF47B5"/>
    <w:rsid w:val="00AF4F47"/>
    <w:rsid w:val="00AF5774"/>
    <w:rsid w:val="00AF5F55"/>
    <w:rsid w:val="00AF60C7"/>
    <w:rsid w:val="00AF60E0"/>
    <w:rsid w:val="00AF63D4"/>
    <w:rsid w:val="00AF66AE"/>
    <w:rsid w:val="00AF7083"/>
    <w:rsid w:val="00AF7F50"/>
    <w:rsid w:val="00B00100"/>
    <w:rsid w:val="00B004A4"/>
    <w:rsid w:val="00B007C5"/>
    <w:rsid w:val="00B00D8A"/>
    <w:rsid w:val="00B00DFE"/>
    <w:rsid w:val="00B019DB"/>
    <w:rsid w:val="00B01CF3"/>
    <w:rsid w:val="00B02A88"/>
    <w:rsid w:val="00B02BC8"/>
    <w:rsid w:val="00B030B5"/>
    <w:rsid w:val="00B03275"/>
    <w:rsid w:val="00B03CFB"/>
    <w:rsid w:val="00B03E73"/>
    <w:rsid w:val="00B03EF2"/>
    <w:rsid w:val="00B04013"/>
    <w:rsid w:val="00B046D6"/>
    <w:rsid w:val="00B05797"/>
    <w:rsid w:val="00B06DFF"/>
    <w:rsid w:val="00B070A6"/>
    <w:rsid w:val="00B07174"/>
    <w:rsid w:val="00B07676"/>
    <w:rsid w:val="00B1027C"/>
    <w:rsid w:val="00B10415"/>
    <w:rsid w:val="00B10C0E"/>
    <w:rsid w:val="00B10CA6"/>
    <w:rsid w:val="00B1120B"/>
    <w:rsid w:val="00B11822"/>
    <w:rsid w:val="00B12092"/>
    <w:rsid w:val="00B12886"/>
    <w:rsid w:val="00B12D6E"/>
    <w:rsid w:val="00B12F8F"/>
    <w:rsid w:val="00B131CA"/>
    <w:rsid w:val="00B13F39"/>
    <w:rsid w:val="00B14298"/>
    <w:rsid w:val="00B147F2"/>
    <w:rsid w:val="00B14D41"/>
    <w:rsid w:val="00B1500D"/>
    <w:rsid w:val="00B1506B"/>
    <w:rsid w:val="00B15197"/>
    <w:rsid w:val="00B151BB"/>
    <w:rsid w:val="00B152F2"/>
    <w:rsid w:val="00B15973"/>
    <w:rsid w:val="00B168E7"/>
    <w:rsid w:val="00B169DA"/>
    <w:rsid w:val="00B16C9F"/>
    <w:rsid w:val="00B16F9C"/>
    <w:rsid w:val="00B171A6"/>
    <w:rsid w:val="00B17739"/>
    <w:rsid w:val="00B17758"/>
    <w:rsid w:val="00B205FF"/>
    <w:rsid w:val="00B21215"/>
    <w:rsid w:val="00B22032"/>
    <w:rsid w:val="00B2285D"/>
    <w:rsid w:val="00B229E4"/>
    <w:rsid w:val="00B22AFD"/>
    <w:rsid w:val="00B22BC0"/>
    <w:rsid w:val="00B2356F"/>
    <w:rsid w:val="00B23B21"/>
    <w:rsid w:val="00B23D9C"/>
    <w:rsid w:val="00B23F27"/>
    <w:rsid w:val="00B241E9"/>
    <w:rsid w:val="00B242DF"/>
    <w:rsid w:val="00B2436D"/>
    <w:rsid w:val="00B24DF6"/>
    <w:rsid w:val="00B25F7C"/>
    <w:rsid w:val="00B2647A"/>
    <w:rsid w:val="00B26923"/>
    <w:rsid w:val="00B26B58"/>
    <w:rsid w:val="00B26D54"/>
    <w:rsid w:val="00B272FD"/>
    <w:rsid w:val="00B309BA"/>
    <w:rsid w:val="00B30DC4"/>
    <w:rsid w:val="00B310DD"/>
    <w:rsid w:val="00B31122"/>
    <w:rsid w:val="00B31A1D"/>
    <w:rsid w:val="00B3297B"/>
    <w:rsid w:val="00B32B41"/>
    <w:rsid w:val="00B32FF6"/>
    <w:rsid w:val="00B33971"/>
    <w:rsid w:val="00B33D14"/>
    <w:rsid w:val="00B3410F"/>
    <w:rsid w:val="00B356F3"/>
    <w:rsid w:val="00B3571C"/>
    <w:rsid w:val="00B35B29"/>
    <w:rsid w:val="00B35B2C"/>
    <w:rsid w:val="00B35F6F"/>
    <w:rsid w:val="00B36917"/>
    <w:rsid w:val="00B36B6B"/>
    <w:rsid w:val="00B36E3C"/>
    <w:rsid w:val="00B37268"/>
    <w:rsid w:val="00B37526"/>
    <w:rsid w:val="00B40179"/>
    <w:rsid w:val="00B401DD"/>
    <w:rsid w:val="00B40342"/>
    <w:rsid w:val="00B4079F"/>
    <w:rsid w:val="00B40E44"/>
    <w:rsid w:val="00B41826"/>
    <w:rsid w:val="00B41872"/>
    <w:rsid w:val="00B419A1"/>
    <w:rsid w:val="00B41F86"/>
    <w:rsid w:val="00B4243E"/>
    <w:rsid w:val="00B42672"/>
    <w:rsid w:val="00B4277C"/>
    <w:rsid w:val="00B42848"/>
    <w:rsid w:val="00B42E91"/>
    <w:rsid w:val="00B43442"/>
    <w:rsid w:val="00B436FF"/>
    <w:rsid w:val="00B43F8D"/>
    <w:rsid w:val="00B444D6"/>
    <w:rsid w:val="00B44A58"/>
    <w:rsid w:val="00B461DF"/>
    <w:rsid w:val="00B466CC"/>
    <w:rsid w:val="00B467C1"/>
    <w:rsid w:val="00B46958"/>
    <w:rsid w:val="00B46DE2"/>
    <w:rsid w:val="00B4737B"/>
    <w:rsid w:val="00B47488"/>
    <w:rsid w:val="00B479DE"/>
    <w:rsid w:val="00B47E63"/>
    <w:rsid w:val="00B501F8"/>
    <w:rsid w:val="00B502EE"/>
    <w:rsid w:val="00B504B5"/>
    <w:rsid w:val="00B50AB7"/>
    <w:rsid w:val="00B50E93"/>
    <w:rsid w:val="00B51359"/>
    <w:rsid w:val="00B5191E"/>
    <w:rsid w:val="00B51DC9"/>
    <w:rsid w:val="00B51F11"/>
    <w:rsid w:val="00B52236"/>
    <w:rsid w:val="00B52A74"/>
    <w:rsid w:val="00B53629"/>
    <w:rsid w:val="00B53BE6"/>
    <w:rsid w:val="00B53EF1"/>
    <w:rsid w:val="00B5436D"/>
    <w:rsid w:val="00B54ED5"/>
    <w:rsid w:val="00B551DE"/>
    <w:rsid w:val="00B554F9"/>
    <w:rsid w:val="00B55E06"/>
    <w:rsid w:val="00B564CC"/>
    <w:rsid w:val="00B56F88"/>
    <w:rsid w:val="00B570B9"/>
    <w:rsid w:val="00B57DE1"/>
    <w:rsid w:val="00B57E86"/>
    <w:rsid w:val="00B6041F"/>
    <w:rsid w:val="00B60A0D"/>
    <w:rsid w:val="00B60BFB"/>
    <w:rsid w:val="00B60E00"/>
    <w:rsid w:val="00B60EF8"/>
    <w:rsid w:val="00B613F3"/>
    <w:rsid w:val="00B6149B"/>
    <w:rsid w:val="00B6166A"/>
    <w:rsid w:val="00B63054"/>
    <w:rsid w:val="00B63067"/>
    <w:rsid w:val="00B632D8"/>
    <w:rsid w:val="00B634CE"/>
    <w:rsid w:val="00B6458D"/>
    <w:rsid w:val="00B648A3"/>
    <w:rsid w:val="00B64A53"/>
    <w:rsid w:val="00B64DC2"/>
    <w:rsid w:val="00B65F0A"/>
    <w:rsid w:val="00B661B5"/>
    <w:rsid w:val="00B6682E"/>
    <w:rsid w:val="00B673B1"/>
    <w:rsid w:val="00B677DD"/>
    <w:rsid w:val="00B702DE"/>
    <w:rsid w:val="00B70598"/>
    <w:rsid w:val="00B706C8"/>
    <w:rsid w:val="00B709F1"/>
    <w:rsid w:val="00B70B17"/>
    <w:rsid w:val="00B714B4"/>
    <w:rsid w:val="00B726DB"/>
    <w:rsid w:val="00B7295E"/>
    <w:rsid w:val="00B72DC6"/>
    <w:rsid w:val="00B733C2"/>
    <w:rsid w:val="00B73493"/>
    <w:rsid w:val="00B73AA3"/>
    <w:rsid w:val="00B73AB5"/>
    <w:rsid w:val="00B73FE4"/>
    <w:rsid w:val="00B7429A"/>
    <w:rsid w:val="00B75375"/>
    <w:rsid w:val="00B75598"/>
    <w:rsid w:val="00B75640"/>
    <w:rsid w:val="00B76854"/>
    <w:rsid w:val="00B7704A"/>
    <w:rsid w:val="00B7726B"/>
    <w:rsid w:val="00B777EF"/>
    <w:rsid w:val="00B80053"/>
    <w:rsid w:val="00B8036E"/>
    <w:rsid w:val="00B8050A"/>
    <w:rsid w:val="00B8067F"/>
    <w:rsid w:val="00B806B5"/>
    <w:rsid w:val="00B81152"/>
    <w:rsid w:val="00B8117E"/>
    <w:rsid w:val="00B8150F"/>
    <w:rsid w:val="00B8341B"/>
    <w:rsid w:val="00B834C8"/>
    <w:rsid w:val="00B85B3D"/>
    <w:rsid w:val="00B85CB0"/>
    <w:rsid w:val="00B85CDC"/>
    <w:rsid w:val="00B85D49"/>
    <w:rsid w:val="00B85FA9"/>
    <w:rsid w:val="00B86449"/>
    <w:rsid w:val="00B86A72"/>
    <w:rsid w:val="00B87026"/>
    <w:rsid w:val="00B87934"/>
    <w:rsid w:val="00B87ADB"/>
    <w:rsid w:val="00B87C48"/>
    <w:rsid w:val="00B87CDF"/>
    <w:rsid w:val="00B90170"/>
    <w:rsid w:val="00B908E3"/>
    <w:rsid w:val="00B90D7F"/>
    <w:rsid w:val="00B91F35"/>
    <w:rsid w:val="00B920FC"/>
    <w:rsid w:val="00B922E0"/>
    <w:rsid w:val="00B92AD9"/>
    <w:rsid w:val="00B92CD2"/>
    <w:rsid w:val="00B93186"/>
    <w:rsid w:val="00B93424"/>
    <w:rsid w:val="00B93480"/>
    <w:rsid w:val="00B934EA"/>
    <w:rsid w:val="00B93780"/>
    <w:rsid w:val="00B93B75"/>
    <w:rsid w:val="00B94140"/>
    <w:rsid w:val="00B9460D"/>
    <w:rsid w:val="00B94988"/>
    <w:rsid w:val="00B94CFB"/>
    <w:rsid w:val="00B94D23"/>
    <w:rsid w:val="00B951EA"/>
    <w:rsid w:val="00B95A49"/>
    <w:rsid w:val="00B95E9B"/>
    <w:rsid w:val="00B95FFF"/>
    <w:rsid w:val="00B962A0"/>
    <w:rsid w:val="00B9718B"/>
    <w:rsid w:val="00B97D24"/>
    <w:rsid w:val="00B97E24"/>
    <w:rsid w:val="00BA1354"/>
    <w:rsid w:val="00BA18F0"/>
    <w:rsid w:val="00BA1C24"/>
    <w:rsid w:val="00BA1E8B"/>
    <w:rsid w:val="00BA20F4"/>
    <w:rsid w:val="00BA2554"/>
    <w:rsid w:val="00BA2751"/>
    <w:rsid w:val="00BA2C38"/>
    <w:rsid w:val="00BA2C8C"/>
    <w:rsid w:val="00BA2DF8"/>
    <w:rsid w:val="00BA30D5"/>
    <w:rsid w:val="00BA359E"/>
    <w:rsid w:val="00BA3935"/>
    <w:rsid w:val="00BA4056"/>
    <w:rsid w:val="00BA49CD"/>
    <w:rsid w:val="00BA4C68"/>
    <w:rsid w:val="00BA4F94"/>
    <w:rsid w:val="00BA54A9"/>
    <w:rsid w:val="00BA5EE6"/>
    <w:rsid w:val="00BA6FA0"/>
    <w:rsid w:val="00BA7337"/>
    <w:rsid w:val="00BA7FA8"/>
    <w:rsid w:val="00BB11B8"/>
    <w:rsid w:val="00BB1216"/>
    <w:rsid w:val="00BB14EB"/>
    <w:rsid w:val="00BB1842"/>
    <w:rsid w:val="00BB18BE"/>
    <w:rsid w:val="00BB1C88"/>
    <w:rsid w:val="00BB2647"/>
    <w:rsid w:val="00BB273A"/>
    <w:rsid w:val="00BB2868"/>
    <w:rsid w:val="00BB2DB9"/>
    <w:rsid w:val="00BB3048"/>
    <w:rsid w:val="00BB30C5"/>
    <w:rsid w:val="00BB3501"/>
    <w:rsid w:val="00BB4301"/>
    <w:rsid w:val="00BB43B8"/>
    <w:rsid w:val="00BB449F"/>
    <w:rsid w:val="00BB4626"/>
    <w:rsid w:val="00BB4910"/>
    <w:rsid w:val="00BB4A88"/>
    <w:rsid w:val="00BB4E6D"/>
    <w:rsid w:val="00BB562D"/>
    <w:rsid w:val="00BB6FC8"/>
    <w:rsid w:val="00BB70B3"/>
    <w:rsid w:val="00BB72BA"/>
    <w:rsid w:val="00BB72CC"/>
    <w:rsid w:val="00BB73DF"/>
    <w:rsid w:val="00BB7800"/>
    <w:rsid w:val="00BB780A"/>
    <w:rsid w:val="00BC0028"/>
    <w:rsid w:val="00BC0D54"/>
    <w:rsid w:val="00BC171D"/>
    <w:rsid w:val="00BC2052"/>
    <w:rsid w:val="00BC253A"/>
    <w:rsid w:val="00BC3238"/>
    <w:rsid w:val="00BC3C25"/>
    <w:rsid w:val="00BC3C79"/>
    <w:rsid w:val="00BC4A3F"/>
    <w:rsid w:val="00BC4BDA"/>
    <w:rsid w:val="00BC4D69"/>
    <w:rsid w:val="00BC533F"/>
    <w:rsid w:val="00BC54C8"/>
    <w:rsid w:val="00BC574D"/>
    <w:rsid w:val="00BC5ED1"/>
    <w:rsid w:val="00BC6069"/>
    <w:rsid w:val="00BC61A3"/>
    <w:rsid w:val="00BC66B2"/>
    <w:rsid w:val="00BC6954"/>
    <w:rsid w:val="00BC6D87"/>
    <w:rsid w:val="00BC6DB2"/>
    <w:rsid w:val="00BC749D"/>
    <w:rsid w:val="00BD05FA"/>
    <w:rsid w:val="00BD1665"/>
    <w:rsid w:val="00BD2094"/>
    <w:rsid w:val="00BD2A51"/>
    <w:rsid w:val="00BD2AC0"/>
    <w:rsid w:val="00BD3306"/>
    <w:rsid w:val="00BD37B0"/>
    <w:rsid w:val="00BD3E2F"/>
    <w:rsid w:val="00BD4418"/>
    <w:rsid w:val="00BD487E"/>
    <w:rsid w:val="00BD4F32"/>
    <w:rsid w:val="00BD519C"/>
    <w:rsid w:val="00BD5315"/>
    <w:rsid w:val="00BD674F"/>
    <w:rsid w:val="00BD6B27"/>
    <w:rsid w:val="00BD6C35"/>
    <w:rsid w:val="00BD7691"/>
    <w:rsid w:val="00BD76DF"/>
    <w:rsid w:val="00BD77AF"/>
    <w:rsid w:val="00BD7B4D"/>
    <w:rsid w:val="00BD7C0B"/>
    <w:rsid w:val="00BE0628"/>
    <w:rsid w:val="00BE0679"/>
    <w:rsid w:val="00BE1083"/>
    <w:rsid w:val="00BE11CA"/>
    <w:rsid w:val="00BE17E2"/>
    <w:rsid w:val="00BE20CF"/>
    <w:rsid w:val="00BE22AA"/>
    <w:rsid w:val="00BE265C"/>
    <w:rsid w:val="00BE2A43"/>
    <w:rsid w:val="00BE30EF"/>
    <w:rsid w:val="00BE3E45"/>
    <w:rsid w:val="00BE41BD"/>
    <w:rsid w:val="00BE4A16"/>
    <w:rsid w:val="00BE58CF"/>
    <w:rsid w:val="00BE6124"/>
    <w:rsid w:val="00BE6180"/>
    <w:rsid w:val="00BE657D"/>
    <w:rsid w:val="00BE6ECB"/>
    <w:rsid w:val="00BE72EA"/>
    <w:rsid w:val="00BE75DE"/>
    <w:rsid w:val="00BE76F9"/>
    <w:rsid w:val="00BE7F52"/>
    <w:rsid w:val="00BF089B"/>
    <w:rsid w:val="00BF0AAB"/>
    <w:rsid w:val="00BF1882"/>
    <w:rsid w:val="00BF2382"/>
    <w:rsid w:val="00BF28D2"/>
    <w:rsid w:val="00BF2BA5"/>
    <w:rsid w:val="00BF2E6D"/>
    <w:rsid w:val="00BF3847"/>
    <w:rsid w:val="00BF3ECF"/>
    <w:rsid w:val="00BF4446"/>
    <w:rsid w:val="00BF4B10"/>
    <w:rsid w:val="00BF4C37"/>
    <w:rsid w:val="00BF50C4"/>
    <w:rsid w:val="00BF5702"/>
    <w:rsid w:val="00BF587B"/>
    <w:rsid w:val="00BF5C89"/>
    <w:rsid w:val="00BF5F01"/>
    <w:rsid w:val="00BF6489"/>
    <w:rsid w:val="00BF65A0"/>
    <w:rsid w:val="00BF6F0F"/>
    <w:rsid w:val="00BF7363"/>
    <w:rsid w:val="00BF7575"/>
    <w:rsid w:val="00BF7947"/>
    <w:rsid w:val="00BF7D85"/>
    <w:rsid w:val="00BF7FBA"/>
    <w:rsid w:val="00C0015B"/>
    <w:rsid w:val="00C002FA"/>
    <w:rsid w:val="00C00E32"/>
    <w:rsid w:val="00C00F70"/>
    <w:rsid w:val="00C02576"/>
    <w:rsid w:val="00C02A85"/>
    <w:rsid w:val="00C0382F"/>
    <w:rsid w:val="00C03FDE"/>
    <w:rsid w:val="00C049B4"/>
    <w:rsid w:val="00C04D46"/>
    <w:rsid w:val="00C0522B"/>
    <w:rsid w:val="00C0546A"/>
    <w:rsid w:val="00C0656B"/>
    <w:rsid w:val="00C06D45"/>
    <w:rsid w:val="00C07979"/>
    <w:rsid w:val="00C07A30"/>
    <w:rsid w:val="00C07D53"/>
    <w:rsid w:val="00C10860"/>
    <w:rsid w:val="00C12D41"/>
    <w:rsid w:val="00C12EEB"/>
    <w:rsid w:val="00C1318F"/>
    <w:rsid w:val="00C13577"/>
    <w:rsid w:val="00C13AB0"/>
    <w:rsid w:val="00C13DAF"/>
    <w:rsid w:val="00C14421"/>
    <w:rsid w:val="00C144BF"/>
    <w:rsid w:val="00C14938"/>
    <w:rsid w:val="00C15271"/>
    <w:rsid w:val="00C1590F"/>
    <w:rsid w:val="00C1607D"/>
    <w:rsid w:val="00C16607"/>
    <w:rsid w:val="00C1662C"/>
    <w:rsid w:val="00C167D5"/>
    <w:rsid w:val="00C17472"/>
    <w:rsid w:val="00C2024F"/>
    <w:rsid w:val="00C203BB"/>
    <w:rsid w:val="00C20BEA"/>
    <w:rsid w:val="00C20C30"/>
    <w:rsid w:val="00C20EEB"/>
    <w:rsid w:val="00C21119"/>
    <w:rsid w:val="00C2187F"/>
    <w:rsid w:val="00C21E74"/>
    <w:rsid w:val="00C21EF7"/>
    <w:rsid w:val="00C22529"/>
    <w:rsid w:val="00C228C0"/>
    <w:rsid w:val="00C232EF"/>
    <w:rsid w:val="00C23A7B"/>
    <w:rsid w:val="00C23CC1"/>
    <w:rsid w:val="00C23FD6"/>
    <w:rsid w:val="00C2462D"/>
    <w:rsid w:val="00C2462F"/>
    <w:rsid w:val="00C24CB9"/>
    <w:rsid w:val="00C250AA"/>
    <w:rsid w:val="00C251BC"/>
    <w:rsid w:val="00C252F4"/>
    <w:rsid w:val="00C25725"/>
    <w:rsid w:val="00C266A0"/>
    <w:rsid w:val="00C267CA"/>
    <w:rsid w:val="00C2745E"/>
    <w:rsid w:val="00C27E77"/>
    <w:rsid w:val="00C30021"/>
    <w:rsid w:val="00C30691"/>
    <w:rsid w:val="00C307BC"/>
    <w:rsid w:val="00C30A10"/>
    <w:rsid w:val="00C30DF9"/>
    <w:rsid w:val="00C30F8E"/>
    <w:rsid w:val="00C3151F"/>
    <w:rsid w:val="00C316B5"/>
    <w:rsid w:val="00C31E52"/>
    <w:rsid w:val="00C3260C"/>
    <w:rsid w:val="00C33CB4"/>
    <w:rsid w:val="00C33D40"/>
    <w:rsid w:val="00C34552"/>
    <w:rsid w:val="00C345F2"/>
    <w:rsid w:val="00C34964"/>
    <w:rsid w:val="00C34990"/>
    <w:rsid w:val="00C34AB7"/>
    <w:rsid w:val="00C35741"/>
    <w:rsid w:val="00C369ED"/>
    <w:rsid w:val="00C375E6"/>
    <w:rsid w:val="00C37A6C"/>
    <w:rsid w:val="00C40070"/>
    <w:rsid w:val="00C402D4"/>
    <w:rsid w:val="00C4052E"/>
    <w:rsid w:val="00C41085"/>
    <w:rsid w:val="00C41C0D"/>
    <w:rsid w:val="00C43879"/>
    <w:rsid w:val="00C44182"/>
    <w:rsid w:val="00C444D3"/>
    <w:rsid w:val="00C44693"/>
    <w:rsid w:val="00C44D19"/>
    <w:rsid w:val="00C45392"/>
    <w:rsid w:val="00C45695"/>
    <w:rsid w:val="00C45D42"/>
    <w:rsid w:val="00C462A6"/>
    <w:rsid w:val="00C46487"/>
    <w:rsid w:val="00C47323"/>
    <w:rsid w:val="00C4734F"/>
    <w:rsid w:val="00C473CB"/>
    <w:rsid w:val="00C479DD"/>
    <w:rsid w:val="00C50549"/>
    <w:rsid w:val="00C515CA"/>
    <w:rsid w:val="00C5163F"/>
    <w:rsid w:val="00C51BAE"/>
    <w:rsid w:val="00C51DDC"/>
    <w:rsid w:val="00C52882"/>
    <w:rsid w:val="00C5326D"/>
    <w:rsid w:val="00C533F3"/>
    <w:rsid w:val="00C535B4"/>
    <w:rsid w:val="00C54960"/>
    <w:rsid w:val="00C54A99"/>
    <w:rsid w:val="00C54B75"/>
    <w:rsid w:val="00C54E3F"/>
    <w:rsid w:val="00C554F4"/>
    <w:rsid w:val="00C55AB4"/>
    <w:rsid w:val="00C55E97"/>
    <w:rsid w:val="00C56133"/>
    <w:rsid w:val="00C562EF"/>
    <w:rsid w:val="00C56317"/>
    <w:rsid w:val="00C566FC"/>
    <w:rsid w:val="00C56AF7"/>
    <w:rsid w:val="00C56BC5"/>
    <w:rsid w:val="00C56F90"/>
    <w:rsid w:val="00C57218"/>
    <w:rsid w:val="00C60236"/>
    <w:rsid w:val="00C60929"/>
    <w:rsid w:val="00C60A3C"/>
    <w:rsid w:val="00C61814"/>
    <w:rsid w:val="00C623F1"/>
    <w:rsid w:val="00C6281A"/>
    <w:rsid w:val="00C62FB1"/>
    <w:rsid w:val="00C633BC"/>
    <w:rsid w:val="00C633D9"/>
    <w:rsid w:val="00C639DE"/>
    <w:rsid w:val="00C652C4"/>
    <w:rsid w:val="00C6561E"/>
    <w:rsid w:val="00C65818"/>
    <w:rsid w:val="00C66E13"/>
    <w:rsid w:val="00C66EC0"/>
    <w:rsid w:val="00C6771F"/>
    <w:rsid w:val="00C677C7"/>
    <w:rsid w:val="00C67C6F"/>
    <w:rsid w:val="00C67EB2"/>
    <w:rsid w:val="00C7057E"/>
    <w:rsid w:val="00C70796"/>
    <w:rsid w:val="00C70C31"/>
    <w:rsid w:val="00C70CFD"/>
    <w:rsid w:val="00C71377"/>
    <w:rsid w:val="00C71587"/>
    <w:rsid w:val="00C719FE"/>
    <w:rsid w:val="00C71CCB"/>
    <w:rsid w:val="00C71CE9"/>
    <w:rsid w:val="00C72526"/>
    <w:rsid w:val="00C72B04"/>
    <w:rsid w:val="00C73992"/>
    <w:rsid w:val="00C739F7"/>
    <w:rsid w:val="00C73A17"/>
    <w:rsid w:val="00C74127"/>
    <w:rsid w:val="00C74CB3"/>
    <w:rsid w:val="00C76006"/>
    <w:rsid w:val="00C77B80"/>
    <w:rsid w:val="00C804F1"/>
    <w:rsid w:val="00C80848"/>
    <w:rsid w:val="00C814AA"/>
    <w:rsid w:val="00C81999"/>
    <w:rsid w:val="00C81AB8"/>
    <w:rsid w:val="00C81EA5"/>
    <w:rsid w:val="00C8215A"/>
    <w:rsid w:val="00C82495"/>
    <w:rsid w:val="00C82B01"/>
    <w:rsid w:val="00C830AB"/>
    <w:rsid w:val="00C830C5"/>
    <w:rsid w:val="00C83479"/>
    <w:rsid w:val="00C8380C"/>
    <w:rsid w:val="00C83DBA"/>
    <w:rsid w:val="00C83E17"/>
    <w:rsid w:val="00C840F7"/>
    <w:rsid w:val="00C8469D"/>
    <w:rsid w:val="00C84852"/>
    <w:rsid w:val="00C84D9F"/>
    <w:rsid w:val="00C8528B"/>
    <w:rsid w:val="00C861C8"/>
    <w:rsid w:val="00C86294"/>
    <w:rsid w:val="00C865AE"/>
    <w:rsid w:val="00C86FCE"/>
    <w:rsid w:val="00C87956"/>
    <w:rsid w:val="00C87B43"/>
    <w:rsid w:val="00C87E46"/>
    <w:rsid w:val="00C901E9"/>
    <w:rsid w:val="00C90375"/>
    <w:rsid w:val="00C905E4"/>
    <w:rsid w:val="00C90708"/>
    <w:rsid w:val="00C90ABD"/>
    <w:rsid w:val="00C90CCB"/>
    <w:rsid w:val="00C90DF9"/>
    <w:rsid w:val="00C93429"/>
    <w:rsid w:val="00C93AFE"/>
    <w:rsid w:val="00C93CB5"/>
    <w:rsid w:val="00C9443A"/>
    <w:rsid w:val="00C9477B"/>
    <w:rsid w:val="00C9477E"/>
    <w:rsid w:val="00C9500F"/>
    <w:rsid w:val="00C95FB2"/>
    <w:rsid w:val="00C96960"/>
    <w:rsid w:val="00C96ACF"/>
    <w:rsid w:val="00C97080"/>
    <w:rsid w:val="00C974E2"/>
    <w:rsid w:val="00CA07EE"/>
    <w:rsid w:val="00CA09F0"/>
    <w:rsid w:val="00CA0ECA"/>
    <w:rsid w:val="00CA11EA"/>
    <w:rsid w:val="00CA1EC6"/>
    <w:rsid w:val="00CA23FE"/>
    <w:rsid w:val="00CA25B9"/>
    <w:rsid w:val="00CA2DDC"/>
    <w:rsid w:val="00CA2E62"/>
    <w:rsid w:val="00CA3119"/>
    <w:rsid w:val="00CA330D"/>
    <w:rsid w:val="00CA33CE"/>
    <w:rsid w:val="00CA3C80"/>
    <w:rsid w:val="00CA3F79"/>
    <w:rsid w:val="00CA479F"/>
    <w:rsid w:val="00CA529C"/>
    <w:rsid w:val="00CA5415"/>
    <w:rsid w:val="00CA55EC"/>
    <w:rsid w:val="00CA5974"/>
    <w:rsid w:val="00CA5D32"/>
    <w:rsid w:val="00CA643C"/>
    <w:rsid w:val="00CB0040"/>
    <w:rsid w:val="00CB07E2"/>
    <w:rsid w:val="00CB087A"/>
    <w:rsid w:val="00CB117D"/>
    <w:rsid w:val="00CB162C"/>
    <w:rsid w:val="00CB17C1"/>
    <w:rsid w:val="00CB1CE2"/>
    <w:rsid w:val="00CB2E4C"/>
    <w:rsid w:val="00CB2F47"/>
    <w:rsid w:val="00CB395F"/>
    <w:rsid w:val="00CB3E41"/>
    <w:rsid w:val="00CB408D"/>
    <w:rsid w:val="00CB4A91"/>
    <w:rsid w:val="00CB5CE9"/>
    <w:rsid w:val="00CB670F"/>
    <w:rsid w:val="00CB6B8A"/>
    <w:rsid w:val="00CB7234"/>
    <w:rsid w:val="00CB72ED"/>
    <w:rsid w:val="00CB7595"/>
    <w:rsid w:val="00CB7933"/>
    <w:rsid w:val="00CB7A5D"/>
    <w:rsid w:val="00CB7FCD"/>
    <w:rsid w:val="00CC0269"/>
    <w:rsid w:val="00CC0B43"/>
    <w:rsid w:val="00CC0B56"/>
    <w:rsid w:val="00CC0D58"/>
    <w:rsid w:val="00CC1E02"/>
    <w:rsid w:val="00CC2384"/>
    <w:rsid w:val="00CC2862"/>
    <w:rsid w:val="00CC2BFE"/>
    <w:rsid w:val="00CC34A3"/>
    <w:rsid w:val="00CC3594"/>
    <w:rsid w:val="00CC3640"/>
    <w:rsid w:val="00CC3B92"/>
    <w:rsid w:val="00CC3CA2"/>
    <w:rsid w:val="00CC43B2"/>
    <w:rsid w:val="00CC5434"/>
    <w:rsid w:val="00CC5ABE"/>
    <w:rsid w:val="00CC5C9B"/>
    <w:rsid w:val="00CC6382"/>
    <w:rsid w:val="00CC648E"/>
    <w:rsid w:val="00CC6B17"/>
    <w:rsid w:val="00CC6F72"/>
    <w:rsid w:val="00CC7A63"/>
    <w:rsid w:val="00CC7BE6"/>
    <w:rsid w:val="00CD0BB9"/>
    <w:rsid w:val="00CD1097"/>
    <w:rsid w:val="00CD17D5"/>
    <w:rsid w:val="00CD17DB"/>
    <w:rsid w:val="00CD1A58"/>
    <w:rsid w:val="00CD20F4"/>
    <w:rsid w:val="00CD2B0C"/>
    <w:rsid w:val="00CD2B84"/>
    <w:rsid w:val="00CD30AD"/>
    <w:rsid w:val="00CD3FEF"/>
    <w:rsid w:val="00CD454E"/>
    <w:rsid w:val="00CD51ED"/>
    <w:rsid w:val="00CD5717"/>
    <w:rsid w:val="00CD5BA8"/>
    <w:rsid w:val="00CD5D23"/>
    <w:rsid w:val="00CD6AF0"/>
    <w:rsid w:val="00CD748B"/>
    <w:rsid w:val="00CE0AC5"/>
    <w:rsid w:val="00CE0F3A"/>
    <w:rsid w:val="00CE14A1"/>
    <w:rsid w:val="00CE1AF1"/>
    <w:rsid w:val="00CE1C34"/>
    <w:rsid w:val="00CE1D6E"/>
    <w:rsid w:val="00CE1ED6"/>
    <w:rsid w:val="00CE1FF8"/>
    <w:rsid w:val="00CE230D"/>
    <w:rsid w:val="00CE2B86"/>
    <w:rsid w:val="00CE3261"/>
    <w:rsid w:val="00CE364C"/>
    <w:rsid w:val="00CE42F9"/>
    <w:rsid w:val="00CE46FA"/>
    <w:rsid w:val="00CE490D"/>
    <w:rsid w:val="00CE4C5A"/>
    <w:rsid w:val="00CE4DC0"/>
    <w:rsid w:val="00CE4DEF"/>
    <w:rsid w:val="00CE5A38"/>
    <w:rsid w:val="00CE6823"/>
    <w:rsid w:val="00CE69F2"/>
    <w:rsid w:val="00CE6B1E"/>
    <w:rsid w:val="00CE6C95"/>
    <w:rsid w:val="00CE6EBD"/>
    <w:rsid w:val="00CE7287"/>
    <w:rsid w:val="00CE7CFD"/>
    <w:rsid w:val="00CF06A0"/>
    <w:rsid w:val="00CF0A47"/>
    <w:rsid w:val="00CF0CA5"/>
    <w:rsid w:val="00CF1106"/>
    <w:rsid w:val="00CF161B"/>
    <w:rsid w:val="00CF1847"/>
    <w:rsid w:val="00CF1FF2"/>
    <w:rsid w:val="00CF289E"/>
    <w:rsid w:val="00CF28DC"/>
    <w:rsid w:val="00CF2D5D"/>
    <w:rsid w:val="00CF3109"/>
    <w:rsid w:val="00CF3116"/>
    <w:rsid w:val="00CF322F"/>
    <w:rsid w:val="00CF32DC"/>
    <w:rsid w:val="00CF35A2"/>
    <w:rsid w:val="00CF3650"/>
    <w:rsid w:val="00CF3673"/>
    <w:rsid w:val="00CF3B53"/>
    <w:rsid w:val="00CF3E31"/>
    <w:rsid w:val="00CF44A9"/>
    <w:rsid w:val="00CF5313"/>
    <w:rsid w:val="00CF5648"/>
    <w:rsid w:val="00CF57E5"/>
    <w:rsid w:val="00CF61F4"/>
    <w:rsid w:val="00CF6814"/>
    <w:rsid w:val="00CF68A0"/>
    <w:rsid w:val="00CF68C4"/>
    <w:rsid w:val="00CF7AA0"/>
    <w:rsid w:val="00CF7F34"/>
    <w:rsid w:val="00CF7FAA"/>
    <w:rsid w:val="00CF7FE0"/>
    <w:rsid w:val="00D000C3"/>
    <w:rsid w:val="00D007AF"/>
    <w:rsid w:val="00D00A51"/>
    <w:rsid w:val="00D00BAB"/>
    <w:rsid w:val="00D00F43"/>
    <w:rsid w:val="00D02735"/>
    <w:rsid w:val="00D03666"/>
    <w:rsid w:val="00D03828"/>
    <w:rsid w:val="00D03AE6"/>
    <w:rsid w:val="00D0408A"/>
    <w:rsid w:val="00D041B5"/>
    <w:rsid w:val="00D0424C"/>
    <w:rsid w:val="00D045E9"/>
    <w:rsid w:val="00D05D3C"/>
    <w:rsid w:val="00D05E9E"/>
    <w:rsid w:val="00D05EA1"/>
    <w:rsid w:val="00D06901"/>
    <w:rsid w:val="00D06D36"/>
    <w:rsid w:val="00D07574"/>
    <w:rsid w:val="00D07EB3"/>
    <w:rsid w:val="00D10639"/>
    <w:rsid w:val="00D107A9"/>
    <w:rsid w:val="00D10BD2"/>
    <w:rsid w:val="00D10EDC"/>
    <w:rsid w:val="00D110F5"/>
    <w:rsid w:val="00D11205"/>
    <w:rsid w:val="00D113D8"/>
    <w:rsid w:val="00D124C6"/>
    <w:rsid w:val="00D1265D"/>
    <w:rsid w:val="00D12FDC"/>
    <w:rsid w:val="00D1300F"/>
    <w:rsid w:val="00D1337C"/>
    <w:rsid w:val="00D1344F"/>
    <w:rsid w:val="00D1355F"/>
    <w:rsid w:val="00D13A76"/>
    <w:rsid w:val="00D13AE8"/>
    <w:rsid w:val="00D13E15"/>
    <w:rsid w:val="00D140B6"/>
    <w:rsid w:val="00D1506A"/>
    <w:rsid w:val="00D151C7"/>
    <w:rsid w:val="00D153E2"/>
    <w:rsid w:val="00D15866"/>
    <w:rsid w:val="00D15C43"/>
    <w:rsid w:val="00D16A3C"/>
    <w:rsid w:val="00D16D2A"/>
    <w:rsid w:val="00D16F61"/>
    <w:rsid w:val="00D171A2"/>
    <w:rsid w:val="00D17E5F"/>
    <w:rsid w:val="00D214C2"/>
    <w:rsid w:val="00D21A26"/>
    <w:rsid w:val="00D22CC5"/>
    <w:rsid w:val="00D2391C"/>
    <w:rsid w:val="00D23A1E"/>
    <w:rsid w:val="00D2401A"/>
    <w:rsid w:val="00D244ED"/>
    <w:rsid w:val="00D24902"/>
    <w:rsid w:val="00D25B7E"/>
    <w:rsid w:val="00D26816"/>
    <w:rsid w:val="00D26F4D"/>
    <w:rsid w:val="00D2745E"/>
    <w:rsid w:val="00D27B3A"/>
    <w:rsid w:val="00D30035"/>
    <w:rsid w:val="00D30415"/>
    <w:rsid w:val="00D304AB"/>
    <w:rsid w:val="00D306BC"/>
    <w:rsid w:val="00D30BF1"/>
    <w:rsid w:val="00D30ED1"/>
    <w:rsid w:val="00D31D49"/>
    <w:rsid w:val="00D3238D"/>
    <w:rsid w:val="00D32947"/>
    <w:rsid w:val="00D32B55"/>
    <w:rsid w:val="00D3303A"/>
    <w:rsid w:val="00D33147"/>
    <w:rsid w:val="00D3382C"/>
    <w:rsid w:val="00D34419"/>
    <w:rsid w:val="00D34ECE"/>
    <w:rsid w:val="00D34F46"/>
    <w:rsid w:val="00D350A3"/>
    <w:rsid w:val="00D350A4"/>
    <w:rsid w:val="00D35393"/>
    <w:rsid w:val="00D3561C"/>
    <w:rsid w:val="00D35B53"/>
    <w:rsid w:val="00D361AA"/>
    <w:rsid w:val="00D361BF"/>
    <w:rsid w:val="00D3637F"/>
    <w:rsid w:val="00D3645A"/>
    <w:rsid w:val="00D36781"/>
    <w:rsid w:val="00D3791A"/>
    <w:rsid w:val="00D3793B"/>
    <w:rsid w:val="00D37D45"/>
    <w:rsid w:val="00D4018A"/>
    <w:rsid w:val="00D40B14"/>
    <w:rsid w:val="00D414FF"/>
    <w:rsid w:val="00D41547"/>
    <w:rsid w:val="00D418A0"/>
    <w:rsid w:val="00D41CDA"/>
    <w:rsid w:val="00D41D17"/>
    <w:rsid w:val="00D42356"/>
    <w:rsid w:val="00D4275D"/>
    <w:rsid w:val="00D42CEB"/>
    <w:rsid w:val="00D42D97"/>
    <w:rsid w:val="00D4312D"/>
    <w:rsid w:val="00D44834"/>
    <w:rsid w:val="00D450A9"/>
    <w:rsid w:val="00D4543E"/>
    <w:rsid w:val="00D454D0"/>
    <w:rsid w:val="00D45DC5"/>
    <w:rsid w:val="00D45EA4"/>
    <w:rsid w:val="00D46298"/>
    <w:rsid w:val="00D4662C"/>
    <w:rsid w:val="00D46E0D"/>
    <w:rsid w:val="00D4721C"/>
    <w:rsid w:val="00D478A1"/>
    <w:rsid w:val="00D478C5"/>
    <w:rsid w:val="00D47F63"/>
    <w:rsid w:val="00D50361"/>
    <w:rsid w:val="00D50402"/>
    <w:rsid w:val="00D518AE"/>
    <w:rsid w:val="00D51A4E"/>
    <w:rsid w:val="00D51C21"/>
    <w:rsid w:val="00D521AE"/>
    <w:rsid w:val="00D524D4"/>
    <w:rsid w:val="00D52F14"/>
    <w:rsid w:val="00D53817"/>
    <w:rsid w:val="00D53B01"/>
    <w:rsid w:val="00D53DBA"/>
    <w:rsid w:val="00D53E5C"/>
    <w:rsid w:val="00D54AE6"/>
    <w:rsid w:val="00D54D58"/>
    <w:rsid w:val="00D5578E"/>
    <w:rsid w:val="00D55A81"/>
    <w:rsid w:val="00D56162"/>
    <w:rsid w:val="00D563D7"/>
    <w:rsid w:val="00D566B6"/>
    <w:rsid w:val="00D56765"/>
    <w:rsid w:val="00D56A5F"/>
    <w:rsid w:val="00D56DF5"/>
    <w:rsid w:val="00D56DFC"/>
    <w:rsid w:val="00D573D6"/>
    <w:rsid w:val="00D574EA"/>
    <w:rsid w:val="00D57CE2"/>
    <w:rsid w:val="00D57D75"/>
    <w:rsid w:val="00D60224"/>
    <w:rsid w:val="00D60457"/>
    <w:rsid w:val="00D604B8"/>
    <w:rsid w:val="00D607B0"/>
    <w:rsid w:val="00D60881"/>
    <w:rsid w:val="00D612EA"/>
    <w:rsid w:val="00D61680"/>
    <w:rsid w:val="00D617A7"/>
    <w:rsid w:val="00D61CE0"/>
    <w:rsid w:val="00D6255E"/>
    <w:rsid w:val="00D62A56"/>
    <w:rsid w:val="00D62A9E"/>
    <w:rsid w:val="00D62B92"/>
    <w:rsid w:val="00D62E3A"/>
    <w:rsid w:val="00D62E6C"/>
    <w:rsid w:val="00D63971"/>
    <w:rsid w:val="00D64112"/>
    <w:rsid w:val="00D648E5"/>
    <w:rsid w:val="00D65EA8"/>
    <w:rsid w:val="00D65FA9"/>
    <w:rsid w:val="00D660F3"/>
    <w:rsid w:val="00D663DC"/>
    <w:rsid w:val="00D6694B"/>
    <w:rsid w:val="00D66A93"/>
    <w:rsid w:val="00D66C49"/>
    <w:rsid w:val="00D679C6"/>
    <w:rsid w:val="00D702A5"/>
    <w:rsid w:val="00D7072C"/>
    <w:rsid w:val="00D70904"/>
    <w:rsid w:val="00D70934"/>
    <w:rsid w:val="00D71603"/>
    <w:rsid w:val="00D71678"/>
    <w:rsid w:val="00D7236D"/>
    <w:rsid w:val="00D725EB"/>
    <w:rsid w:val="00D726D1"/>
    <w:rsid w:val="00D7274E"/>
    <w:rsid w:val="00D728B8"/>
    <w:rsid w:val="00D733F9"/>
    <w:rsid w:val="00D7359C"/>
    <w:rsid w:val="00D73808"/>
    <w:rsid w:val="00D73CE8"/>
    <w:rsid w:val="00D73D25"/>
    <w:rsid w:val="00D74001"/>
    <w:rsid w:val="00D747BA"/>
    <w:rsid w:val="00D7613B"/>
    <w:rsid w:val="00D7649D"/>
    <w:rsid w:val="00D76AEA"/>
    <w:rsid w:val="00D77422"/>
    <w:rsid w:val="00D77AB2"/>
    <w:rsid w:val="00D77F81"/>
    <w:rsid w:val="00D8012F"/>
    <w:rsid w:val="00D803B9"/>
    <w:rsid w:val="00D80ADC"/>
    <w:rsid w:val="00D80B71"/>
    <w:rsid w:val="00D80FDE"/>
    <w:rsid w:val="00D8103B"/>
    <w:rsid w:val="00D81188"/>
    <w:rsid w:val="00D81297"/>
    <w:rsid w:val="00D8159F"/>
    <w:rsid w:val="00D83237"/>
    <w:rsid w:val="00D84A05"/>
    <w:rsid w:val="00D84A19"/>
    <w:rsid w:val="00D853C8"/>
    <w:rsid w:val="00D8554F"/>
    <w:rsid w:val="00D861F3"/>
    <w:rsid w:val="00D863FC"/>
    <w:rsid w:val="00D86703"/>
    <w:rsid w:val="00D8733C"/>
    <w:rsid w:val="00D8754A"/>
    <w:rsid w:val="00D87863"/>
    <w:rsid w:val="00D87A3D"/>
    <w:rsid w:val="00D87FF2"/>
    <w:rsid w:val="00D900DC"/>
    <w:rsid w:val="00D902E3"/>
    <w:rsid w:val="00D902F7"/>
    <w:rsid w:val="00D9054F"/>
    <w:rsid w:val="00D90F2C"/>
    <w:rsid w:val="00D914B1"/>
    <w:rsid w:val="00D91B22"/>
    <w:rsid w:val="00D92D9F"/>
    <w:rsid w:val="00D92EC9"/>
    <w:rsid w:val="00D93A90"/>
    <w:rsid w:val="00D94468"/>
    <w:rsid w:val="00D944FF"/>
    <w:rsid w:val="00D946C1"/>
    <w:rsid w:val="00D9480E"/>
    <w:rsid w:val="00D953D4"/>
    <w:rsid w:val="00D955FC"/>
    <w:rsid w:val="00D95AB6"/>
    <w:rsid w:val="00D95BB0"/>
    <w:rsid w:val="00D95EAF"/>
    <w:rsid w:val="00D96518"/>
    <w:rsid w:val="00D975AD"/>
    <w:rsid w:val="00D97A2F"/>
    <w:rsid w:val="00D97AB8"/>
    <w:rsid w:val="00D97DBC"/>
    <w:rsid w:val="00DA0543"/>
    <w:rsid w:val="00DA08CD"/>
    <w:rsid w:val="00DA0EBB"/>
    <w:rsid w:val="00DA1534"/>
    <w:rsid w:val="00DA170F"/>
    <w:rsid w:val="00DA1A9C"/>
    <w:rsid w:val="00DA255A"/>
    <w:rsid w:val="00DA2CF2"/>
    <w:rsid w:val="00DA2D18"/>
    <w:rsid w:val="00DA351E"/>
    <w:rsid w:val="00DA3619"/>
    <w:rsid w:val="00DA3BBA"/>
    <w:rsid w:val="00DA3CB0"/>
    <w:rsid w:val="00DA3D62"/>
    <w:rsid w:val="00DA3DB6"/>
    <w:rsid w:val="00DA4112"/>
    <w:rsid w:val="00DA419E"/>
    <w:rsid w:val="00DA4827"/>
    <w:rsid w:val="00DA4841"/>
    <w:rsid w:val="00DA49B7"/>
    <w:rsid w:val="00DA4FB4"/>
    <w:rsid w:val="00DA50DB"/>
    <w:rsid w:val="00DA5BF3"/>
    <w:rsid w:val="00DA5D65"/>
    <w:rsid w:val="00DA5EA4"/>
    <w:rsid w:val="00DA5F46"/>
    <w:rsid w:val="00DA60B8"/>
    <w:rsid w:val="00DA6212"/>
    <w:rsid w:val="00DA6A7B"/>
    <w:rsid w:val="00DA6C75"/>
    <w:rsid w:val="00DA6F88"/>
    <w:rsid w:val="00DA7F7E"/>
    <w:rsid w:val="00DB019C"/>
    <w:rsid w:val="00DB0380"/>
    <w:rsid w:val="00DB0947"/>
    <w:rsid w:val="00DB0B05"/>
    <w:rsid w:val="00DB0C02"/>
    <w:rsid w:val="00DB1390"/>
    <w:rsid w:val="00DB1530"/>
    <w:rsid w:val="00DB1671"/>
    <w:rsid w:val="00DB1F5B"/>
    <w:rsid w:val="00DB23CD"/>
    <w:rsid w:val="00DB24B7"/>
    <w:rsid w:val="00DB2551"/>
    <w:rsid w:val="00DB295C"/>
    <w:rsid w:val="00DB2CB4"/>
    <w:rsid w:val="00DB307D"/>
    <w:rsid w:val="00DB33D2"/>
    <w:rsid w:val="00DB47F3"/>
    <w:rsid w:val="00DB4890"/>
    <w:rsid w:val="00DB51A2"/>
    <w:rsid w:val="00DB54CB"/>
    <w:rsid w:val="00DB5848"/>
    <w:rsid w:val="00DB5884"/>
    <w:rsid w:val="00DB5DCE"/>
    <w:rsid w:val="00DB5DD1"/>
    <w:rsid w:val="00DB6500"/>
    <w:rsid w:val="00DB65C0"/>
    <w:rsid w:val="00DB66DB"/>
    <w:rsid w:val="00DB6DAF"/>
    <w:rsid w:val="00DB6EC6"/>
    <w:rsid w:val="00DB726D"/>
    <w:rsid w:val="00DB739C"/>
    <w:rsid w:val="00DB772F"/>
    <w:rsid w:val="00DB7ABB"/>
    <w:rsid w:val="00DC0C19"/>
    <w:rsid w:val="00DC0D18"/>
    <w:rsid w:val="00DC0E5C"/>
    <w:rsid w:val="00DC1051"/>
    <w:rsid w:val="00DC168F"/>
    <w:rsid w:val="00DC21B2"/>
    <w:rsid w:val="00DC257B"/>
    <w:rsid w:val="00DC2868"/>
    <w:rsid w:val="00DC2B10"/>
    <w:rsid w:val="00DC2D97"/>
    <w:rsid w:val="00DC31E6"/>
    <w:rsid w:val="00DC3322"/>
    <w:rsid w:val="00DC3CC6"/>
    <w:rsid w:val="00DC453A"/>
    <w:rsid w:val="00DC457A"/>
    <w:rsid w:val="00DC4629"/>
    <w:rsid w:val="00DC4DE9"/>
    <w:rsid w:val="00DC4E7D"/>
    <w:rsid w:val="00DC5243"/>
    <w:rsid w:val="00DC58EE"/>
    <w:rsid w:val="00DC59E8"/>
    <w:rsid w:val="00DC6403"/>
    <w:rsid w:val="00DC7412"/>
    <w:rsid w:val="00DC7A07"/>
    <w:rsid w:val="00DC7C41"/>
    <w:rsid w:val="00DD030F"/>
    <w:rsid w:val="00DD0627"/>
    <w:rsid w:val="00DD0F6F"/>
    <w:rsid w:val="00DD13F9"/>
    <w:rsid w:val="00DD1B88"/>
    <w:rsid w:val="00DD1DAA"/>
    <w:rsid w:val="00DD2713"/>
    <w:rsid w:val="00DD3512"/>
    <w:rsid w:val="00DD36D5"/>
    <w:rsid w:val="00DD40E8"/>
    <w:rsid w:val="00DD4F88"/>
    <w:rsid w:val="00DD4FB3"/>
    <w:rsid w:val="00DD5876"/>
    <w:rsid w:val="00DD5D2D"/>
    <w:rsid w:val="00DD6237"/>
    <w:rsid w:val="00DD66EC"/>
    <w:rsid w:val="00DD6A37"/>
    <w:rsid w:val="00DD6A9C"/>
    <w:rsid w:val="00DD718B"/>
    <w:rsid w:val="00DD7E4C"/>
    <w:rsid w:val="00DD7EA1"/>
    <w:rsid w:val="00DE0239"/>
    <w:rsid w:val="00DE0455"/>
    <w:rsid w:val="00DE079C"/>
    <w:rsid w:val="00DE0811"/>
    <w:rsid w:val="00DE0ACD"/>
    <w:rsid w:val="00DE0B4F"/>
    <w:rsid w:val="00DE0C30"/>
    <w:rsid w:val="00DE0E97"/>
    <w:rsid w:val="00DE1056"/>
    <w:rsid w:val="00DE110D"/>
    <w:rsid w:val="00DE1DFC"/>
    <w:rsid w:val="00DE1F76"/>
    <w:rsid w:val="00DE2196"/>
    <w:rsid w:val="00DE3564"/>
    <w:rsid w:val="00DE3582"/>
    <w:rsid w:val="00DE45C4"/>
    <w:rsid w:val="00DE4B3E"/>
    <w:rsid w:val="00DE4BF7"/>
    <w:rsid w:val="00DE5A8A"/>
    <w:rsid w:val="00DE5E41"/>
    <w:rsid w:val="00DE6029"/>
    <w:rsid w:val="00DE604C"/>
    <w:rsid w:val="00DE6E8D"/>
    <w:rsid w:val="00DE70E5"/>
    <w:rsid w:val="00DE75F4"/>
    <w:rsid w:val="00DE7748"/>
    <w:rsid w:val="00DE7763"/>
    <w:rsid w:val="00DE7B53"/>
    <w:rsid w:val="00DF11A9"/>
    <w:rsid w:val="00DF1D70"/>
    <w:rsid w:val="00DF24A1"/>
    <w:rsid w:val="00DF27EA"/>
    <w:rsid w:val="00DF28EA"/>
    <w:rsid w:val="00DF32FE"/>
    <w:rsid w:val="00DF3451"/>
    <w:rsid w:val="00DF3602"/>
    <w:rsid w:val="00DF3775"/>
    <w:rsid w:val="00DF3F70"/>
    <w:rsid w:val="00DF44BD"/>
    <w:rsid w:val="00DF491C"/>
    <w:rsid w:val="00DF58CF"/>
    <w:rsid w:val="00DF58F8"/>
    <w:rsid w:val="00DF5907"/>
    <w:rsid w:val="00DF5CB5"/>
    <w:rsid w:val="00DF5D29"/>
    <w:rsid w:val="00DF6048"/>
    <w:rsid w:val="00DF608C"/>
    <w:rsid w:val="00DF663B"/>
    <w:rsid w:val="00DF6C47"/>
    <w:rsid w:val="00DF7871"/>
    <w:rsid w:val="00DF7C93"/>
    <w:rsid w:val="00E0009D"/>
    <w:rsid w:val="00E00340"/>
    <w:rsid w:val="00E00BD4"/>
    <w:rsid w:val="00E00BF9"/>
    <w:rsid w:val="00E01119"/>
    <w:rsid w:val="00E02074"/>
    <w:rsid w:val="00E021AE"/>
    <w:rsid w:val="00E022D4"/>
    <w:rsid w:val="00E02967"/>
    <w:rsid w:val="00E02F9B"/>
    <w:rsid w:val="00E0393E"/>
    <w:rsid w:val="00E039B5"/>
    <w:rsid w:val="00E04EA0"/>
    <w:rsid w:val="00E05501"/>
    <w:rsid w:val="00E0553C"/>
    <w:rsid w:val="00E05550"/>
    <w:rsid w:val="00E05E56"/>
    <w:rsid w:val="00E05E5A"/>
    <w:rsid w:val="00E064D5"/>
    <w:rsid w:val="00E06BF6"/>
    <w:rsid w:val="00E06E15"/>
    <w:rsid w:val="00E070E4"/>
    <w:rsid w:val="00E07338"/>
    <w:rsid w:val="00E0759E"/>
    <w:rsid w:val="00E07915"/>
    <w:rsid w:val="00E10EF0"/>
    <w:rsid w:val="00E10F3F"/>
    <w:rsid w:val="00E11142"/>
    <w:rsid w:val="00E11431"/>
    <w:rsid w:val="00E11884"/>
    <w:rsid w:val="00E12F83"/>
    <w:rsid w:val="00E13193"/>
    <w:rsid w:val="00E13DF1"/>
    <w:rsid w:val="00E13F36"/>
    <w:rsid w:val="00E144A3"/>
    <w:rsid w:val="00E15588"/>
    <w:rsid w:val="00E15637"/>
    <w:rsid w:val="00E15A7F"/>
    <w:rsid w:val="00E15B7A"/>
    <w:rsid w:val="00E15B86"/>
    <w:rsid w:val="00E15BB0"/>
    <w:rsid w:val="00E15CE6"/>
    <w:rsid w:val="00E16584"/>
    <w:rsid w:val="00E166D5"/>
    <w:rsid w:val="00E16B8B"/>
    <w:rsid w:val="00E171AB"/>
    <w:rsid w:val="00E173CE"/>
    <w:rsid w:val="00E17EC4"/>
    <w:rsid w:val="00E20308"/>
    <w:rsid w:val="00E20842"/>
    <w:rsid w:val="00E20AC9"/>
    <w:rsid w:val="00E20CDF"/>
    <w:rsid w:val="00E20D1C"/>
    <w:rsid w:val="00E21374"/>
    <w:rsid w:val="00E21CCE"/>
    <w:rsid w:val="00E2214E"/>
    <w:rsid w:val="00E22242"/>
    <w:rsid w:val="00E22D05"/>
    <w:rsid w:val="00E22DED"/>
    <w:rsid w:val="00E23CFE"/>
    <w:rsid w:val="00E23E4C"/>
    <w:rsid w:val="00E24536"/>
    <w:rsid w:val="00E24AC9"/>
    <w:rsid w:val="00E24F6B"/>
    <w:rsid w:val="00E25139"/>
    <w:rsid w:val="00E25319"/>
    <w:rsid w:val="00E2573A"/>
    <w:rsid w:val="00E257C7"/>
    <w:rsid w:val="00E25CBE"/>
    <w:rsid w:val="00E262AE"/>
    <w:rsid w:val="00E275AE"/>
    <w:rsid w:val="00E27811"/>
    <w:rsid w:val="00E27884"/>
    <w:rsid w:val="00E3029F"/>
    <w:rsid w:val="00E304D1"/>
    <w:rsid w:val="00E30FCF"/>
    <w:rsid w:val="00E31434"/>
    <w:rsid w:val="00E31822"/>
    <w:rsid w:val="00E31C58"/>
    <w:rsid w:val="00E31C91"/>
    <w:rsid w:val="00E3225D"/>
    <w:rsid w:val="00E32439"/>
    <w:rsid w:val="00E33152"/>
    <w:rsid w:val="00E33807"/>
    <w:rsid w:val="00E338C9"/>
    <w:rsid w:val="00E3399B"/>
    <w:rsid w:val="00E33E7E"/>
    <w:rsid w:val="00E35060"/>
    <w:rsid w:val="00E3550C"/>
    <w:rsid w:val="00E35E70"/>
    <w:rsid w:val="00E360FF"/>
    <w:rsid w:val="00E369ED"/>
    <w:rsid w:val="00E36C1E"/>
    <w:rsid w:val="00E37276"/>
    <w:rsid w:val="00E37454"/>
    <w:rsid w:val="00E375AD"/>
    <w:rsid w:val="00E37603"/>
    <w:rsid w:val="00E3783C"/>
    <w:rsid w:val="00E37A72"/>
    <w:rsid w:val="00E37B89"/>
    <w:rsid w:val="00E37E88"/>
    <w:rsid w:val="00E37EBD"/>
    <w:rsid w:val="00E413DB"/>
    <w:rsid w:val="00E41C9B"/>
    <w:rsid w:val="00E42CA5"/>
    <w:rsid w:val="00E42E18"/>
    <w:rsid w:val="00E43024"/>
    <w:rsid w:val="00E43081"/>
    <w:rsid w:val="00E440C8"/>
    <w:rsid w:val="00E443F7"/>
    <w:rsid w:val="00E44A71"/>
    <w:rsid w:val="00E44BBD"/>
    <w:rsid w:val="00E44EA2"/>
    <w:rsid w:val="00E45740"/>
    <w:rsid w:val="00E45A3D"/>
    <w:rsid w:val="00E45CD3"/>
    <w:rsid w:val="00E46097"/>
    <w:rsid w:val="00E46709"/>
    <w:rsid w:val="00E46960"/>
    <w:rsid w:val="00E46D16"/>
    <w:rsid w:val="00E46DF0"/>
    <w:rsid w:val="00E475BB"/>
    <w:rsid w:val="00E475DA"/>
    <w:rsid w:val="00E47936"/>
    <w:rsid w:val="00E479C5"/>
    <w:rsid w:val="00E47EEA"/>
    <w:rsid w:val="00E500C7"/>
    <w:rsid w:val="00E51F40"/>
    <w:rsid w:val="00E5214A"/>
    <w:rsid w:val="00E52B94"/>
    <w:rsid w:val="00E53803"/>
    <w:rsid w:val="00E53A26"/>
    <w:rsid w:val="00E53DC9"/>
    <w:rsid w:val="00E54525"/>
    <w:rsid w:val="00E54A1A"/>
    <w:rsid w:val="00E54B9C"/>
    <w:rsid w:val="00E54D4F"/>
    <w:rsid w:val="00E54F91"/>
    <w:rsid w:val="00E551DB"/>
    <w:rsid w:val="00E551FD"/>
    <w:rsid w:val="00E55488"/>
    <w:rsid w:val="00E55C16"/>
    <w:rsid w:val="00E55F7F"/>
    <w:rsid w:val="00E55FF6"/>
    <w:rsid w:val="00E5616F"/>
    <w:rsid w:val="00E5673B"/>
    <w:rsid w:val="00E567DA"/>
    <w:rsid w:val="00E570BB"/>
    <w:rsid w:val="00E572C1"/>
    <w:rsid w:val="00E575B8"/>
    <w:rsid w:val="00E57E69"/>
    <w:rsid w:val="00E602E3"/>
    <w:rsid w:val="00E603C2"/>
    <w:rsid w:val="00E60445"/>
    <w:rsid w:val="00E60817"/>
    <w:rsid w:val="00E60F92"/>
    <w:rsid w:val="00E610D2"/>
    <w:rsid w:val="00E6112D"/>
    <w:rsid w:val="00E61E3A"/>
    <w:rsid w:val="00E62277"/>
    <w:rsid w:val="00E624C9"/>
    <w:rsid w:val="00E625D1"/>
    <w:rsid w:val="00E62EB1"/>
    <w:rsid w:val="00E63165"/>
    <w:rsid w:val="00E63E4D"/>
    <w:rsid w:val="00E63F24"/>
    <w:rsid w:val="00E6421E"/>
    <w:rsid w:val="00E647E0"/>
    <w:rsid w:val="00E65205"/>
    <w:rsid w:val="00E65AB4"/>
    <w:rsid w:val="00E65AD2"/>
    <w:rsid w:val="00E65F80"/>
    <w:rsid w:val="00E663D0"/>
    <w:rsid w:val="00E66687"/>
    <w:rsid w:val="00E66B9F"/>
    <w:rsid w:val="00E66DB0"/>
    <w:rsid w:val="00E66FEC"/>
    <w:rsid w:val="00E676D9"/>
    <w:rsid w:val="00E67F8C"/>
    <w:rsid w:val="00E70054"/>
    <w:rsid w:val="00E703DC"/>
    <w:rsid w:val="00E7049B"/>
    <w:rsid w:val="00E7073B"/>
    <w:rsid w:val="00E70C6F"/>
    <w:rsid w:val="00E70CF7"/>
    <w:rsid w:val="00E70D21"/>
    <w:rsid w:val="00E71C57"/>
    <w:rsid w:val="00E72792"/>
    <w:rsid w:val="00E727D4"/>
    <w:rsid w:val="00E732B2"/>
    <w:rsid w:val="00E73392"/>
    <w:rsid w:val="00E736A8"/>
    <w:rsid w:val="00E74953"/>
    <w:rsid w:val="00E74D89"/>
    <w:rsid w:val="00E74EA7"/>
    <w:rsid w:val="00E7519F"/>
    <w:rsid w:val="00E7528C"/>
    <w:rsid w:val="00E7539E"/>
    <w:rsid w:val="00E7549E"/>
    <w:rsid w:val="00E75520"/>
    <w:rsid w:val="00E7558D"/>
    <w:rsid w:val="00E76018"/>
    <w:rsid w:val="00E76FFD"/>
    <w:rsid w:val="00E7766A"/>
    <w:rsid w:val="00E7784C"/>
    <w:rsid w:val="00E77C5D"/>
    <w:rsid w:val="00E77E2C"/>
    <w:rsid w:val="00E80A34"/>
    <w:rsid w:val="00E80EED"/>
    <w:rsid w:val="00E81055"/>
    <w:rsid w:val="00E812CE"/>
    <w:rsid w:val="00E814E1"/>
    <w:rsid w:val="00E8163D"/>
    <w:rsid w:val="00E817DC"/>
    <w:rsid w:val="00E819DC"/>
    <w:rsid w:val="00E81A4C"/>
    <w:rsid w:val="00E81A90"/>
    <w:rsid w:val="00E834AE"/>
    <w:rsid w:val="00E840C4"/>
    <w:rsid w:val="00E843E6"/>
    <w:rsid w:val="00E844E9"/>
    <w:rsid w:val="00E849EE"/>
    <w:rsid w:val="00E8521D"/>
    <w:rsid w:val="00E852CD"/>
    <w:rsid w:val="00E85AB2"/>
    <w:rsid w:val="00E85B0A"/>
    <w:rsid w:val="00E85B7E"/>
    <w:rsid w:val="00E85B99"/>
    <w:rsid w:val="00E85C07"/>
    <w:rsid w:val="00E86264"/>
    <w:rsid w:val="00E863B2"/>
    <w:rsid w:val="00E86581"/>
    <w:rsid w:val="00E8689F"/>
    <w:rsid w:val="00E86EC6"/>
    <w:rsid w:val="00E86EFB"/>
    <w:rsid w:val="00E86FE9"/>
    <w:rsid w:val="00E8742B"/>
    <w:rsid w:val="00E8744E"/>
    <w:rsid w:val="00E87B2F"/>
    <w:rsid w:val="00E87D5E"/>
    <w:rsid w:val="00E90A7F"/>
    <w:rsid w:val="00E9140F"/>
    <w:rsid w:val="00E91805"/>
    <w:rsid w:val="00E918D3"/>
    <w:rsid w:val="00E91B67"/>
    <w:rsid w:val="00E9208E"/>
    <w:rsid w:val="00E92246"/>
    <w:rsid w:val="00E92266"/>
    <w:rsid w:val="00E929D6"/>
    <w:rsid w:val="00E92B1F"/>
    <w:rsid w:val="00E938FB"/>
    <w:rsid w:val="00E94100"/>
    <w:rsid w:val="00E94A6B"/>
    <w:rsid w:val="00E94AF5"/>
    <w:rsid w:val="00E94C52"/>
    <w:rsid w:val="00E94F27"/>
    <w:rsid w:val="00E94FC8"/>
    <w:rsid w:val="00E9501A"/>
    <w:rsid w:val="00E957D0"/>
    <w:rsid w:val="00E95A50"/>
    <w:rsid w:val="00E964EF"/>
    <w:rsid w:val="00E96529"/>
    <w:rsid w:val="00E96829"/>
    <w:rsid w:val="00E96A27"/>
    <w:rsid w:val="00E96CCA"/>
    <w:rsid w:val="00E9747C"/>
    <w:rsid w:val="00E97484"/>
    <w:rsid w:val="00E97A95"/>
    <w:rsid w:val="00EA03A5"/>
    <w:rsid w:val="00EA1612"/>
    <w:rsid w:val="00EA265E"/>
    <w:rsid w:val="00EA2773"/>
    <w:rsid w:val="00EA2844"/>
    <w:rsid w:val="00EA2FBF"/>
    <w:rsid w:val="00EA2FDE"/>
    <w:rsid w:val="00EA351E"/>
    <w:rsid w:val="00EA353A"/>
    <w:rsid w:val="00EA394E"/>
    <w:rsid w:val="00EA3DA4"/>
    <w:rsid w:val="00EA467F"/>
    <w:rsid w:val="00EA4C33"/>
    <w:rsid w:val="00EA4E84"/>
    <w:rsid w:val="00EA63ED"/>
    <w:rsid w:val="00EA65F6"/>
    <w:rsid w:val="00EA6D0F"/>
    <w:rsid w:val="00EA7D8F"/>
    <w:rsid w:val="00EA7E75"/>
    <w:rsid w:val="00EA7F66"/>
    <w:rsid w:val="00EB082F"/>
    <w:rsid w:val="00EB09DA"/>
    <w:rsid w:val="00EB0A2B"/>
    <w:rsid w:val="00EB0F57"/>
    <w:rsid w:val="00EB1FDA"/>
    <w:rsid w:val="00EB2047"/>
    <w:rsid w:val="00EB20E4"/>
    <w:rsid w:val="00EB226C"/>
    <w:rsid w:val="00EB2438"/>
    <w:rsid w:val="00EB287C"/>
    <w:rsid w:val="00EB3EA0"/>
    <w:rsid w:val="00EB4019"/>
    <w:rsid w:val="00EB4098"/>
    <w:rsid w:val="00EB42E6"/>
    <w:rsid w:val="00EB448A"/>
    <w:rsid w:val="00EB54CD"/>
    <w:rsid w:val="00EB5DE2"/>
    <w:rsid w:val="00EB5FE7"/>
    <w:rsid w:val="00EB6186"/>
    <w:rsid w:val="00EB63FB"/>
    <w:rsid w:val="00EB64ED"/>
    <w:rsid w:val="00EB6AAC"/>
    <w:rsid w:val="00EB6CA4"/>
    <w:rsid w:val="00EB79C1"/>
    <w:rsid w:val="00EB7C32"/>
    <w:rsid w:val="00EB7F93"/>
    <w:rsid w:val="00EC06A8"/>
    <w:rsid w:val="00EC06E7"/>
    <w:rsid w:val="00EC0938"/>
    <w:rsid w:val="00EC0CCC"/>
    <w:rsid w:val="00EC0DFE"/>
    <w:rsid w:val="00EC0E45"/>
    <w:rsid w:val="00EC1473"/>
    <w:rsid w:val="00EC185E"/>
    <w:rsid w:val="00EC1D8F"/>
    <w:rsid w:val="00EC1E45"/>
    <w:rsid w:val="00EC27C4"/>
    <w:rsid w:val="00EC28F4"/>
    <w:rsid w:val="00EC3205"/>
    <w:rsid w:val="00EC37B2"/>
    <w:rsid w:val="00EC4473"/>
    <w:rsid w:val="00EC4871"/>
    <w:rsid w:val="00EC4AFA"/>
    <w:rsid w:val="00EC4D70"/>
    <w:rsid w:val="00EC4EFF"/>
    <w:rsid w:val="00EC5067"/>
    <w:rsid w:val="00EC5723"/>
    <w:rsid w:val="00EC5C10"/>
    <w:rsid w:val="00EC5F81"/>
    <w:rsid w:val="00EC7238"/>
    <w:rsid w:val="00EC79B5"/>
    <w:rsid w:val="00EC7CB3"/>
    <w:rsid w:val="00ED0414"/>
    <w:rsid w:val="00ED064F"/>
    <w:rsid w:val="00ED0E17"/>
    <w:rsid w:val="00ED1056"/>
    <w:rsid w:val="00ED1108"/>
    <w:rsid w:val="00ED1718"/>
    <w:rsid w:val="00ED1CC9"/>
    <w:rsid w:val="00ED1FA8"/>
    <w:rsid w:val="00ED2171"/>
    <w:rsid w:val="00ED234C"/>
    <w:rsid w:val="00ED2907"/>
    <w:rsid w:val="00ED3296"/>
    <w:rsid w:val="00ED340E"/>
    <w:rsid w:val="00ED3A5B"/>
    <w:rsid w:val="00ED3E52"/>
    <w:rsid w:val="00ED3F9B"/>
    <w:rsid w:val="00ED4796"/>
    <w:rsid w:val="00ED483D"/>
    <w:rsid w:val="00ED4D48"/>
    <w:rsid w:val="00ED5B27"/>
    <w:rsid w:val="00ED64D2"/>
    <w:rsid w:val="00ED68B4"/>
    <w:rsid w:val="00ED6DAD"/>
    <w:rsid w:val="00ED79C7"/>
    <w:rsid w:val="00EE04EC"/>
    <w:rsid w:val="00EE07CC"/>
    <w:rsid w:val="00EE0A33"/>
    <w:rsid w:val="00EE0E1F"/>
    <w:rsid w:val="00EE1037"/>
    <w:rsid w:val="00EE15D7"/>
    <w:rsid w:val="00EE16EB"/>
    <w:rsid w:val="00EE1EF2"/>
    <w:rsid w:val="00EE2A0C"/>
    <w:rsid w:val="00EE353F"/>
    <w:rsid w:val="00EE41E0"/>
    <w:rsid w:val="00EE444A"/>
    <w:rsid w:val="00EE4B7E"/>
    <w:rsid w:val="00EE4F57"/>
    <w:rsid w:val="00EE58FC"/>
    <w:rsid w:val="00EE5C31"/>
    <w:rsid w:val="00EE5E48"/>
    <w:rsid w:val="00EE60B8"/>
    <w:rsid w:val="00EE6E78"/>
    <w:rsid w:val="00EE712D"/>
    <w:rsid w:val="00EF0209"/>
    <w:rsid w:val="00EF058E"/>
    <w:rsid w:val="00EF09B5"/>
    <w:rsid w:val="00EF11FC"/>
    <w:rsid w:val="00EF19DF"/>
    <w:rsid w:val="00EF1CCA"/>
    <w:rsid w:val="00EF1CFE"/>
    <w:rsid w:val="00EF1F73"/>
    <w:rsid w:val="00EF20A9"/>
    <w:rsid w:val="00EF2277"/>
    <w:rsid w:val="00EF25D3"/>
    <w:rsid w:val="00EF26EF"/>
    <w:rsid w:val="00EF2B67"/>
    <w:rsid w:val="00EF2E17"/>
    <w:rsid w:val="00EF2FD9"/>
    <w:rsid w:val="00EF30D1"/>
    <w:rsid w:val="00EF33BD"/>
    <w:rsid w:val="00EF376F"/>
    <w:rsid w:val="00EF42CD"/>
    <w:rsid w:val="00EF4587"/>
    <w:rsid w:val="00EF4727"/>
    <w:rsid w:val="00EF4763"/>
    <w:rsid w:val="00EF4A7D"/>
    <w:rsid w:val="00EF4E09"/>
    <w:rsid w:val="00EF5AB5"/>
    <w:rsid w:val="00EF5B8A"/>
    <w:rsid w:val="00EF5F9A"/>
    <w:rsid w:val="00EF6685"/>
    <w:rsid w:val="00EF678E"/>
    <w:rsid w:val="00EF68D1"/>
    <w:rsid w:val="00EF6E1F"/>
    <w:rsid w:val="00EF7B16"/>
    <w:rsid w:val="00F00DC5"/>
    <w:rsid w:val="00F00E4F"/>
    <w:rsid w:val="00F01270"/>
    <w:rsid w:val="00F01878"/>
    <w:rsid w:val="00F02107"/>
    <w:rsid w:val="00F02725"/>
    <w:rsid w:val="00F02D4D"/>
    <w:rsid w:val="00F03518"/>
    <w:rsid w:val="00F036C6"/>
    <w:rsid w:val="00F044CA"/>
    <w:rsid w:val="00F04690"/>
    <w:rsid w:val="00F048E3"/>
    <w:rsid w:val="00F0495E"/>
    <w:rsid w:val="00F05089"/>
    <w:rsid w:val="00F052BA"/>
    <w:rsid w:val="00F06866"/>
    <w:rsid w:val="00F06CD8"/>
    <w:rsid w:val="00F06CD9"/>
    <w:rsid w:val="00F079F1"/>
    <w:rsid w:val="00F07D85"/>
    <w:rsid w:val="00F10048"/>
    <w:rsid w:val="00F10439"/>
    <w:rsid w:val="00F10678"/>
    <w:rsid w:val="00F10DB5"/>
    <w:rsid w:val="00F114E3"/>
    <w:rsid w:val="00F1181E"/>
    <w:rsid w:val="00F11C9F"/>
    <w:rsid w:val="00F121C4"/>
    <w:rsid w:val="00F121FA"/>
    <w:rsid w:val="00F128BA"/>
    <w:rsid w:val="00F12A4F"/>
    <w:rsid w:val="00F1366D"/>
    <w:rsid w:val="00F136DD"/>
    <w:rsid w:val="00F13BBE"/>
    <w:rsid w:val="00F13FCD"/>
    <w:rsid w:val="00F14CB0"/>
    <w:rsid w:val="00F14EA8"/>
    <w:rsid w:val="00F15935"/>
    <w:rsid w:val="00F16144"/>
    <w:rsid w:val="00F1687C"/>
    <w:rsid w:val="00F17232"/>
    <w:rsid w:val="00F17362"/>
    <w:rsid w:val="00F17447"/>
    <w:rsid w:val="00F17739"/>
    <w:rsid w:val="00F17AC5"/>
    <w:rsid w:val="00F17B93"/>
    <w:rsid w:val="00F202C0"/>
    <w:rsid w:val="00F20931"/>
    <w:rsid w:val="00F209A0"/>
    <w:rsid w:val="00F20BAA"/>
    <w:rsid w:val="00F21002"/>
    <w:rsid w:val="00F2107B"/>
    <w:rsid w:val="00F2149C"/>
    <w:rsid w:val="00F21D39"/>
    <w:rsid w:val="00F22080"/>
    <w:rsid w:val="00F226B9"/>
    <w:rsid w:val="00F227A2"/>
    <w:rsid w:val="00F23E60"/>
    <w:rsid w:val="00F244BB"/>
    <w:rsid w:val="00F2475C"/>
    <w:rsid w:val="00F25115"/>
    <w:rsid w:val="00F25917"/>
    <w:rsid w:val="00F266CE"/>
    <w:rsid w:val="00F267C7"/>
    <w:rsid w:val="00F269A9"/>
    <w:rsid w:val="00F26C75"/>
    <w:rsid w:val="00F26F32"/>
    <w:rsid w:val="00F26F96"/>
    <w:rsid w:val="00F26F9C"/>
    <w:rsid w:val="00F270C6"/>
    <w:rsid w:val="00F27831"/>
    <w:rsid w:val="00F307C6"/>
    <w:rsid w:val="00F30CC5"/>
    <w:rsid w:val="00F30D93"/>
    <w:rsid w:val="00F31149"/>
    <w:rsid w:val="00F316D1"/>
    <w:rsid w:val="00F3197D"/>
    <w:rsid w:val="00F320C8"/>
    <w:rsid w:val="00F323C8"/>
    <w:rsid w:val="00F323DD"/>
    <w:rsid w:val="00F32CDE"/>
    <w:rsid w:val="00F32DCF"/>
    <w:rsid w:val="00F32FA1"/>
    <w:rsid w:val="00F32FD8"/>
    <w:rsid w:val="00F3348A"/>
    <w:rsid w:val="00F33643"/>
    <w:rsid w:val="00F33B4D"/>
    <w:rsid w:val="00F33C49"/>
    <w:rsid w:val="00F341B5"/>
    <w:rsid w:val="00F34B8A"/>
    <w:rsid w:val="00F34C70"/>
    <w:rsid w:val="00F34FB4"/>
    <w:rsid w:val="00F3506D"/>
    <w:rsid w:val="00F35134"/>
    <w:rsid w:val="00F35299"/>
    <w:rsid w:val="00F354ED"/>
    <w:rsid w:val="00F3550E"/>
    <w:rsid w:val="00F36724"/>
    <w:rsid w:val="00F3672C"/>
    <w:rsid w:val="00F368CA"/>
    <w:rsid w:val="00F37582"/>
    <w:rsid w:val="00F37CBA"/>
    <w:rsid w:val="00F37E33"/>
    <w:rsid w:val="00F408C8"/>
    <w:rsid w:val="00F40966"/>
    <w:rsid w:val="00F40A09"/>
    <w:rsid w:val="00F40B7D"/>
    <w:rsid w:val="00F40F6C"/>
    <w:rsid w:val="00F40F84"/>
    <w:rsid w:val="00F418FA"/>
    <w:rsid w:val="00F42065"/>
    <w:rsid w:val="00F42301"/>
    <w:rsid w:val="00F4267F"/>
    <w:rsid w:val="00F42B10"/>
    <w:rsid w:val="00F43395"/>
    <w:rsid w:val="00F4345C"/>
    <w:rsid w:val="00F43E42"/>
    <w:rsid w:val="00F446A3"/>
    <w:rsid w:val="00F44720"/>
    <w:rsid w:val="00F4484E"/>
    <w:rsid w:val="00F44AF7"/>
    <w:rsid w:val="00F4568F"/>
    <w:rsid w:val="00F45779"/>
    <w:rsid w:val="00F459AE"/>
    <w:rsid w:val="00F45EF7"/>
    <w:rsid w:val="00F463C3"/>
    <w:rsid w:val="00F4653F"/>
    <w:rsid w:val="00F467B6"/>
    <w:rsid w:val="00F46B72"/>
    <w:rsid w:val="00F46F66"/>
    <w:rsid w:val="00F4708A"/>
    <w:rsid w:val="00F4723F"/>
    <w:rsid w:val="00F474EB"/>
    <w:rsid w:val="00F4759F"/>
    <w:rsid w:val="00F47F4C"/>
    <w:rsid w:val="00F506EA"/>
    <w:rsid w:val="00F5082F"/>
    <w:rsid w:val="00F508D0"/>
    <w:rsid w:val="00F50A26"/>
    <w:rsid w:val="00F50AAF"/>
    <w:rsid w:val="00F511D7"/>
    <w:rsid w:val="00F51209"/>
    <w:rsid w:val="00F51621"/>
    <w:rsid w:val="00F51A21"/>
    <w:rsid w:val="00F51C6C"/>
    <w:rsid w:val="00F52866"/>
    <w:rsid w:val="00F52A39"/>
    <w:rsid w:val="00F52CB9"/>
    <w:rsid w:val="00F52F89"/>
    <w:rsid w:val="00F539E4"/>
    <w:rsid w:val="00F5425A"/>
    <w:rsid w:val="00F54273"/>
    <w:rsid w:val="00F542BA"/>
    <w:rsid w:val="00F54B6C"/>
    <w:rsid w:val="00F55119"/>
    <w:rsid w:val="00F55660"/>
    <w:rsid w:val="00F55863"/>
    <w:rsid w:val="00F55AE3"/>
    <w:rsid w:val="00F56495"/>
    <w:rsid w:val="00F564E4"/>
    <w:rsid w:val="00F56828"/>
    <w:rsid w:val="00F57572"/>
    <w:rsid w:val="00F6060E"/>
    <w:rsid w:val="00F6095E"/>
    <w:rsid w:val="00F610B5"/>
    <w:rsid w:val="00F610BF"/>
    <w:rsid w:val="00F61603"/>
    <w:rsid w:val="00F6230B"/>
    <w:rsid w:val="00F633BC"/>
    <w:rsid w:val="00F636D2"/>
    <w:rsid w:val="00F63E15"/>
    <w:rsid w:val="00F64497"/>
    <w:rsid w:val="00F647E3"/>
    <w:rsid w:val="00F653A2"/>
    <w:rsid w:val="00F65DE5"/>
    <w:rsid w:val="00F660A0"/>
    <w:rsid w:val="00F664DF"/>
    <w:rsid w:val="00F6652B"/>
    <w:rsid w:val="00F66676"/>
    <w:rsid w:val="00F667E7"/>
    <w:rsid w:val="00F66C8E"/>
    <w:rsid w:val="00F67CA0"/>
    <w:rsid w:val="00F67D80"/>
    <w:rsid w:val="00F67F81"/>
    <w:rsid w:val="00F70054"/>
    <w:rsid w:val="00F70620"/>
    <w:rsid w:val="00F707EB"/>
    <w:rsid w:val="00F711D6"/>
    <w:rsid w:val="00F71867"/>
    <w:rsid w:val="00F7186C"/>
    <w:rsid w:val="00F726C8"/>
    <w:rsid w:val="00F72851"/>
    <w:rsid w:val="00F73210"/>
    <w:rsid w:val="00F736FE"/>
    <w:rsid w:val="00F738BE"/>
    <w:rsid w:val="00F73B9B"/>
    <w:rsid w:val="00F74567"/>
    <w:rsid w:val="00F74690"/>
    <w:rsid w:val="00F746C8"/>
    <w:rsid w:val="00F74ACA"/>
    <w:rsid w:val="00F757F1"/>
    <w:rsid w:val="00F75B63"/>
    <w:rsid w:val="00F75B97"/>
    <w:rsid w:val="00F75CFC"/>
    <w:rsid w:val="00F7604B"/>
    <w:rsid w:val="00F76090"/>
    <w:rsid w:val="00F76B5F"/>
    <w:rsid w:val="00F76EE5"/>
    <w:rsid w:val="00F771A3"/>
    <w:rsid w:val="00F77380"/>
    <w:rsid w:val="00F776E0"/>
    <w:rsid w:val="00F80009"/>
    <w:rsid w:val="00F80E4C"/>
    <w:rsid w:val="00F81334"/>
    <w:rsid w:val="00F8149A"/>
    <w:rsid w:val="00F8149B"/>
    <w:rsid w:val="00F81ED4"/>
    <w:rsid w:val="00F82176"/>
    <w:rsid w:val="00F8242C"/>
    <w:rsid w:val="00F8289B"/>
    <w:rsid w:val="00F82B4C"/>
    <w:rsid w:val="00F82D07"/>
    <w:rsid w:val="00F82FB0"/>
    <w:rsid w:val="00F83A8D"/>
    <w:rsid w:val="00F83DEF"/>
    <w:rsid w:val="00F84266"/>
    <w:rsid w:val="00F847F8"/>
    <w:rsid w:val="00F84B9B"/>
    <w:rsid w:val="00F84BF9"/>
    <w:rsid w:val="00F8519B"/>
    <w:rsid w:val="00F856B1"/>
    <w:rsid w:val="00F8775C"/>
    <w:rsid w:val="00F912F8"/>
    <w:rsid w:val="00F91377"/>
    <w:rsid w:val="00F91EDE"/>
    <w:rsid w:val="00F92143"/>
    <w:rsid w:val="00F92AA7"/>
    <w:rsid w:val="00F92EEC"/>
    <w:rsid w:val="00F93481"/>
    <w:rsid w:val="00F938F2"/>
    <w:rsid w:val="00F940F5"/>
    <w:rsid w:val="00F94288"/>
    <w:rsid w:val="00F94422"/>
    <w:rsid w:val="00F945B5"/>
    <w:rsid w:val="00F949AD"/>
    <w:rsid w:val="00F955E8"/>
    <w:rsid w:val="00F95604"/>
    <w:rsid w:val="00F960BA"/>
    <w:rsid w:val="00F962AA"/>
    <w:rsid w:val="00F96714"/>
    <w:rsid w:val="00F96840"/>
    <w:rsid w:val="00F96878"/>
    <w:rsid w:val="00F968E6"/>
    <w:rsid w:val="00F96EE3"/>
    <w:rsid w:val="00F97A67"/>
    <w:rsid w:val="00F97B0C"/>
    <w:rsid w:val="00FA0275"/>
    <w:rsid w:val="00FA0384"/>
    <w:rsid w:val="00FA069D"/>
    <w:rsid w:val="00FA0827"/>
    <w:rsid w:val="00FA0EB1"/>
    <w:rsid w:val="00FA14D7"/>
    <w:rsid w:val="00FA1C70"/>
    <w:rsid w:val="00FA244B"/>
    <w:rsid w:val="00FA24A6"/>
    <w:rsid w:val="00FA2627"/>
    <w:rsid w:val="00FA27D6"/>
    <w:rsid w:val="00FA2977"/>
    <w:rsid w:val="00FA2DC1"/>
    <w:rsid w:val="00FA3672"/>
    <w:rsid w:val="00FA39BC"/>
    <w:rsid w:val="00FA44E1"/>
    <w:rsid w:val="00FA487B"/>
    <w:rsid w:val="00FA5021"/>
    <w:rsid w:val="00FA568B"/>
    <w:rsid w:val="00FA6278"/>
    <w:rsid w:val="00FA7021"/>
    <w:rsid w:val="00FB043A"/>
    <w:rsid w:val="00FB0A03"/>
    <w:rsid w:val="00FB0A11"/>
    <w:rsid w:val="00FB0AA0"/>
    <w:rsid w:val="00FB0C7A"/>
    <w:rsid w:val="00FB1236"/>
    <w:rsid w:val="00FB134D"/>
    <w:rsid w:val="00FB1CF5"/>
    <w:rsid w:val="00FB24A1"/>
    <w:rsid w:val="00FB2BB1"/>
    <w:rsid w:val="00FB2F82"/>
    <w:rsid w:val="00FB3028"/>
    <w:rsid w:val="00FB3387"/>
    <w:rsid w:val="00FB39C9"/>
    <w:rsid w:val="00FB3E90"/>
    <w:rsid w:val="00FB4738"/>
    <w:rsid w:val="00FB4808"/>
    <w:rsid w:val="00FB4B7C"/>
    <w:rsid w:val="00FB503B"/>
    <w:rsid w:val="00FB536B"/>
    <w:rsid w:val="00FB5637"/>
    <w:rsid w:val="00FB5699"/>
    <w:rsid w:val="00FB604D"/>
    <w:rsid w:val="00FB63B8"/>
    <w:rsid w:val="00FB744E"/>
    <w:rsid w:val="00FB783B"/>
    <w:rsid w:val="00FB7C6C"/>
    <w:rsid w:val="00FC08AD"/>
    <w:rsid w:val="00FC0B22"/>
    <w:rsid w:val="00FC13C0"/>
    <w:rsid w:val="00FC1DF4"/>
    <w:rsid w:val="00FC2915"/>
    <w:rsid w:val="00FC2BB4"/>
    <w:rsid w:val="00FC300E"/>
    <w:rsid w:val="00FC302E"/>
    <w:rsid w:val="00FC3151"/>
    <w:rsid w:val="00FC3705"/>
    <w:rsid w:val="00FC394A"/>
    <w:rsid w:val="00FC3CDD"/>
    <w:rsid w:val="00FC466B"/>
    <w:rsid w:val="00FC525E"/>
    <w:rsid w:val="00FC52B5"/>
    <w:rsid w:val="00FC5807"/>
    <w:rsid w:val="00FC6044"/>
    <w:rsid w:val="00FC691E"/>
    <w:rsid w:val="00FC6B15"/>
    <w:rsid w:val="00FD015E"/>
    <w:rsid w:val="00FD01BC"/>
    <w:rsid w:val="00FD03A1"/>
    <w:rsid w:val="00FD05EB"/>
    <w:rsid w:val="00FD0975"/>
    <w:rsid w:val="00FD0B1E"/>
    <w:rsid w:val="00FD144D"/>
    <w:rsid w:val="00FD162A"/>
    <w:rsid w:val="00FD176A"/>
    <w:rsid w:val="00FD1889"/>
    <w:rsid w:val="00FD1FFE"/>
    <w:rsid w:val="00FD20DB"/>
    <w:rsid w:val="00FD288F"/>
    <w:rsid w:val="00FD2960"/>
    <w:rsid w:val="00FD2B36"/>
    <w:rsid w:val="00FD2B61"/>
    <w:rsid w:val="00FD2D38"/>
    <w:rsid w:val="00FD2F10"/>
    <w:rsid w:val="00FD3911"/>
    <w:rsid w:val="00FD40D6"/>
    <w:rsid w:val="00FD564C"/>
    <w:rsid w:val="00FD57EB"/>
    <w:rsid w:val="00FD58E3"/>
    <w:rsid w:val="00FD5C65"/>
    <w:rsid w:val="00FD5F8D"/>
    <w:rsid w:val="00FD6972"/>
    <w:rsid w:val="00FD6D38"/>
    <w:rsid w:val="00FD711A"/>
    <w:rsid w:val="00FD72F7"/>
    <w:rsid w:val="00FD74B5"/>
    <w:rsid w:val="00FD7AF7"/>
    <w:rsid w:val="00FD7BBB"/>
    <w:rsid w:val="00FE0046"/>
    <w:rsid w:val="00FE14D9"/>
    <w:rsid w:val="00FE1CD4"/>
    <w:rsid w:val="00FE24D3"/>
    <w:rsid w:val="00FE37E4"/>
    <w:rsid w:val="00FE4B05"/>
    <w:rsid w:val="00FE4F78"/>
    <w:rsid w:val="00FE5472"/>
    <w:rsid w:val="00FE5B41"/>
    <w:rsid w:val="00FE5D99"/>
    <w:rsid w:val="00FE5F95"/>
    <w:rsid w:val="00FE6064"/>
    <w:rsid w:val="00FE6212"/>
    <w:rsid w:val="00FE6234"/>
    <w:rsid w:val="00FE6463"/>
    <w:rsid w:val="00FE696B"/>
    <w:rsid w:val="00FE72EF"/>
    <w:rsid w:val="00FE73DD"/>
    <w:rsid w:val="00FE7EB4"/>
    <w:rsid w:val="00FF0096"/>
    <w:rsid w:val="00FF0440"/>
    <w:rsid w:val="00FF080B"/>
    <w:rsid w:val="00FF0A14"/>
    <w:rsid w:val="00FF0BAD"/>
    <w:rsid w:val="00FF1B6D"/>
    <w:rsid w:val="00FF22B4"/>
    <w:rsid w:val="00FF2AC8"/>
    <w:rsid w:val="00FF2B78"/>
    <w:rsid w:val="00FF2CA6"/>
    <w:rsid w:val="00FF3171"/>
    <w:rsid w:val="00FF3218"/>
    <w:rsid w:val="00FF3AB1"/>
    <w:rsid w:val="00FF3FF4"/>
    <w:rsid w:val="00FF49AA"/>
    <w:rsid w:val="00FF4A55"/>
    <w:rsid w:val="00FF588F"/>
    <w:rsid w:val="00FF5B6C"/>
    <w:rsid w:val="00FF5DD4"/>
    <w:rsid w:val="00FF65CA"/>
    <w:rsid w:val="00FF69B7"/>
    <w:rsid w:val="00FF7091"/>
    <w:rsid w:val="00FF7653"/>
    <w:rsid w:val="00FF78F9"/>
    <w:rsid w:val="00FF79B9"/>
    <w:rsid w:val="00FF7B38"/>
    <w:rsid w:val="121B773F"/>
    <w:rsid w:val="1F5B404C"/>
    <w:rsid w:val="23C219D3"/>
    <w:rsid w:val="38C6B7B4"/>
    <w:rsid w:val="4C966D01"/>
    <w:rsid w:val="5550E262"/>
    <w:rsid w:val="677CEA5A"/>
    <w:rsid w:val="67D8ABC6"/>
    <w:rsid w:val="72498D9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3DFE72"/>
  <w15:docId w15:val="{BAAD8C0D-D72D-44FD-8E9B-68D4B8072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0776B"/>
    <w:pPr>
      <w:spacing w:after="0" w:line="300" w:lineRule="atLeast"/>
      <w:ind w:left="567"/>
    </w:pPr>
    <w:rPr>
      <w:rFonts w:ascii="Trebuchet MS" w:hAnsi="Trebuchet MS"/>
      <w:sz w:val="18"/>
    </w:rPr>
  </w:style>
  <w:style w:type="paragraph" w:styleId="Kop1">
    <w:name w:val="heading 1"/>
    <w:aliases w:val="Heading - Chapter,(Section),MOVE-it 1,Heading 11,Hoofdstuk,Επικεφαλίδα 1 ΌΧΙ,Heading 1 - Main Heading of Document,F3 Heading 1 - Section,Numbered - 1,Section,Chapter Hdg,h1,CH TITLE 1,Chapter Heading,AChapter,Sub code header,Chapter,NEA1,1"/>
    <w:basedOn w:val="Lijstalinea"/>
    <w:next w:val="Standaard"/>
    <w:link w:val="Kop1Char"/>
    <w:uiPriority w:val="9"/>
    <w:qFormat/>
    <w:rsid w:val="002022F4"/>
    <w:pPr>
      <w:numPr>
        <w:numId w:val="3"/>
      </w:numPr>
      <w:spacing w:before="360" w:after="240"/>
      <w:ind w:left="567" w:hanging="567"/>
      <w:contextualSpacing w:val="0"/>
      <w:outlineLvl w:val="0"/>
    </w:pPr>
    <w:rPr>
      <w:b/>
      <w:color w:val="005962"/>
      <w:sz w:val="40"/>
    </w:rPr>
  </w:style>
  <w:style w:type="paragraph" w:styleId="Kop2">
    <w:name w:val="heading 2"/>
    <w:aliases w:val="Heading 2 - Paragrapf,2,Paragraaf,NEA2,14,H2,Se,Section1,Section2,Section3,NEA21,subhead 1,h2,subhead 11,h21,subhead 12,h22,subhead 13,h23,subhead 14,h24,subhead 15,h25,subhead 111,h211,subhead 121,h221,subhead 131,h231,subhead 141,h241,h26"/>
    <w:basedOn w:val="Lijstalinea"/>
    <w:next w:val="Standaard"/>
    <w:link w:val="Kop2Char"/>
    <w:uiPriority w:val="9"/>
    <w:qFormat/>
    <w:rsid w:val="005002DE"/>
    <w:pPr>
      <w:keepNext/>
      <w:numPr>
        <w:ilvl w:val="1"/>
        <w:numId w:val="3"/>
      </w:numPr>
      <w:spacing w:before="120" w:after="120"/>
      <w:ind w:left="567" w:hanging="567"/>
      <w:outlineLvl w:val="1"/>
    </w:pPr>
    <w:rPr>
      <w:b/>
      <w:color w:val="005962"/>
      <w:sz w:val="24"/>
    </w:rPr>
  </w:style>
  <w:style w:type="paragraph" w:styleId="Kop3">
    <w:name w:val="heading 3"/>
    <w:aliases w:val="Heading 3 - Subparagraph,Heading 31,Heading 32,Heading 33,Heading 34,Heading 35,Heading 36,Heading 311,Heading 321,Heading 331,Heading 341,Heading 351,Heading 37,Heading 312,Heading 322,Heading 332,Heading 342,Heading 352,Heading 313"/>
    <w:basedOn w:val="Lijstalinea"/>
    <w:next w:val="Standaard"/>
    <w:link w:val="Kop3Char"/>
    <w:uiPriority w:val="9"/>
    <w:qFormat/>
    <w:rsid w:val="00FD72F7"/>
    <w:pPr>
      <w:numPr>
        <w:ilvl w:val="2"/>
        <w:numId w:val="3"/>
      </w:numPr>
      <w:ind w:left="567" w:hanging="567"/>
      <w:outlineLvl w:val="2"/>
    </w:pPr>
    <w:rPr>
      <w:b/>
      <w:i/>
      <w:color w:val="F04E30"/>
    </w:rPr>
  </w:style>
  <w:style w:type="paragraph" w:styleId="Kop4">
    <w:name w:val="heading 4"/>
    <w:basedOn w:val="Standaard"/>
    <w:next w:val="Standaard"/>
    <w:link w:val="Kop4Char"/>
    <w:uiPriority w:val="9"/>
    <w:qFormat/>
    <w:rsid w:val="00B241E9"/>
    <w:pPr>
      <w:keepNext/>
      <w:keepLines/>
      <w:ind w:left="0" w:firstLine="567"/>
      <w:outlineLvl w:val="3"/>
    </w:pPr>
    <w:rPr>
      <w:rFonts w:eastAsiaTheme="majorEastAsia" w:cstheme="majorBidi"/>
      <w:b/>
      <w:bCs/>
      <w:iCs/>
      <w:color w:val="F04E30"/>
    </w:rPr>
  </w:style>
  <w:style w:type="paragraph" w:styleId="Kop5">
    <w:name w:val="heading 5"/>
    <w:basedOn w:val="Standaard"/>
    <w:next w:val="Standaard"/>
    <w:link w:val="Kop5Char"/>
    <w:uiPriority w:val="9"/>
    <w:unhideWhenUsed/>
    <w:qFormat/>
    <w:rsid w:val="0021780D"/>
    <w:pPr>
      <w:keepNext/>
      <w:keepLines/>
      <w:outlineLvl w:val="4"/>
    </w:pPr>
    <w:rPr>
      <w:rFonts w:eastAsiaTheme="majorEastAsia" w:cstheme="majorBidi"/>
      <w:b/>
      <w:bCs/>
      <w:color w:val="002C54" w:themeColor="text2"/>
      <w:lang w:val="en-GB"/>
    </w:rPr>
  </w:style>
  <w:style w:type="paragraph" w:styleId="Kop6">
    <w:name w:val="heading 6"/>
    <w:basedOn w:val="Standaard"/>
    <w:next w:val="Standaard"/>
    <w:uiPriority w:val="9"/>
    <w:unhideWhenUsed/>
    <w:qFormat/>
    <w:rsid w:val="007835EF"/>
    <w:pPr>
      <w:keepNext/>
      <w:keepLines/>
      <w:spacing w:before="40"/>
      <w:outlineLvl w:val="5"/>
    </w:pPr>
    <w:rPr>
      <w:rFonts w:eastAsiaTheme="majorEastAsia" w:cstheme="majorBidi"/>
      <w:b/>
      <w:color w:val="002C30" w:themeColor="accent1" w:themeShade="7F"/>
    </w:rPr>
  </w:style>
  <w:style w:type="paragraph" w:styleId="Kop7">
    <w:name w:val="heading 7"/>
    <w:basedOn w:val="Standaard"/>
    <w:next w:val="Standaard"/>
    <w:uiPriority w:val="9"/>
    <w:unhideWhenUsed/>
    <w:qFormat/>
    <w:rsid w:val="00AA1D30"/>
    <w:pPr>
      <w:keepNext/>
      <w:keepLines/>
      <w:spacing w:before="40"/>
      <w:outlineLvl w:val="6"/>
    </w:pPr>
    <w:rPr>
      <w:rFonts w:eastAsiaTheme="majorEastAsia" w:cstheme="majorBidi"/>
      <w:i/>
      <w:iCs/>
      <w:color w:val="002C30" w:themeColor="accent1" w:themeShade="7F"/>
    </w:rPr>
  </w:style>
  <w:style w:type="paragraph" w:styleId="Kop8">
    <w:name w:val="heading 8"/>
    <w:basedOn w:val="Standaard"/>
    <w:next w:val="Standaard"/>
    <w:uiPriority w:val="9"/>
    <w:unhideWhenUsed/>
    <w:rsid w:val="00AA1D3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900DC"/>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D900DC"/>
  </w:style>
  <w:style w:type="paragraph" w:styleId="Voettekst">
    <w:name w:val="footer"/>
    <w:basedOn w:val="Standaard"/>
    <w:link w:val="VoettekstChar"/>
    <w:uiPriority w:val="99"/>
    <w:unhideWhenUsed/>
    <w:rsid w:val="00D900DC"/>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D900DC"/>
  </w:style>
  <w:style w:type="paragraph" w:styleId="Ballontekst">
    <w:name w:val="Balloon Text"/>
    <w:basedOn w:val="Standaard"/>
    <w:link w:val="BallontekstChar"/>
    <w:uiPriority w:val="99"/>
    <w:semiHidden/>
    <w:unhideWhenUsed/>
    <w:rsid w:val="003D10CE"/>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D10CE"/>
    <w:rPr>
      <w:rFonts w:ascii="Tahoma" w:hAnsi="Tahoma" w:cs="Tahoma"/>
      <w:sz w:val="16"/>
      <w:szCs w:val="16"/>
    </w:rPr>
  </w:style>
  <w:style w:type="paragraph" w:customStyle="1" w:styleId="NoteLevel1">
    <w:name w:val="Note Level 1"/>
    <w:basedOn w:val="Standaard"/>
    <w:semiHidden/>
    <w:rsid w:val="003D10CE"/>
    <w:pPr>
      <w:keepNext/>
      <w:tabs>
        <w:tab w:val="num" w:pos="0"/>
      </w:tabs>
      <w:spacing w:line="240" w:lineRule="auto"/>
      <w:contextualSpacing/>
      <w:outlineLvl w:val="0"/>
    </w:pPr>
    <w:rPr>
      <w:rFonts w:ascii="Verdana" w:eastAsia="Times New Roman" w:hAnsi="Verdana" w:cs="Times New Roman"/>
      <w:szCs w:val="18"/>
    </w:rPr>
  </w:style>
  <w:style w:type="paragraph" w:customStyle="1" w:styleId="NoteLevel2">
    <w:name w:val="Note Level 2"/>
    <w:basedOn w:val="Standaard"/>
    <w:semiHidden/>
    <w:rsid w:val="003D10CE"/>
    <w:pPr>
      <w:keepNext/>
      <w:tabs>
        <w:tab w:val="num" w:pos="720"/>
      </w:tabs>
      <w:spacing w:line="240" w:lineRule="auto"/>
      <w:ind w:left="1080" w:hanging="360"/>
      <w:contextualSpacing/>
      <w:outlineLvl w:val="1"/>
    </w:pPr>
    <w:rPr>
      <w:rFonts w:ascii="Verdana" w:eastAsia="Times New Roman" w:hAnsi="Verdana" w:cs="Times New Roman"/>
      <w:szCs w:val="18"/>
    </w:rPr>
  </w:style>
  <w:style w:type="paragraph" w:customStyle="1" w:styleId="NoteLevel3">
    <w:name w:val="Note Level 3"/>
    <w:basedOn w:val="Standaard"/>
    <w:semiHidden/>
    <w:rsid w:val="003D10CE"/>
    <w:pPr>
      <w:keepNext/>
      <w:tabs>
        <w:tab w:val="num" w:pos="1440"/>
      </w:tabs>
      <w:spacing w:line="240" w:lineRule="auto"/>
      <w:ind w:left="1800" w:hanging="360"/>
      <w:contextualSpacing/>
      <w:outlineLvl w:val="2"/>
    </w:pPr>
    <w:rPr>
      <w:rFonts w:ascii="Verdana" w:eastAsia="Times New Roman" w:hAnsi="Verdana" w:cs="Times New Roman"/>
      <w:szCs w:val="18"/>
    </w:rPr>
  </w:style>
  <w:style w:type="paragraph" w:customStyle="1" w:styleId="NoteLevel4">
    <w:name w:val="Note Level 4"/>
    <w:basedOn w:val="Standaard"/>
    <w:semiHidden/>
    <w:rsid w:val="003D10CE"/>
    <w:pPr>
      <w:keepNext/>
      <w:tabs>
        <w:tab w:val="num" w:pos="2160"/>
      </w:tabs>
      <w:spacing w:line="240" w:lineRule="auto"/>
      <w:ind w:left="2520" w:hanging="360"/>
      <w:contextualSpacing/>
      <w:outlineLvl w:val="3"/>
    </w:pPr>
    <w:rPr>
      <w:rFonts w:ascii="Verdana" w:eastAsia="Times New Roman" w:hAnsi="Verdana" w:cs="Times New Roman"/>
      <w:szCs w:val="18"/>
    </w:rPr>
  </w:style>
  <w:style w:type="paragraph" w:customStyle="1" w:styleId="NoteLevel5">
    <w:name w:val="Note Level 5"/>
    <w:basedOn w:val="Standaard"/>
    <w:semiHidden/>
    <w:rsid w:val="003D10CE"/>
    <w:pPr>
      <w:keepNext/>
      <w:tabs>
        <w:tab w:val="num" w:pos="2880"/>
      </w:tabs>
      <w:spacing w:line="240" w:lineRule="auto"/>
      <w:ind w:left="3240" w:hanging="360"/>
      <w:contextualSpacing/>
      <w:outlineLvl w:val="4"/>
    </w:pPr>
    <w:rPr>
      <w:rFonts w:ascii="Verdana" w:eastAsia="Times New Roman" w:hAnsi="Verdana" w:cs="Times New Roman"/>
      <w:szCs w:val="18"/>
    </w:rPr>
  </w:style>
  <w:style w:type="paragraph" w:customStyle="1" w:styleId="NoteLevel6">
    <w:name w:val="Note Level 6"/>
    <w:basedOn w:val="Standaard"/>
    <w:semiHidden/>
    <w:rsid w:val="003D10CE"/>
    <w:pPr>
      <w:keepNext/>
      <w:tabs>
        <w:tab w:val="num" w:pos="3600"/>
      </w:tabs>
      <w:spacing w:line="240" w:lineRule="auto"/>
      <w:ind w:left="3960" w:hanging="360"/>
      <w:contextualSpacing/>
      <w:outlineLvl w:val="5"/>
    </w:pPr>
    <w:rPr>
      <w:rFonts w:ascii="Verdana" w:eastAsia="Times New Roman" w:hAnsi="Verdana" w:cs="Times New Roman"/>
      <w:szCs w:val="18"/>
    </w:rPr>
  </w:style>
  <w:style w:type="paragraph" w:customStyle="1" w:styleId="NoteLevel7">
    <w:name w:val="Note Level 7"/>
    <w:basedOn w:val="Standaard"/>
    <w:semiHidden/>
    <w:rsid w:val="003D10CE"/>
    <w:pPr>
      <w:keepNext/>
      <w:tabs>
        <w:tab w:val="num" w:pos="4320"/>
      </w:tabs>
      <w:spacing w:line="240" w:lineRule="auto"/>
      <w:ind w:left="4680" w:hanging="360"/>
      <w:contextualSpacing/>
      <w:outlineLvl w:val="6"/>
    </w:pPr>
    <w:rPr>
      <w:rFonts w:ascii="Verdana" w:eastAsia="Times New Roman" w:hAnsi="Verdana" w:cs="Times New Roman"/>
      <w:szCs w:val="18"/>
    </w:rPr>
  </w:style>
  <w:style w:type="paragraph" w:customStyle="1" w:styleId="NoteLevel8">
    <w:name w:val="Note Level 8"/>
    <w:basedOn w:val="Standaard"/>
    <w:semiHidden/>
    <w:rsid w:val="003D10CE"/>
    <w:pPr>
      <w:keepNext/>
      <w:tabs>
        <w:tab w:val="num" w:pos="5040"/>
      </w:tabs>
      <w:spacing w:line="240" w:lineRule="auto"/>
      <w:ind w:left="5400" w:hanging="360"/>
      <w:contextualSpacing/>
      <w:outlineLvl w:val="7"/>
    </w:pPr>
    <w:rPr>
      <w:rFonts w:ascii="Verdana" w:eastAsia="Times New Roman" w:hAnsi="Verdana" w:cs="Times New Roman"/>
      <w:szCs w:val="18"/>
    </w:rPr>
  </w:style>
  <w:style w:type="paragraph" w:customStyle="1" w:styleId="NoteLevel9">
    <w:name w:val="Note Level 9"/>
    <w:basedOn w:val="Standaard"/>
    <w:semiHidden/>
    <w:rsid w:val="003D10CE"/>
    <w:pPr>
      <w:keepNext/>
      <w:tabs>
        <w:tab w:val="num" w:pos="5760"/>
      </w:tabs>
      <w:spacing w:line="240" w:lineRule="auto"/>
      <w:ind w:left="6120" w:hanging="360"/>
      <w:contextualSpacing/>
      <w:outlineLvl w:val="8"/>
    </w:pPr>
    <w:rPr>
      <w:rFonts w:ascii="Verdana" w:eastAsia="Times New Roman" w:hAnsi="Verdana" w:cs="Times New Roman"/>
      <w:szCs w:val="18"/>
    </w:rPr>
  </w:style>
  <w:style w:type="character" w:customStyle="1" w:styleId="Kop1Char">
    <w:name w:val="Kop 1 Char"/>
    <w:aliases w:val="Heading - Chapter Char,(Section) Char,MOVE-it 1 Char,Heading 11 Char,Hoofdstuk Char,Επικεφαλίδα 1 ΌΧΙ Char,Heading 1 - Main Heading of Document Char,F3 Heading 1 - Section Char,Numbered - 1 Char,Section Char,Chapter Hdg Char,h1 Char,NEA1 Char"/>
    <w:basedOn w:val="Standaardalinea-lettertype"/>
    <w:link w:val="Kop1"/>
    <w:uiPriority w:val="9"/>
    <w:rsid w:val="002022F4"/>
    <w:rPr>
      <w:rFonts w:ascii="Trebuchet MS" w:hAnsi="Trebuchet MS"/>
      <w:b/>
      <w:color w:val="005962"/>
      <w:sz w:val="40"/>
      <w:lang w:val="en-GB"/>
    </w:rPr>
  </w:style>
  <w:style w:type="character" w:customStyle="1" w:styleId="Kop2Char">
    <w:name w:val="Kop 2 Char"/>
    <w:aliases w:val="Heading 2 - Paragrapf Char,2 Char,Paragraaf Char,NEA2 Char,14 Char,H2 Char,Se Char,Section1 Char,Section2 Char,Section3 Char,NEA21 Char,subhead 1 Char,h2 Char,subhead 11 Char,h21 Char,subhead 12 Char,h22 Char,subhead 13 Char,h23 Char,h24 Char"/>
    <w:basedOn w:val="Standaardalinea-lettertype"/>
    <w:link w:val="Kop2"/>
    <w:uiPriority w:val="9"/>
    <w:rsid w:val="00DA50DB"/>
    <w:rPr>
      <w:rFonts w:ascii="Trebuchet MS" w:hAnsi="Trebuchet MS"/>
      <w:b/>
      <w:color w:val="005962"/>
      <w:sz w:val="24"/>
      <w:lang w:val="en-GB"/>
    </w:rPr>
  </w:style>
  <w:style w:type="paragraph" w:styleId="Titel">
    <w:name w:val="Title"/>
    <w:basedOn w:val="Standaard"/>
    <w:next w:val="Standaard"/>
    <w:link w:val="TitelChar"/>
    <w:uiPriority w:val="10"/>
    <w:semiHidden/>
    <w:qFormat/>
    <w:rsid w:val="008F78C8"/>
    <w:pPr>
      <w:pBdr>
        <w:bottom w:val="single" w:sz="8" w:space="4" w:color="005962" w:themeColor="accent1"/>
      </w:pBdr>
      <w:spacing w:after="300" w:line="240" w:lineRule="auto"/>
      <w:contextualSpacing/>
      <w:jc w:val="center"/>
    </w:pPr>
    <w:rPr>
      <w:rFonts w:eastAsiaTheme="majorEastAsia" w:cstheme="majorBidi"/>
      <w:spacing w:val="5"/>
      <w:kern w:val="28"/>
      <w:sz w:val="40"/>
      <w:szCs w:val="52"/>
    </w:rPr>
  </w:style>
  <w:style w:type="character" w:customStyle="1" w:styleId="TitelChar">
    <w:name w:val="Titel Char"/>
    <w:basedOn w:val="Standaardalinea-lettertype"/>
    <w:link w:val="Titel"/>
    <w:uiPriority w:val="10"/>
    <w:semiHidden/>
    <w:rsid w:val="00B85CB0"/>
    <w:rPr>
      <w:rFonts w:ascii="Trebuchet MS" w:eastAsiaTheme="majorEastAsia" w:hAnsi="Trebuchet MS" w:cstheme="majorBidi"/>
      <w:spacing w:val="5"/>
      <w:kern w:val="28"/>
      <w:sz w:val="40"/>
      <w:szCs w:val="52"/>
    </w:rPr>
  </w:style>
  <w:style w:type="paragraph" w:styleId="Geenafstand">
    <w:name w:val="No Spacing"/>
    <w:uiPriority w:val="1"/>
    <w:unhideWhenUsed/>
    <w:rsid w:val="00007DF2"/>
    <w:pPr>
      <w:spacing w:after="0" w:line="240" w:lineRule="auto"/>
    </w:pPr>
  </w:style>
  <w:style w:type="paragraph" w:styleId="Lijstalinea">
    <w:name w:val="List Paragraph"/>
    <w:aliases w:val="1st elvel bullet green,1st level - Bullet List Paragraph,Lettre d'introduction,Paragrafo elenco,List Paragraph1,Medium Grid 1 - Accent 21,FooterText,Paragraphe de liste1,Heading 2_sj,Numbered Para 1,Dot pt,No Spacing1,Bullet 1,lp1,Ha,L"/>
    <w:basedOn w:val="Standaard"/>
    <w:link w:val="LijstalineaChar"/>
    <w:uiPriority w:val="34"/>
    <w:qFormat/>
    <w:rsid w:val="003367E5"/>
    <w:pPr>
      <w:numPr>
        <w:numId w:val="8"/>
      </w:numPr>
      <w:tabs>
        <w:tab w:val="left" w:pos="851"/>
      </w:tabs>
      <w:contextualSpacing/>
    </w:pPr>
    <w:rPr>
      <w:lang w:val="en-GB"/>
    </w:rPr>
  </w:style>
  <w:style w:type="numbering" w:customStyle="1" w:styleId="Style1">
    <w:name w:val="Style1"/>
    <w:uiPriority w:val="99"/>
    <w:rsid w:val="006526A8"/>
    <w:pPr>
      <w:numPr>
        <w:numId w:val="1"/>
      </w:numPr>
    </w:pPr>
  </w:style>
  <w:style w:type="numbering" w:customStyle="1" w:styleId="Style2">
    <w:name w:val="Style2"/>
    <w:uiPriority w:val="99"/>
    <w:rsid w:val="003055E8"/>
    <w:pPr>
      <w:numPr>
        <w:numId w:val="2"/>
      </w:numPr>
    </w:pPr>
  </w:style>
  <w:style w:type="character" w:customStyle="1" w:styleId="Kop3Char">
    <w:name w:val="Kop 3 Char"/>
    <w:aliases w:val="Heading 3 - Subparagraph Char,Heading 31 Char,Heading 32 Char,Heading 33 Char,Heading 34 Char,Heading 35 Char,Heading 36 Char,Heading 311 Char,Heading 321 Char,Heading 331 Char,Heading 341 Char,Heading 351 Char,Heading 37 Char"/>
    <w:basedOn w:val="Standaardalinea-lettertype"/>
    <w:link w:val="Kop3"/>
    <w:uiPriority w:val="9"/>
    <w:rsid w:val="00456CCB"/>
    <w:rPr>
      <w:rFonts w:ascii="Trebuchet MS" w:hAnsi="Trebuchet MS"/>
      <w:b/>
      <w:i/>
      <w:color w:val="F04E30"/>
      <w:sz w:val="18"/>
      <w:lang w:val="en-GB"/>
    </w:rPr>
  </w:style>
  <w:style w:type="character" w:customStyle="1" w:styleId="Kop4Char">
    <w:name w:val="Kop 4 Char"/>
    <w:basedOn w:val="Standaardalinea-lettertype"/>
    <w:link w:val="Kop4"/>
    <w:uiPriority w:val="9"/>
    <w:rsid w:val="00B241E9"/>
    <w:rPr>
      <w:rFonts w:ascii="Trebuchet MS" w:eastAsiaTheme="majorEastAsia" w:hAnsi="Trebuchet MS" w:cstheme="majorBidi"/>
      <w:b/>
      <w:bCs/>
      <w:iCs/>
      <w:color w:val="F04E30"/>
      <w:sz w:val="18"/>
    </w:rPr>
  </w:style>
  <w:style w:type="character" w:customStyle="1" w:styleId="Kop5Char">
    <w:name w:val="Kop 5 Char"/>
    <w:basedOn w:val="Standaardalinea-lettertype"/>
    <w:link w:val="Kop5"/>
    <w:uiPriority w:val="9"/>
    <w:rsid w:val="0021780D"/>
    <w:rPr>
      <w:rFonts w:ascii="Trebuchet MS" w:eastAsiaTheme="majorEastAsia" w:hAnsi="Trebuchet MS" w:cstheme="majorBidi"/>
      <w:b/>
      <w:bCs/>
      <w:color w:val="002C54" w:themeColor="text2"/>
      <w:sz w:val="18"/>
      <w:lang w:val="en-GB"/>
    </w:rPr>
  </w:style>
  <w:style w:type="paragraph" w:customStyle="1" w:styleId="broodtekst">
    <w:name w:val="broodtekst"/>
    <w:basedOn w:val="Standaard"/>
    <w:link w:val="broodtekstChar"/>
    <w:uiPriority w:val="99"/>
    <w:rsid w:val="00BC3C79"/>
    <w:pPr>
      <w:keepNext/>
      <w:spacing w:line="240" w:lineRule="auto"/>
      <w:ind w:left="360" w:hanging="360"/>
      <w:contextualSpacing/>
      <w:outlineLvl w:val="0"/>
    </w:pPr>
    <w:rPr>
      <w:rFonts w:eastAsia="Times New Roman" w:cs="Times New Roman"/>
      <w:szCs w:val="18"/>
    </w:rPr>
  </w:style>
  <w:style w:type="character" w:customStyle="1" w:styleId="broodtekstChar">
    <w:name w:val="broodtekst Char"/>
    <w:link w:val="broodtekst"/>
    <w:uiPriority w:val="99"/>
    <w:rsid w:val="00BC3C79"/>
    <w:rPr>
      <w:rFonts w:ascii="Trebuchet MS" w:eastAsia="Times New Roman" w:hAnsi="Trebuchet MS" w:cs="Times New Roman"/>
      <w:sz w:val="18"/>
      <w:szCs w:val="18"/>
    </w:rPr>
  </w:style>
  <w:style w:type="character" w:styleId="Titelvanboek">
    <w:name w:val="Book Title"/>
    <w:basedOn w:val="Standaardalinea-lettertype"/>
    <w:uiPriority w:val="33"/>
    <w:rsid w:val="0041283F"/>
    <w:rPr>
      <w:rFonts w:ascii="Trebuchet MS" w:hAnsi="Trebuchet MS"/>
      <w:b/>
      <w:bCs/>
      <w:smallCaps/>
      <w:spacing w:val="5"/>
      <w:sz w:val="16"/>
      <w:szCs w:val="16"/>
    </w:rPr>
  </w:style>
  <w:style w:type="paragraph" w:customStyle="1" w:styleId="Addingupnumeral">
    <w:name w:val="Adding up (numeral)"/>
    <w:basedOn w:val="Standaard"/>
    <w:link w:val="AddingupnumeralChar"/>
    <w:autoRedefine/>
    <w:rsid w:val="008018ED"/>
    <w:pPr>
      <w:numPr>
        <w:numId w:val="7"/>
      </w:numPr>
      <w:contextualSpacing/>
    </w:pPr>
    <w:rPr>
      <w:rFonts w:eastAsia="Calibri" w:cs="Times New Roman"/>
      <w:lang w:val="en-GB"/>
    </w:rPr>
  </w:style>
  <w:style w:type="paragraph" w:styleId="Kopvaninhoudsopgave">
    <w:name w:val="TOC Heading"/>
    <w:basedOn w:val="Kop1"/>
    <w:next w:val="Standaard"/>
    <w:uiPriority w:val="39"/>
    <w:unhideWhenUsed/>
    <w:qFormat/>
    <w:rsid w:val="000E1F1D"/>
    <w:pPr>
      <w:keepNext/>
      <w:keepLines/>
      <w:numPr>
        <w:numId w:val="0"/>
      </w:numPr>
      <w:spacing w:before="480" w:after="0" w:line="276" w:lineRule="auto"/>
      <w:outlineLvl w:val="9"/>
    </w:pPr>
    <w:rPr>
      <w:rFonts w:asciiTheme="majorHAnsi" w:eastAsiaTheme="majorEastAsia" w:hAnsiTheme="majorHAnsi" w:cstheme="majorBidi"/>
      <w:bCs/>
      <w:color w:val="004249" w:themeColor="accent1" w:themeShade="BF"/>
      <w:sz w:val="28"/>
      <w:szCs w:val="28"/>
      <w:lang w:val="en-US" w:eastAsia="ja-JP"/>
    </w:rPr>
  </w:style>
  <w:style w:type="paragraph" w:styleId="Inhopg1">
    <w:name w:val="toc 1"/>
    <w:basedOn w:val="Standaard"/>
    <w:next w:val="Standaard"/>
    <w:autoRedefine/>
    <w:uiPriority w:val="39"/>
    <w:unhideWhenUsed/>
    <w:rsid w:val="00163523"/>
    <w:pPr>
      <w:tabs>
        <w:tab w:val="left" w:pos="360"/>
        <w:tab w:val="right" w:leader="dot" w:pos="9016"/>
      </w:tabs>
      <w:spacing w:before="120"/>
      <w:ind w:left="0"/>
    </w:pPr>
    <w:rPr>
      <w:b/>
      <w:bCs/>
      <w:color w:val="005962"/>
      <w:sz w:val="22"/>
      <w:szCs w:val="24"/>
    </w:rPr>
  </w:style>
  <w:style w:type="paragraph" w:styleId="Inhopg2">
    <w:name w:val="toc 2"/>
    <w:basedOn w:val="Standaard"/>
    <w:next w:val="Standaard"/>
    <w:autoRedefine/>
    <w:uiPriority w:val="39"/>
    <w:unhideWhenUsed/>
    <w:rsid w:val="008741BD"/>
    <w:pPr>
      <w:tabs>
        <w:tab w:val="left" w:pos="1260"/>
        <w:tab w:val="right" w:leader="dot" w:pos="9016"/>
      </w:tabs>
      <w:ind w:left="0" w:firstLine="567"/>
    </w:pPr>
    <w:rPr>
      <w:rFonts w:cstheme="minorHAnsi"/>
      <w:b/>
      <w:bCs/>
      <w:color w:val="005962"/>
      <w:sz w:val="20"/>
      <w:szCs w:val="20"/>
    </w:rPr>
  </w:style>
  <w:style w:type="paragraph" w:styleId="Inhopg3">
    <w:name w:val="toc 3"/>
    <w:basedOn w:val="Standaard"/>
    <w:next w:val="Standaard"/>
    <w:autoRedefine/>
    <w:uiPriority w:val="39"/>
    <w:unhideWhenUsed/>
    <w:rsid w:val="005F6407"/>
    <w:pPr>
      <w:ind w:left="284" w:firstLine="567"/>
    </w:pPr>
    <w:rPr>
      <w:rFonts w:cstheme="minorHAnsi"/>
      <w:color w:val="005962"/>
      <w:szCs w:val="20"/>
    </w:rPr>
  </w:style>
  <w:style w:type="character" w:styleId="Hyperlink">
    <w:name w:val="Hyperlink"/>
    <w:aliases w:val=" Znak Znak Znak,Znak Znak Znak"/>
    <w:basedOn w:val="Standaardalinea-lettertype"/>
    <w:uiPriority w:val="99"/>
    <w:unhideWhenUsed/>
    <w:qFormat/>
    <w:rsid w:val="000E1F1D"/>
    <w:rPr>
      <w:color w:val="005962" w:themeColor="hyperlink"/>
      <w:u w:val="single"/>
    </w:rPr>
  </w:style>
  <w:style w:type="paragraph" w:styleId="Inhopg4">
    <w:name w:val="toc 4"/>
    <w:basedOn w:val="Standaard"/>
    <w:next w:val="Standaard"/>
    <w:autoRedefine/>
    <w:uiPriority w:val="39"/>
    <w:unhideWhenUsed/>
    <w:rsid w:val="000A3FCD"/>
    <w:pPr>
      <w:ind w:left="360"/>
    </w:pPr>
    <w:rPr>
      <w:rFonts w:asciiTheme="minorHAnsi" w:hAnsiTheme="minorHAnsi" w:cstheme="minorHAnsi"/>
      <w:sz w:val="20"/>
      <w:szCs w:val="20"/>
    </w:rPr>
  </w:style>
  <w:style w:type="paragraph" w:styleId="Inhopg5">
    <w:name w:val="toc 5"/>
    <w:basedOn w:val="Standaard"/>
    <w:next w:val="Standaard"/>
    <w:autoRedefine/>
    <w:uiPriority w:val="39"/>
    <w:unhideWhenUsed/>
    <w:rsid w:val="000A3FCD"/>
    <w:pPr>
      <w:ind w:left="540"/>
    </w:pPr>
    <w:rPr>
      <w:rFonts w:asciiTheme="minorHAnsi" w:hAnsiTheme="minorHAnsi" w:cstheme="minorHAnsi"/>
      <w:sz w:val="20"/>
      <w:szCs w:val="20"/>
    </w:rPr>
  </w:style>
  <w:style w:type="paragraph" w:styleId="Inhopg6">
    <w:name w:val="toc 6"/>
    <w:basedOn w:val="Standaard"/>
    <w:next w:val="Standaard"/>
    <w:autoRedefine/>
    <w:uiPriority w:val="39"/>
    <w:unhideWhenUsed/>
    <w:rsid w:val="000A3FCD"/>
    <w:pPr>
      <w:ind w:left="720"/>
    </w:pPr>
    <w:rPr>
      <w:rFonts w:asciiTheme="minorHAnsi" w:hAnsiTheme="minorHAnsi" w:cstheme="minorHAnsi"/>
      <w:sz w:val="20"/>
      <w:szCs w:val="20"/>
    </w:rPr>
  </w:style>
  <w:style w:type="paragraph" w:styleId="Inhopg7">
    <w:name w:val="toc 7"/>
    <w:basedOn w:val="Standaard"/>
    <w:next w:val="Standaard"/>
    <w:autoRedefine/>
    <w:uiPriority w:val="39"/>
    <w:unhideWhenUsed/>
    <w:rsid w:val="000A3FCD"/>
    <w:pPr>
      <w:ind w:left="900"/>
    </w:pPr>
    <w:rPr>
      <w:rFonts w:asciiTheme="minorHAnsi" w:hAnsiTheme="minorHAnsi" w:cstheme="minorHAnsi"/>
      <w:sz w:val="20"/>
      <w:szCs w:val="20"/>
    </w:rPr>
  </w:style>
  <w:style w:type="paragraph" w:styleId="Inhopg8">
    <w:name w:val="toc 8"/>
    <w:basedOn w:val="Standaard"/>
    <w:next w:val="Standaard"/>
    <w:autoRedefine/>
    <w:uiPriority w:val="39"/>
    <w:unhideWhenUsed/>
    <w:rsid w:val="000A3FCD"/>
    <w:pPr>
      <w:ind w:left="1080"/>
    </w:pPr>
    <w:rPr>
      <w:rFonts w:asciiTheme="minorHAnsi" w:hAnsiTheme="minorHAnsi" w:cstheme="minorHAnsi"/>
      <w:sz w:val="20"/>
      <w:szCs w:val="20"/>
    </w:rPr>
  </w:style>
  <w:style w:type="paragraph" w:styleId="Inhopg9">
    <w:name w:val="toc 9"/>
    <w:basedOn w:val="Standaard"/>
    <w:next w:val="Standaard"/>
    <w:autoRedefine/>
    <w:uiPriority w:val="39"/>
    <w:unhideWhenUsed/>
    <w:rsid w:val="000A3FCD"/>
    <w:pPr>
      <w:ind w:left="1260"/>
    </w:pPr>
    <w:rPr>
      <w:rFonts w:asciiTheme="minorHAnsi" w:hAnsiTheme="minorHAnsi" w:cstheme="minorHAnsi"/>
      <w:sz w:val="20"/>
      <w:szCs w:val="20"/>
    </w:rPr>
  </w:style>
  <w:style w:type="table" w:styleId="Tabelraster">
    <w:name w:val="Table Grid"/>
    <w:aliases w:val="Test,TabelEcorys,Table rid,Header Row,Smart Text Table"/>
    <w:basedOn w:val="Standaardtabel"/>
    <w:rsid w:val="00216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1">
    <w:name w:val="Table 1"/>
    <w:basedOn w:val="Standaardtabel"/>
    <w:uiPriority w:val="99"/>
    <w:rsid w:val="004103B8"/>
    <w:pPr>
      <w:spacing w:after="0" w:line="240" w:lineRule="auto"/>
      <w:jc w:val="center"/>
    </w:pPr>
    <w:rPr>
      <w:rFonts w:ascii="Trebuchet MS" w:hAnsi="Trebuchet MS"/>
      <w:sz w:val="16"/>
    </w:rPr>
    <w:tblPr>
      <w:tblInd w:w="567" w:type="dxa"/>
      <w:tblBorders>
        <w:top w:val="single" w:sz="4" w:space="0" w:color="005962"/>
        <w:left w:val="single" w:sz="4" w:space="0" w:color="005962"/>
        <w:bottom w:val="single" w:sz="4" w:space="0" w:color="005962"/>
        <w:right w:val="single" w:sz="4" w:space="0" w:color="005962"/>
        <w:insideH w:val="single" w:sz="4" w:space="0" w:color="005962"/>
        <w:insideV w:val="single" w:sz="4" w:space="0" w:color="005962"/>
      </w:tblBorders>
    </w:tblPr>
    <w:tcPr>
      <w:shd w:val="clear" w:color="auto" w:fill="auto"/>
      <w:vAlign w:val="center"/>
    </w:tcPr>
    <w:tblStylePr w:type="firstRow">
      <w:pPr>
        <w:wordWrap/>
        <w:spacing w:beforeLines="0" w:before="0" w:beforeAutospacing="0" w:afterLines="0" w:after="0" w:afterAutospacing="0" w:line="300" w:lineRule="atLeast"/>
        <w:ind w:leftChars="0" w:left="0" w:rightChars="0" w:right="0" w:firstLineChars="0" w:firstLine="0"/>
        <w:jc w:val="center"/>
      </w:pPr>
      <w:rPr>
        <w:rFonts w:ascii="Trebuchet MS" w:hAnsi="Trebuchet MS"/>
        <w:b/>
        <w:color w:val="FFFFFF" w:themeColor="background1"/>
        <w:sz w:val="16"/>
      </w:rPr>
      <w:tblPr/>
      <w:tcPr>
        <w:shd w:val="clear" w:color="auto" w:fill="005962"/>
      </w:tcPr>
    </w:tblStylePr>
    <w:tblStylePr w:type="firstCol">
      <w:pPr>
        <w:wordWrap/>
        <w:jc w:val="left"/>
        <w:outlineLvl w:val="9"/>
      </w:pPr>
    </w:tblStylePr>
  </w:style>
  <w:style w:type="paragraph" w:styleId="Voetnoottekst">
    <w:name w:val="footnote text"/>
    <w:aliases w:val="Fußnotentextf,Fußnotentextr,stile 1,Footnote,Footnote1,Footnote2,Footnote3,Footnote4,Footnote5,Footnote6,Footnote7,Footnote8,Footnote9,Footnote10,Footnote11,Footnote21,Footnote31,Footnote41,Footnote51,Footnote61,Footnote71"/>
    <w:basedOn w:val="Standaard"/>
    <w:link w:val="VoetnoottekstChar"/>
    <w:uiPriority w:val="99"/>
    <w:unhideWhenUsed/>
    <w:rsid w:val="00EC28F4"/>
    <w:pPr>
      <w:spacing w:line="240" w:lineRule="auto"/>
    </w:pPr>
    <w:rPr>
      <w:sz w:val="16"/>
      <w:szCs w:val="16"/>
      <w:lang w:val="en-GB"/>
    </w:rPr>
  </w:style>
  <w:style w:type="character" w:customStyle="1" w:styleId="VoetnoottekstChar">
    <w:name w:val="Voetnoottekst Char"/>
    <w:aliases w:val="Fußnotentextf Char,Fußnotentextr Char,stile 1 Char,Footnote Char,Footnote1 Char,Footnote2 Char,Footnote3 Char,Footnote4 Char,Footnote5 Char,Footnote6 Char,Footnote7 Char,Footnote8 Char,Footnote9 Char,Footnote10 Char,Footnote11 Char"/>
    <w:basedOn w:val="Standaardalinea-lettertype"/>
    <w:link w:val="Voetnoottekst"/>
    <w:uiPriority w:val="99"/>
    <w:rsid w:val="002A03EA"/>
    <w:rPr>
      <w:rFonts w:ascii="Trebuchet MS" w:hAnsi="Trebuchet MS"/>
      <w:sz w:val="16"/>
      <w:szCs w:val="16"/>
      <w:lang w:val="en-GB"/>
    </w:rPr>
  </w:style>
  <w:style w:type="character" w:styleId="Voetnootmarkering">
    <w:name w:val="footnote reference"/>
    <w:aliases w:val="SUPERS,Odwołanie przypisu,Times 10 Point,Exposant 3 Point,Footnote symbol,Footnote reference number,number,Footnote Reference Superscript,stylish,Знак сноски-FN,Ciae niinee-FN,Знак сноски 1,(Footnote Reference), Exposant 3 Point,FR"/>
    <w:basedOn w:val="Standaardalinea-lettertype"/>
    <w:unhideWhenUsed/>
    <w:qFormat/>
    <w:rsid w:val="002A03EA"/>
    <w:rPr>
      <w:vertAlign w:val="superscript"/>
    </w:rPr>
  </w:style>
  <w:style w:type="paragraph" w:customStyle="1" w:styleId="foonote">
    <w:name w:val="foonote"/>
    <w:basedOn w:val="Voetnoottekst"/>
    <w:link w:val="foonoteChar"/>
    <w:qFormat/>
    <w:rsid w:val="002A03EA"/>
    <w:rPr>
      <w:rFonts w:ascii="Arial" w:hAnsi="Arial" w:cs="Arial"/>
    </w:rPr>
  </w:style>
  <w:style w:type="character" w:customStyle="1" w:styleId="foonoteChar">
    <w:name w:val="foonote Char"/>
    <w:basedOn w:val="VoetnoottekstChar"/>
    <w:link w:val="foonote"/>
    <w:rsid w:val="002D4BF3"/>
    <w:rPr>
      <w:rFonts w:ascii="Arial" w:hAnsi="Arial" w:cs="Arial"/>
      <w:sz w:val="16"/>
      <w:szCs w:val="16"/>
      <w:lang w:val="en-GB"/>
    </w:rPr>
  </w:style>
  <w:style w:type="paragraph" w:styleId="Revisie">
    <w:name w:val="Revision"/>
    <w:hidden/>
    <w:uiPriority w:val="99"/>
    <w:semiHidden/>
    <w:rsid w:val="00594342"/>
    <w:pPr>
      <w:spacing w:after="0" w:line="240" w:lineRule="auto"/>
    </w:pPr>
    <w:rPr>
      <w:rFonts w:ascii="Trebuchet MS" w:hAnsi="Trebuchet MS"/>
      <w:sz w:val="18"/>
    </w:rPr>
  </w:style>
  <w:style w:type="paragraph" w:customStyle="1" w:styleId="Default">
    <w:name w:val="Default"/>
    <w:rsid w:val="009D3B6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jstalineaChar">
    <w:name w:val="Lijstalinea Char"/>
    <w:aliases w:val="1st elvel bullet green Char,1st level - Bullet List Paragraph Char,Lettre d'introduction Char,Paragrafo elenco Char,List Paragraph1 Char,Medium Grid 1 - Accent 21 Char,FooterText Char,Paragraphe de liste1 Char,Heading 2_sj Char,lp1 Char"/>
    <w:link w:val="Lijstalinea"/>
    <w:uiPriority w:val="34"/>
    <w:qFormat/>
    <w:rsid w:val="003367E5"/>
    <w:rPr>
      <w:rFonts w:ascii="Trebuchet MS" w:hAnsi="Trebuchet MS"/>
      <w:sz w:val="18"/>
      <w:lang w:val="en-GB"/>
    </w:rPr>
  </w:style>
  <w:style w:type="character" w:styleId="Verwijzingopmerking">
    <w:name w:val="annotation reference"/>
    <w:uiPriority w:val="99"/>
    <w:semiHidden/>
    <w:unhideWhenUsed/>
    <w:rsid w:val="00D13A76"/>
    <w:rPr>
      <w:sz w:val="16"/>
      <w:szCs w:val="16"/>
    </w:rPr>
  </w:style>
  <w:style w:type="paragraph" w:styleId="Tekstopmerking">
    <w:name w:val="annotation text"/>
    <w:basedOn w:val="Standaard"/>
    <w:link w:val="TekstopmerkingChar"/>
    <w:uiPriority w:val="99"/>
    <w:unhideWhenUsed/>
    <w:rsid w:val="00D13A76"/>
    <w:pPr>
      <w:spacing w:line="240" w:lineRule="auto"/>
    </w:pPr>
    <w:rPr>
      <w:rFonts w:eastAsia="Calibri" w:cs="Times New Roman"/>
      <w:sz w:val="20"/>
      <w:szCs w:val="20"/>
    </w:rPr>
  </w:style>
  <w:style w:type="character" w:customStyle="1" w:styleId="TekstopmerkingChar">
    <w:name w:val="Tekst opmerking Char"/>
    <w:basedOn w:val="Standaardalinea-lettertype"/>
    <w:link w:val="Tekstopmerking"/>
    <w:uiPriority w:val="99"/>
    <w:rsid w:val="00D13A76"/>
    <w:rPr>
      <w:rFonts w:ascii="Trebuchet MS" w:eastAsia="Calibri" w:hAnsi="Trebuchet MS"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3808B9"/>
    <w:rPr>
      <w:rFonts w:eastAsiaTheme="minorHAnsi" w:cstheme="minorBidi"/>
      <w:b/>
      <w:bCs/>
    </w:rPr>
  </w:style>
  <w:style w:type="character" w:customStyle="1" w:styleId="OnderwerpvanopmerkingChar">
    <w:name w:val="Onderwerp van opmerking Char"/>
    <w:basedOn w:val="TekstopmerkingChar"/>
    <w:link w:val="Onderwerpvanopmerking"/>
    <w:uiPriority w:val="99"/>
    <w:semiHidden/>
    <w:rsid w:val="003808B9"/>
    <w:rPr>
      <w:rFonts w:ascii="Trebuchet MS" w:eastAsia="Calibri" w:hAnsi="Trebuchet MS" w:cs="Times New Roman"/>
      <w:b/>
      <w:bCs/>
      <w:sz w:val="20"/>
      <w:szCs w:val="20"/>
    </w:rPr>
  </w:style>
  <w:style w:type="character" w:styleId="Zwaar">
    <w:name w:val="Strong"/>
    <w:aliases w:val="Bold"/>
    <w:basedOn w:val="Standaardalinea-lettertype"/>
    <w:uiPriority w:val="22"/>
    <w:qFormat/>
    <w:rsid w:val="003808B9"/>
    <w:rPr>
      <w:b/>
      <w:bCs/>
    </w:rPr>
  </w:style>
  <w:style w:type="paragraph" w:customStyle="1" w:styleId="Orangetabletext">
    <w:name w:val="Orange table text"/>
    <w:basedOn w:val="Standaard"/>
    <w:link w:val="OrangetabletextChar"/>
    <w:rsid w:val="00204ED4"/>
    <w:pPr>
      <w:numPr>
        <w:numId w:val="6"/>
      </w:numPr>
      <w:spacing w:line="260" w:lineRule="atLeast"/>
    </w:pPr>
    <w:rPr>
      <w:b/>
      <w:bCs/>
      <w:color w:val="FFFFFF"/>
      <w:sz w:val="16"/>
      <w:szCs w:val="14"/>
      <w:lang w:eastAsia="nl-NL"/>
    </w:rPr>
  </w:style>
  <w:style w:type="paragraph" w:styleId="Bijschrift">
    <w:name w:val="caption"/>
    <w:aliases w:val="Caption-tables,Tasks,Beschriftung Char2,Beschriftung Char1 Char1,Beschriftung Char Char Char1,Beschriftung Char1 Char Char,Beschriftung Char Char Char Char,Beschriftung Char Char1 Char,Beschriftung Char Char2,Beschriftung Char1 Cha...,Eco"/>
    <w:basedOn w:val="Standaard"/>
    <w:next w:val="Standaard"/>
    <w:link w:val="BijschriftChar"/>
    <w:uiPriority w:val="35"/>
    <w:unhideWhenUsed/>
    <w:qFormat/>
    <w:rsid w:val="00F51A21"/>
    <w:pPr>
      <w:keepNext/>
      <w:spacing w:after="120" w:line="240" w:lineRule="auto"/>
    </w:pPr>
    <w:rPr>
      <w:b/>
      <w:bCs/>
      <w:color w:val="005962"/>
      <w:sz w:val="16"/>
    </w:rPr>
  </w:style>
  <w:style w:type="paragraph" w:customStyle="1" w:styleId="table-text">
    <w:name w:val="table-text"/>
    <w:basedOn w:val="broodtekst"/>
    <w:uiPriority w:val="99"/>
    <w:rsid w:val="00330BB1"/>
    <w:pPr>
      <w:keepNext w:val="0"/>
      <w:spacing w:line="280" w:lineRule="atLeast"/>
      <w:ind w:left="0" w:firstLine="0"/>
      <w:contextualSpacing w:val="0"/>
      <w:outlineLvl w:val="9"/>
    </w:pPr>
    <w:rPr>
      <w:rFonts w:ascii="Arial" w:hAnsi="Arial"/>
      <w:sz w:val="16"/>
      <w:szCs w:val="24"/>
      <w:lang w:val="nl-NL" w:eastAsia="nl-NL"/>
    </w:rPr>
  </w:style>
  <w:style w:type="paragraph" w:customStyle="1" w:styleId="tabelkop">
    <w:name w:val="tabelkop"/>
    <w:basedOn w:val="Standaard"/>
    <w:rsid w:val="00330BB1"/>
    <w:pPr>
      <w:keepNext/>
      <w:keepLines/>
      <w:spacing w:line="280" w:lineRule="atLeast"/>
      <w:ind w:left="0"/>
    </w:pPr>
    <w:rPr>
      <w:rFonts w:ascii="Arial" w:eastAsia="Times New Roman" w:hAnsi="Arial" w:cs="Times New Roman"/>
      <w:b/>
      <w:color w:val="FFFFFF"/>
      <w:sz w:val="16"/>
      <w:szCs w:val="24"/>
      <w:lang w:val="nl-NL" w:eastAsia="nl-NL"/>
    </w:rPr>
  </w:style>
  <w:style w:type="table" w:styleId="Lichtelijst-accent2">
    <w:name w:val="Light List Accent 2"/>
    <w:basedOn w:val="Standaardtabel"/>
    <w:uiPriority w:val="61"/>
    <w:semiHidden/>
    <w:unhideWhenUsed/>
    <w:rsid w:val="00247A28"/>
    <w:pPr>
      <w:spacing w:after="0" w:line="240" w:lineRule="auto"/>
    </w:pPr>
    <w:tblPr>
      <w:tblStyleRowBandSize w:val="1"/>
      <w:tblStyleColBandSize w:val="1"/>
      <w:tblBorders>
        <w:top w:val="single" w:sz="8" w:space="0" w:color="F04E30" w:themeColor="accent2"/>
        <w:left w:val="single" w:sz="8" w:space="0" w:color="F04E30" w:themeColor="accent2"/>
        <w:bottom w:val="single" w:sz="8" w:space="0" w:color="F04E30" w:themeColor="accent2"/>
        <w:right w:val="single" w:sz="8" w:space="0" w:color="F04E30" w:themeColor="accent2"/>
      </w:tblBorders>
    </w:tblPr>
    <w:tblStylePr w:type="firstRow">
      <w:pPr>
        <w:spacing w:before="0" w:after="0" w:line="240" w:lineRule="auto"/>
      </w:pPr>
      <w:rPr>
        <w:b/>
        <w:bCs/>
        <w:color w:val="FFFFFF" w:themeColor="background1"/>
      </w:rPr>
      <w:tblPr/>
      <w:tcPr>
        <w:shd w:val="clear" w:color="auto" w:fill="F04E30" w:themeFill="accent2"/>
      </w:tcPr>
    </w:tblStylePr>
    <w:tblStylePr w:type="lastRow">
      <w:pPr>
        <w:spacing w:before="0" w:after="0" w:line="240" w:lineRule="auto"/>
      </w:pPr>
      <w:rPr>
        <w:b/>
        <w:bCs/>
      </w:rPr>
      <w:tblPr/>
      <w:tcPr>
        <w:tcBorders>
          <w:top w:val="double" w:sz="6" w:space="0" w:color="F04E30" w:themeColor="accent2"/>
          <w:left w:val="single" w:sz="8" w:space="0" w:color="F04E30" w:themeColor="accent2"/>
          <w:bottom w:val="single" w:sz="8" w:space="0" w:color="F04E30" w:themeColor="accent2"/>
          <w:right w:val="single" w:sz="8" w:space="0" w:color="F04E30" w:themeColor="accent2"/>
        </w:tcBorders>
      </w:tcPr>
    </w:tblStylePr>
    <w:tblStylePr w:type="firstCol">
      <w:rPr>
        <w:b/>
        <w:bCs/>
      </w:rPr>
    </w:tblStylePr>
    <w:tblStylePr w:type="lastCol">
      <w:rPr>
        <w:b/>
        <w:bCs/>
      </w:rPr>
    </w:tblStylePr>
    <w:tblStylePr w:type="band1Vert">
      <w:tblPr/>
      <w:tcPr>
        <w:tcBorders>
          <w:top w:val="single" w:sz="8" w:space="0" w:color="F04E30" w:themeColor="accent2"/>
          <w:left w:val="single" w:sz="8" w:space="0" w:color="F04E30" w:themeColor="accent2"/>
          <w:bottom w:val="single" w:sz="8" w:space="0" w:color="F04E30" w:themeColor="accent2"/>
          <w:right w:val="single" w:sz="8" w:space="0" w:color="F04E30" w:themeColor="accent2"/>
        </w:tcBorders>
      </w:tcPr>
    </w:tblStylePr>
    <w:tblStylePr w:type="band1Horz">
      <w:tblPr/>
      <w:tcPr>
        <w:tcBorders>
          <w:top w:val="single" w:sz="8" w:space="0" w:color="F04E30" w:themeColor="accent2"/>
          <w:left w:val="single" w:sz="8" w:space="0" w:color="F04E30" w:themeColor="accent2"/>
          <w:bottom w:val="single" w:sz="8" w:space="0" w:color="F04E30" w:themeColor="accent2"/>
          <w:right w:val="single" w:sz="8" w:space="0" w:color="F04E30" w:themeColor="accent2"/>
        </w:tcBorders>
      </w:tcPr>
    </w:tblStylePr>
  </w:style>
  <w:style w:type="table" w:customStyle="1" w:styleId="Box">
    <w:name w:val="Box"/>
    <w:basedOn w:val="Klassieketabel1"/>
    <w:uiPriority w:val="99"/>
    <w:rsid w:val="008018ED"/>
    <w:rPr>
      <w:rFonts w:ascii="Trebuchet MS" w:hAnsi="Trebuchet MS"/>
      <w:sz w:val="16"/>
      <w:szCs w:val="20"/>
      <w:lang w:val="en-US" w:eastAsia="nl-BE"/>
    </w:rPr>
    <w:tblPr>
      <w:tblInd w:w="567" w:type="dxa"/>
    </w:tblPr>
    <w:tcPr>
      <w:shd w:val="clear" w:color="auto" w:fill="FFE3A5" w:themeFill="accent4"/>
      <w:vAlign w:val="center"/>
    </w:tcPr>
    <w:tblStylePr w:type="firstRow">
      <w:rPr>
        <w:rFonts w:ascii="Webdings" w:hAnsi="Webdings"/>
        <w:i/>
        <w:iCs/>
        <w:sz w:val="16"/>
      </w:rPr>
      <w:tblPr/>
      <w:tcPr>
        <w:tcBorders>
          <w:top w:val="nil"/>
          <w:left w:val="nil"/>
          <w:bottom w:val="nil"/>
          <w:right w:val="nil"/>
          <w:insideH w:val="nil"/>
          <w:insideV w:val="nil"/>
          <w:tl2br w:val="none" w:sz="0" w:space="0" w:color="auto"/>
          <w:tr2bl w:val="none" w:sz="0" w:space="0" w:color="auto"/>
        </w:tcBorders>
        <w:shd w:val="clear" w:color="auto" w:fill="FFE3A5" w:themeFill="accent4"/>
      </w:tcPr>
    </w:tblStylePr>
    <w:tblStylePr w:type="lastRow">
      <w:rPr>
        <w:rFonts w:ascii="Webdings" w:hAnsi="Webdings"/>
        <w:color w:val="auto"/>
        <w:sz w:val="16"/>
      </w:rPr>
      <w:tblPr/>
      <w:tcPr>
        <w:tcBorders>
          <w:top w:val="nil"/>
          <w:left w:val="nil"/>
          <w:bottom w:val="nil"/>
          <w:right w:val="nil"/>
          <w:insideH w:val="nil"/>
          <w:insideV w:val="nil"/>
          <w:tl2br w:val="none" w:sz="0" w:space="0" w:color="auto"/>
          <w:tr2bl w:val="none" w:sz="0" w:space="0" w:color="auto"/>
        </w:tcBorders>
        <w:shd w:val="clear" w:color="auto" w:fill="FFE3A5" w:themeFill="accent4"/>
      </w:tcPr>
    </w:tblStylePr>
    <w:tblStylePr w:type="firstCol">
      <w:rPr>
        <w:rFonts w:ascii="Webdings" w:hAnsi="Webdings"/>
        <w:color w:val="auto"/>
        <w:sz w:val="16"/>
      </w:rPr>
      <w:tblPr/>
      <w:tcPr>
        <w:tcBorders>
          <w:top w:val="nil"/>
          <w:left w:val="nil"/>
          <w:bottom w:val="nil"/>
          <w:right w:val="nil"/>
          <w:insideH w:val="nil"/>
          <w:insideV w:val="nil"/>
          <w:tl2br w:val="none" w:sz="0" w:space="0" w:color="auto"/>
          <w:tr2bl w:val="none" w:sz="0" w:space="0" w:color="auto"/>
        </w:tcBorders>
        <w:shd w:val="clear" w:color="auto" w:fill="FFE3A5" w:themeFill="accent4"/>
      </w:tcPr>
    </w:tblStylePr>
    <w:tblStylePr w:type="lastCol">
      <w:rPr>
        <w:rFonts w:ascii="Webdings" w:hAnsi="Webdings"/>
        <w:sz w:val="16"/>
      </w:rPr>
      <w:tblPr/>
      <w:tcPr>
        <w:tcBorders>
          <w:top w:val="nil"/>
          <w:left w:val="nil"/>
          <w:bottom w:val="nil"/>
          <w:right w:val="nil"/>
          <w:insideH w:val="nil"/>
          <w:insideV w:val="nil"/>
        </w:tcBorders>
        <w:shd w:val="clear" w:color="auto" w:fill="FFE3A5" w:themeFill="accent4"/>
      </w:tcPr>
    </w:tblStylePr>
    <w:tblStylePr w:type="neCell">
      <w:rPr>
        <w:rFonts w:ascii="Webdings" w:hAnsi="Webdings"/>
        <w:b/>
        <w:bCs/>
        <w:i w:val="0"/>
        <w:iCs w:val="0"/>
        <w:sz w:val="16"/>
      </w:rPr>
      <w:tblPr/>
      <w:tcPr>
        <w:tcBorders>
          <w:tl2br w:val="none" w:sz="0" w:space="0" w:color="auto"/>
          <w:tr2bl w:val="none" w:sz="0" w:space="0" w:color="auto"/>
        </w:tcBorders>
      </w:tcPr>
    </w:tblStylePr>
    <w:tblStylePr w:type="seCell">
      <w:rPr>
        <w:rFonts w:ascii="Webdings" w:hAnsi="Webdings"/>
        <w:sz w:val="16"/>
      </w:rPr>
    </w:tblStylePr>
    <w:tblStylePr w:type="swCell">
      <w:rPr>
        <w:rFonts w:ascii="Webdings" w:hAnsi="Webdings"/>
        <w:b/>
        <w:bCs/>
        <w:sz w:val="16"/>
      </w:rPr>
      <w:tblPr/>
      <w:tcPr>
        <w:tcBorders>
          <w:top w:val="nil"/>
          <w:left w:val="nil"/>
          <w:bottom w:val="nil"/>
          <w:right w:val="nil"/>
          <w:insideH w:val="nil"/>
          <w:insideV w:val="nil"/>
          <w:tl2br w:val="none" w:sz="0" w:space="0" w:color="auto"/>
          <w:tr2bl w:val="none" w:sz="0" w:space="0" w:color="auto"/>
        </w:tcBorders>
        <w:shd w:val="clear" w:color="auto" w:fill="FFE3A5" w:themeFill="accent4"/>
      </w:tcPr>
    </w:tblStylePr>
  </w:style>
  <w:style w:type="character" w:customStyle="1" w:styleId="BijschriftChar">
    <w:name w:val="Bijschrift Char"/>
    <w:aliases w:val="Caption-tables Char,Tasks Char,Beschriftung Char2 Char,Beschriftung Char1 Char1 Char,Beschriftung Char Char Char1 Char,Beschriftung Char1 Char Char Char,Beschriftung Char Char Char Char Char,Beschriftung Char Char1 Char Char,Eco Char"/>
    <w:link w:val="Bijschrift"/>
    <w:uiPriority w:val="35"/>
    <w:locked/>
    <w:rsid w:val="00F51A21"/>
    <w:rPr>
      <w:rFonts w:ascii="Trebuchet MS" w:hAnsi="Trebuchet MS"/>
      <w:b/>
      <w:bCs/>
      <w:color w:val="005962"/>
      <w:sz w:val="16"/>
    </w:rPr>
  </w:style>
  <w:style w:type="character" w:customStyle="1" w:styleId="AAAAAtextChar">
    <w:name w:val="AAAAAtext Char"/>
    <w:basedOn w:val="Standaardalinea-lettertype"/>
    <w:link w:val="AAAAAtext"/>
    <w:locked/>
    <w:rsid w:val="00456CCB"/>
    <w:rPr>
      <w:rFonts w:ascii="Calibri" w:hAnsi="Calibri"/>
      <w:sz w:val="22"/>
      <w:szCs w:val="24"/>
      <w:lang w:eastAsia="en-GB"/>
    </w:rPr>
  </w:style>
  <w:style w:type="paragraph" w:customStyle="1" w:styleId="AAAAAtext">
    <w:name w:val="AAAAAtext"/>
    <w:basedOn w:val="Standaard"/>
    <w:link w:val="AAAAAtextChar"/>
    <w:rsid w:val="00371E2C"/>
    <w:pPr>
      <w:spacing w:before="60" w:after="60" w:line="320" w:lineRule="atLeast"/>
      <w:ind w:left="0"/>
      <w:jc w:val="both"/>
    </w:pPr>
    <w:rPr>
      <w:rFonts w:ascii="Calibri" w:hAnsi="Calibri"/>
      <w:sz w:val="22"/>
      <w:szCs w:val="24"/>
      <w:lang w:eastAsia="en-GB"/>
    </w:rPr>
  </w:style>
  <w:style w:type="paragraph" w:styleId="Normaalweb">
    <w:name w:val="Normal (Web)"/>
    <w:basedOn w:val="Standaard"/>
    <w:uiPriority w:val="99"/>
    <w:unhideWhenUsed/>
    <w:rsid w:val="00336623"/>
    <w:pPr>
      <w:spacing w:before="100" w:beforeAutospacing="1" w:after="100" w:afterAutospacing="1" w:line="240" w:lineRule="auto"/>
      <w:ind w:left="0"/>
    </w:pPr>
    <w:rPr>
      <w:rFonts w:ascii="Times New Roman" w:eastAsia="Times New Roman" w:hAnsi="Times New Roman" w:cs="Times New Roman"/>
      <w:sz w:val="24"/>
      <w:szCs w:val="24"/>
      <w:lang w:eastAsia="en-GB"/>
    </w:rPr>
  </w:style>
  <w:style w:type="paragraph" w:customStyle="1" w:styleId="Pa20">
    <w:name w:val="Pa20"/>
    <w:basedOn w:val="Default"/>
    <w:next w:val="Default"/>
    <w:uiPriority w:val="99"/>
    <w:rsid w:val="00336623"/>
    <w:pPr>
      <w:spacing w:line="171" w:lineRule="atLeast"/>
    </w:pPr>
    <w:rPr>
      <w:rFonts w:ascii="EC Square Sans Pro" w:hAnsi="EC Square Sans Pro" w:cstheme="minorBidi"/>
      <w:color w:val="auto"/>
    </w:rPr>
  </w:style>
  <w:style w:type="character" w:styleId="Nadruk">
    <w:name w:val="Emphasis"/>
    <w:basedOn w:val="Standaardalinea-lettertype"/>
    <w:uiPriority w:val="20"/>
    <w:qFormat/>
    <w:rsid w:val="00724F32"/>
    <w:rPr>
      <w:i/>
      <w:iCs/>
    </w:rPr>
  </w:style>
  <w:style w:type="paragraph" w:styleId="Tekstzonderopmaak">
    <w:name w:val="Plain Text"/>
    <w:basedOn w:val="Standaard"/>
    <w:link w:val="TekstzonderopmaakChar"/>
    <w:uiPriority w:val="99"/>
    <w:semiHidden/>
    <w:unhideWhenUsed/>
    <w:rsid w:val="002A705E"/>
    <w:pPr>
      <w:spacing w:line="240" w:lineRule="auto"/>
      <w:ind w:left="0"/>
    </w:pPr>
    <w:rPr>
      <w:rFonts w:ascii="Calibri" w:eastAsia="Calibri" w:hAnsi="Calibri" w:cs="Times New Roman"/>
      <w:sz w:val="20"/>
      <w:szCs w:val="21"/>
    </w:rPr>
  </w:style>
  <w:style w:type="character" w:customStyle="1" w:styleId="TekstzonderopmaakChar">
    <w:name w:val="Tekst zonder opmaak Char"/>
    <w:basedOn w:val="Standaardalinea-lettertype"/>
    <w:link w:val="Tekstzonderopmaak"/>
    <w:uiPriority w:val="99"/>
    <w:semiHidden/>
    <w:rsid w:val="002A705E"/>
    <w:rPr>
      <w:rFonts w:ascii="Calibri" w:eastAsia="Calibri" w:hAnsi="Calibri" w:cs="Times New Roman"/>
      <w:sz w:val="20"/>
      <w:szCs w:val="21"/>
    </w:rPr>
  </w:style>
  <w:style w:type="character" w:customStyle="1" w:styleId="rStyle">
    <w:name w:val="rStyle"/>
    <w:rsid w:val="0019417C"/>
    <w:rPr>
      <w:b/>
      <w:bCs w:val="0"/>
    </w:rPr>
  </w:style>
  <w:style w:type="character" w:styleId="GevolgdeHyperlink">
    <w:name w:val="FollowedHyperlink"/>
    <w:basedOn w:val="Standaardalinea-lettertype"/>
    <w:uiPriority w:val="99"/>
    <w:semiHidden/>
    <w:unhideWhenUsed/>
    <w:rsid w:val="0064096B"/>
    <w:rPr>
      <w:color w:val="F04E30" w:themeColor="followedHyperlink"/>
      <w:u w:val="single"/>
    </w:rPr>
  </w:style>
  <w:style w:type="character" w:customStyle="1" w:styleId="Hyperlink1">
    <w:name w:val="Hyperlink1"/>
    <w:basedOn w:val="Standaardalinea-lettertype"/>
    <w:uiPriority w:val="99"/>
    <w:unhideWhenUsed/>
    <w:rsid w:val="00915515"/>
    <w:rPr>
      <w:color w:val="0000FF"/>
      <w:u w:val="single"/>
    </w:rPr>
  </w:style>
  <w:style w:type="paragraph" w:customStyle="1" w:styleId="paragraph">
    <w:name w:val="paragraph"/>
    <w:basedOn w:val="Standaard"/>
    <w:rsid w:val="00765759"/>
    <w:pPr>
      <w:spacing w:before="100" w:beforeAutospacing="1" w:after="100" w:afterAutospacing="1" w:line="240" w:lineRule="auto"/>
      <w:ind w:left="0"/>
    </w:pPr>
    <w:rPr>
      <w:rFonts w:ascii="Times New Roman" w:eastAsia="Times New Roman" w:hAnsi="Times New Roman" w:cs="Times New Roman"/>
      <w:sz w:val="24"/>
      <w:szCs w:val="24"/>
      <w:lang w:eastAsia="en-GB"/>
    </w:rPr>
  </w:style>
  <w:style w:type="character" w:customStyle="1" w:styleId="normaltextrun">
    <w:name w:val="normaltextrun"/>
    <w:basedOn w:val="Standaardalinea-lettertype"/>
    <w:rsid w:val="00765759"/>
  </w:style>
  <w:style w:type="character" w:customStyle="1" w:styleId="scx12335173">
    <w:name w:val="scx12335173"/>
    <w:basedOn w:val="Standaardalinea-lettertype"/>
    <w:rsid w:val="00765759"/>
  </w:style>
  <w:style w:type="character" w:customStyle="1" w:styleId="apple-converted-space">
    <w:name w:val="apple-converted-space"/>
    <w:basedOn w:val="Standaardalinea-lettertype"/>
    <w:rsid w:val="00765759"/>
  </w:style>
  <w:style w:type="character" w:customStyle="1" w:styleId="eop">
    <w:name w:val="eop"/>
    <w:basedOn w:val="Standaardalinea-lettertype"/>
    <w:rsid w:val="00765759"/>
  </w:style>
  <w:style w:type="character" w:customStyle="1" w:styleId="spellingerror">
    <w:name w:val="spellingerror"/>
    <w:basedOn w:val="Standaardalinea-lettertype"/>
    <w:rsid w:val="00765759"/>
  </w:style>
  <w:style w:type="paragraph" w:customStyle="1" w:styleId="ECVSectionBullet">
    <w:name w:val="_ECV_SectionBullet"/>
    <w:basedOn w:val="Standaard"/>
    <w:rsid w:val="00E676D9"/>
    <w:pPr>
      <w:suppressLineNumbers/>
      <w:autoSpaceDE w:val="0"/>
      <w:spacing w:line="100" w:lineRule="atLeast"/>
      <w:ind w:left="0"/>
    </w:pPr>
    <w:rPr>
      <w:rFonts w:ascii="Arial" w:eastAsia="SimSun" w:hAnsi="Arial" w:cs="Mangal"/>
      <w:color w:val="3F3A38"/>
      <w:spacing w:val="-6"/>
      <w:kern w:val="2"/>
      <w:szCs w:val="24"/>
      <w:lang w:eastAsia="zh-CN" w:bidi="hi-IN"/>
    </w:rPr>
  </w:style>
  <w:style w:type="character" w:customStyle="1" w:styleId="AddingupnumeralChar">
    <w:name w:val="Adding up (numeral) Char"/>
    <w:basedOn w:val="Standaardalinea-lettertype"/>
    <w:link w:val="Addingupnumeral"/>
    <w:rsid w:val="008018ED"/>
    <w:rPr>
      <w:rFonts w:ascii="Trebuchet MS" w:eastAsia="Calibri" w:hAnsi="Trebuchet MS" w:cs="Times New Roman"/>
      <w:sz w:val="18"/>
      <w:lang w:val="en-GB"/>
    </w:rPr>
  </w:style>
  <w:style w:type="character" w:styleId="Onopgelostemelding">
    <w:name w:val="Unresolved Mention"/>
    <w:basedOn w:val="Standaardalinea-lettertype"/>
    <w:uiPriority w:val="99"/>
    <w:semiHidden/>
    <w:unhideWhenUsed/>
    <w:rsid w:val="003A045A"/>
    <w:rPr>
      <w:color w:val="605E5C"/>
      <w:shd w:val="clear" w:color="auto" w:fill="E1DFDD"/>
    </w:rPr>
  </w:style>
  <w:style w:type="table" w:styleId="Klassieketabel1">
    <w:name w:val="Table Classic 1"/>
    <w:basedOn w:val="Standaardtabel"/>
    <w:uiPriority w:val="99"/>
    <w:semiHidden/>
    <w:unhideWhenUsed/>
    <w:rsid w:val="008018ED"/>
    <w:pPr>
      <w:spacing w:after="0" w:line="300" w:lineRule="atLeast"/>
      <w:ind w:left="567"/>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
    <w:name w:val="Table Grid1"/>
    <w:basedOn w:val="Standaardtabel"/>
    <w:next w:val="Tabelraster"/>
    <w:uiPriority w:val="59"/>
    <w:rsid w:val="00066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cklistbulletpoint0">
    <w:name w:val="Checklist bulletpoint"/>
    <w:basedOn w:val="Standaard"/>
    <w:link w:val="ChecklistbulletpointChar"/>
    <w:rsid w:val="00F93481"/>
    <w:pPr>
      <w:numPr>
        <w:numId w:val="5"/>
      </w:numPr>
    </w:pPr>
    <w:rPr>
      <w:b/>
      <w:color w:val="F04E30"/>
      <w:szCs w:val="18"/>
    </w:rPr>
  </w:style>
  <w:style w:type="paragraph" w:customStyle="1" w:styleId="ChecklistBulletpoint">
    <w:name w:val="Checklist Bulletpoint"/>
    <w:basedOn w:val="Standaard"/>
    <w:link w:val="ChecklistBulletpointChar0"/>
    <w:qFormat/>
    <w:rsid w:val="00F93481"/>
    <w:pPr>
      <w:numPr>
        <w:numId w:val="4"/>
      </w:numPr>
      <w:tabs>
        <w:tab w:val="left" w:pos="851"/>
      </w:tabs>
      <w:ind w:left="1247" w:hanging="340"/>
    </w:pPr>
  </w:style>
  <w:style w:type="character" w:customStyle="1" w:styleId="ChecklistbulletpointChar">
    <w:name w:val="Checklist bulletpoint Char"/>
    <w:basedOn w:val="Standaardalinea-lettertype"/>
    <w:link w:val="Checklistbulletpoint0"/>
    <w:rsid w:val="00F93481"/>
    <w:rPr>
      <w:rFonts w:ascii="Trebuchet MS" w:hAnsi="Trebuchet MS"/>
      <w:b/>
      <w:color w:val="F04E30"/>
      <w:sz w:val="18"/>
      <w:szCs w:val="18"/>
    </w:rPr>
  </w:style>
  <w:style w:type="paragraph" w:customStyle="1" w:styleId="Frontpagetitle">
    <w:name w:val="Frontpage title"/>
    <w:basedOn w:val="Standaard"/>
    <w:link w:val="FrontpagetitleChar"/>
    <w:qFormat/>
    <w:rsid w:val="003367E5"/>
    <w:pPr>
      <w:ind w:left="0"/>
      <w:jc w:val="center"/>
    </w:pPr>
    <w:rPr>
      <w:color w:val="FFFFFF" w:themeColor="background1"/>
      <w:sz w:val="80"/>
      <w:szCs w:val="80"/>
    </w:rPr>
  </w:style>
  <w:style w:type="character" w:customStyle="1" w:styleId="ChecklistBulletpointChar0">
    <w:name w:val="Checklist Bulletpoint Char"/>
    <w:basedOn w:val="Standaardalinea-lettertype"/>
    <w:link w:val="ChecklistBulletpoint"/>
    <w:rsid w:val="00F93481"/>
    <w:rPr>
      <w:rFonts w:ascii="Trebuchet MS" w:hAnsi="Trebuchet MS"/>
      <w:sz w:val="18"/>
    </w:rPr>
  </w:style>
  <w:style w:type="paragraph" w:customStyle="1" w:styleId="2ndlevelbulletpoint">
    <w:name w:val="2nd level bulletpoint"/>
    <w:basedOn w:val="Lijstalinea"/>
    <w:next w:val="3rdlevelbulletpoint"/>
    <w:link w:val="2ndlevelbulletpointChar"/>
    <w:rsid w:val="00F8775C"/>
    <w:pPr>
      <w:numPr>
        <w:ilvl w:val="1"/>
      </w:numPr>
      <w:ind w:left="1661" w:hanging="357"/>
    </w:pPr>
  </w:style>
  <w:style w:type="character" w:customStyle="1" w:styleId="FrontpagetitleChar">
    <w:name w:val="Frontpage title Char"/>
    <w:basedOn w:val="Standaardalinea-lettertype"/>
    <w:link w:val="Frontpagetitle"/>
    <w:rsid w:val="003367E5"/>
    <w:rPr>
      <w:rFonts w:ascii="Trebuchet MS" w:hAnsi="Trebuchet MS"/>
      <w:color w:val="FFFFFF" w:themeColor="background1"/>
      <w:sz w:val="80"/>
      <w:szCs w:val="80"/>
    </w:rPr>
  </w:style>
  <w:style w:type="paragraph" w:customStyle="1" w:styleId="3rdlevelbulletpoint">
    <w:name w:val="3rd level bulletpoint"/>
    <w:basedOn w:val="2ndlevelbulletpoint"/>
    <w:link w:val="3rdlevelbulletpointChar"/>
    <w:rsid w:val="005D19A4"/>
    <w:pPr>
      <w:numPr>
        <w:ilvl w:val="2"/>
      </w:numPr>
      <w:ind w:left="2001" w:hanging="357"/>
    </w:pPr>
  </w:style>
  <w:style w:type="character" w:customStyle="1" w:styleId="2ndlevelbulletpointChar">
    <w:name w:val="2nd level bulletpoint Char"/>
    <w:basedOn w:val="LijstalineaChar"/>
    <w:link w:val="2ndlevelbulletpoint"/>
    <w:rsid w:val="00F8775C"/>
    <w:rPr>
      <w:rFonts w:ascii="Trebuchet MS" w:hAnsi="Trebuchet MS"/>
      <w:sz w:val="18"/>
      <w:lang w:val="en-GB"/>
    </w:rPr>
  </w:style>
  <w:style w:type="paragraph" w:customStyle="1" w:styleId="Bulletpoint">
    <w:name w:val="Bulletpoint"/>
    <w:basedOn w:val="2ndlevelbulletpoint"/>
    <w:next w:val="2ndlevelbulletpoint"/>
    <w:link w:val="BulletpointChar"/>
    <w:qFormat/>
    <w:rsid w:val="003367E5"/>
    <w:pPr>
      <w:numPr>
        <w:ilvl w:val="0"/>
      </w:numPr>
    </w:pPr>
  </w:style>
  <w:style w:type="character" w:customStyle="1" w:styleId="3rdlevelbulletpointChar">
    <w:name w:val="3rd level bulletpoint Char"/>
    <w:basedOn w:val="2ndlevelbulletpointChar"/>
    <w:link w:val="3rdlevelbulletpoint"/>
    <w:rsid w:val="005D19A4"/>
    <w:rPr>
      <w:rFonts w:ascii="Trebuchet MS" w:hAnsi="Trebuchet MS"/>
      <w:sz w:val="18"/>
      <w:lang w:val="en-GB"/>
    </w:rPr>
  </w:style>
  <w:style w:type="paragraph" w:customStyle="1" w:styleId="Tabletext">
    <w:name w:val="Table text"/>
    <w:basedOn w:val="Standaard"/>
    <w:link w:val="TabletextChar"/>
    <w:qFormat/>
    <w:rsid w:val="00EA353A"/>
    <w:pPr>
      <w:ind w:left="0"/>
    </w:pPr>
    <w:rPr>
      <w:rFonts w:eastAsia="Calibri" w:cs="Times New Roman"/>
      <w:bCs/>
      <w:sz w:val="16"/>
      <w:szCs w:val="16"/>
      <w:lang w:val="en-GB"/>
    </w:rPr>
  </w:style>
  <w:style w:type="character" w:customStyle="1" w:styleId="BulletpointChar">
    <w:name w:val="Bulletpoint Char"/>
    <w:basedOn w:val="3rdlevelbulletpointChar"/>
    <w:link w:val="Bulletpoint"/>
    <w:rsid w:val="005D19A4"/>
    <w:rPr>
      <w:rFonts w:ascii="Trebuchet MS" w:hAnsi="Trebuchet MS"/>
      <w:sz w:val="18"/>
      <w:lang w:val="en-GB"/>
    </w:rPr>
  </w:style>
  <w:style w:type="table" w:customStyle="1" w:styleId="SummaryofTask">
    <w:name w:val="Summary of Task"/>
    <w:basedOn w:val="Standaardtabel"/>
    <w:uiPriority w:val="99"/>
    <w:rsid w:val="00855511"/>
    <w:pPr>
      <w:spacing w:after="0" w:line="240" w:lineRule="auto"/>
    </w:pPr>
    <w:rPr>
      <w:rFonts w:ascii="Trebuchet MS" w:hAnsi="Trebuchet MS"/>
      <w:sz w:val="16"/>
    </w:rPr>
    <w:tblPr>
      <w:tblInd w:w="567" w:type="dxa"/>
      <w:tblBorders>
        <w:top w:val="single" w:sz="4" w:space="0" w:color="FFE3A5" w:themeColor="accent4"/>
        <w:left w:val="single" w:sz="4" w:space="0" w:color="FFE3A5" w:themeColor="accent4"/>
        <w:bottom w:val="single" w:sz="4" w:space="0" w:color="FFE3A5" w:themeColor="accent4"/>
        <w:right w:val="single" w:sz="4" w:space="0" w:color="FFE3A5" w:themeColor="accent4"/>
        <w:insideH w:val="single" w:sz="4" w:space="0" w:color="FFE3A5" w:themeColor="accent4"/>
        <w:insideV w:val="single" w:sz="4" w:space="0" w:color="FFE3A5" w:themeColor="accent4"/>
      </w:tblBorders>
      <w:tblCellMar>
        <w:left w:w="0" w:type="dxa"/>
        <w:right w:w="0" w:type="dxa"/>
      </w:tblCellMar>
    </w:tblPr>
    <w:tblStylePr w:type="firstCol">
      <w:pPr>
        <w:wordWrap/>
        <w:ind w:leftChars="0" w:left="113"/>
      </w:pPr>
      <w:rPr>
        <w:rFonts w:ascii="Trebuchet MS" w:hAnsi="Trebuchet MS"/>
        <w:b/>
        <w:sz w:val="16"/>
      </w:rPr>
      <w:tblPr/>
      <w:tcPr>
        <w:shd w:val="clear" w:color="auto" w:fill="FFE3A5" w:themeFill="accent4"/>
      </w:tcPr>
    </w:tblStylePr>
    <w:tblStylePr w:type="lastCol">
      <w:pPr>
        <w:jc w:val="left"/>
      </w:pPr>
      <w:rPr>
        <w:rFonts w:ascii="Trebuchet MS" w:hAnsi="Trebuchet MS"/>
        <w:sz w:val="16"/>
      </w:rPr>
      <w:tblPr/>
      <w:tcPr>
        <w:vAlign w:val="center"/>
      </w:tcPr>
    </w:tblStylePr>
  </w:style>
  <w:style w:type="character" w:customStyle="1" w:styleId="TabletextChar">
    <w:name w:val="Table text Char"/>
    <w:basedOn w:val="Standaardalinea-lettertype"/>
    <w:link w:val="Tabletext"/>
    <w:rsid w:val="00EA353A"/>
    <w:rPr>
      <w:rFonts w:ascii="Trebuchet MS" w:eastAsia="Calibri" w:hAnsi="Trebuchet MS" w:cs="Times New Roman"/>
      <w:bCs/>
      <w:sz w:val="16"/>
      <w:szCs w:val="16"/>
      <w:lang w:val="en-GB"/>
    </w:rPr>
  </w:style>
  <w:style w:type="character" w:customStyle="1" w:styleId="OrangetabletextChar">
    <w:name w:val="Orange table text Char"/>
    <w:basedOn w:val="Standaardalinea-lettertype"/>
    <w:link w:val="Orangetabletext"/>
    <w:rsid w:val="00204ED4"/>
    <w:rPr>
      <w:rFonts w:ascii="Trebuchet MS" w:hAnsi="Trebuchet MS"/>
      <w:b/>
      <w:bCs/>
      <w:color w:val="FFFFFF"/>
      <w:sz w:val="16"/>
      <w:szCs w:val="14"/>
      <w:lang w:eastAsia="nl-NL"/>
    </w:rPr>
  </w:style>
  <w:style w:type="paragraph" w:styleId="Eindnoottekst">
    <w:name w:val="endnote text"/>
    <w:basedOn w:val="Standaard"/>
    <w:link w:val="EindnoottekstChar"/>
    <w:uiPriority w:val="99"/>
    <w:semiHidden/>
    <w:unhideWhenUsed/>
    <w:rsid w:val="000A5D13"/>
    <w:pPr>
      <w:spacing w:line="240" w:lineRule="auto"/>
    </w:pPr>
    <w:rPr>
      <w:sz w:val="20"/>
      <w:szCs w:val="20"/>
    </w:rPr>
  </w:style>
  <w:style w:type="character" w:customStyle="1" w:styleId="EindnoottekstChar">
    <w:name w:val="Eindnoottekst Char"/>
    <w:basedOn w:val="Standaardalinea-lettertype"/>
    <w:link w:val="Eindnoottekst"/>
    <w:uiPriority w:val="99"/>
    <w:semiHidden/>
    <w:rsid w:val="000A5D13"/>
    <w:rPr>
      <w:rFonts w:ascii="Trebuchet MS" w:hAnsi="Trebuchet MS"/>
      <w:sz w:val="20"/>
      <w:szCs w:val="20"/>
    </w:rPr>
  </w:style>
  <w:style w:type="character" w:styleId="Eindnootmarkering">
    <w:name w:val="endnote reference"/>
    <w:basedOn w:val="Standaardalinea-lettertype"/>
    <w:uiPriority w:val="99"/>
    <w:semiHidden/>
    <w:unhideWhenUsed/>
    <w:rsid w:val="000A5D13"/>
    <w:rPr>
      <w:vertAlign w:val="superscript"/>
    </w:rPr>
  </w:style>
  <w:style w:type="paragraph" w:customStyle="1" w:styleId="pf0">
    <w:name w:val="pf0"/>
    <w:basedOn w:val="Standaard"/>
    <w:rsid w:val="00C46487"/>
    <w:pPr>
      <w:spacing w:before="100" w:beforeAutospacing="1" w:after="100" w:afterAutospacing="1" w:line="240" w:lineRule="auto"/>
      <w:ind w:left="0"/>
    </w:pPr>
    <w:rPr>
      <w:rFonts w:ascii="Times New Roman" w:eastAsia="Times New Roman" w:hAnsi="Times New Roman" w:cs="Times New Roman"/>
      <w:sz w:val="24"/>
      <w:szCs w:val="24"/>
      <w:lang w:eastAsia="nl-BE"/>
    </w:rPr>
  </w:style>
  <w:style w:type="character" w:customStyle="1" w:styleId="cf01">
    <w:name w:val="cf01"/>
    <w:basedOn w:val="Standaardalinea-lettertype"/>
    <w:rsid w:val="00C46487"/>
    <w:rPr>
      <w:rFonts w:ascii="Segoe UI" w:hAnsi="Segoe UI" w:cs="Segoe UI" w:hint="default"/>
      <w:sz w:val="18"/>
      <w:szCs w:val="18"/>
    </w:rPr>
  </w:style>
  <w:style w:type="character" w:styleId="Vermelding">
    <w:name w:val="Mention"/>
    <w:basedOn w:val="Standaardalinea-lettertype"/>
    <w:uiPriority w:val="99"/>
    <w:unhideWhenUsed/>
    <w:rsid w:val="00694B0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0559">
      <w:bodyDiv w:val="1"/>
      <w:marLeft w:val="0"/>
      <w:marRight w:val="0"/>
      <w:marTop w:val="0"/>
      <w:marBottom w:val="0"/>
      <w:divBdr>
        <w:top w:val="none" w:sz="0" w:space="0" w:color="auto"/>
        <w:left w:val="none" w:sz="0" w:space="0" w:color="auto"/>
        <w:bottom w:val="none" w:sz="0" w:space="0" w:color="auto"/>
        <w:right w:val="none" w:sz="0" w:space="0" w:color="auto"/>
      </w:divBdr>
    </w:div>
    <w:div w:id="59906430">
      <w:bodyDiv w:val="1"/>
      <w:marLeft w:val="0"/>
      <w:marRight w:val="0"/>
      <w:marTop w:val="0"/>
      <w:marBottom w:val="0"/>
      <w:divBdr>
        <w:top w:val="none" w:sz="0" w:space="0" w:color="auto"/>
        <w:left w:val="none" w:sz="0" w:space="0" w:color="auto"/>
        <w:bottom w:val="none" w:sz="0" w:space="0" w:color="auto"/>
        <w:right w:val="none" w:sz="0" w:space="0" w:color="auto"/>
      </w:divBdr>
      <w:divsChild>
        <w:div w:id="1611665459">
          <w:marLeft w:val="0"/>
          <w:marRight w:val="0"/>
          <w:marTop w:val="0"/>
          <w:marBottom w:val="0"/>
          <w:divBdr>
            <w:top w:val="none" w:sz="0" w:space="0" w:color="auto"/>
            <w:left w:val="none" w:sz="0" w:space="0" w:color="auto"/>
            <w:bottom w:val="none" w:sz="0" w:space="0" w:color="auto"/>
            <w:right w:val="none" w:sz="0" w:space="0" w:color="auto"/>
          </w:divBdr>
          <w:divsChild>
            <w:div w:id="2123450375">
              <w:marLeft w:val="0"/>
              <w:marRight w:val="0"/>
              <w:marTop w:val="0"/>
              <w:marBottom w:val="0"/>
              <w:divBdr>
                <w:top w:val="none" w:sz="0" w:space="0" w:color="auto"/>
                <w:left w:val="none" w:sz="0" w:space="0" w:color="auto"/>
                <w:bottom w:val="none" w:sz="0" w:space="0" w:color="auto"/>
                <w:right w:val="none" w:sz="0" w:space="0" w:color="auto"/>
              </w:divBdr>
              <w:divsChild>
                <w:div w:id="161023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52626">
      <w:bodyDiv w:val="1"/>
      <w:marLeft w:val="0"/>
      <w:marRight w:val="0"/>
      <w:marTop w:val="0"/>
      <w:marBottom w:val="0"/>
      <w:divBdr>
        <w:top w:val="none" w:sz="0" w:space="0" w:color="auto"/>
        <w:left w:val="none" w:sz="0" w:space="0" w:color="auto"/>
        <w:bottom w:val="none" w:sz="0" w:space="0" w:color="auto"/>
        <w:right w:val="none" w:sz="0" w:space="0" w:color="auto"/>
      </w:divBdr>
    </w:div>
    <w:div w:id="91823460">
      <w:bodyDiv w:val="1"/>
      <w:marLeft w:val="0"/>
      <w:marRight w:val="0"/>
      <w:marTop w:val="0"/>
      <w:marBottom w:val="0"/>
      <w:divBdr>
        <w:top w:val="none" w:sz="0" w:space="0" w:color="auto"/>
        <w:left w:val="none" w:sz="0" w:space="0" w:color="auto"/>
        <w:bottom w:val="none" w:sz="0" w:space="0" w:color="auto"/>
        <w:right w:val="none" w:sz="0" w:space="0" w:color="auto"/>
      </w:divBdr>
    </w:div>
    <w:div w:id="130369586">
      <w:bodyDiv w:val="1"/>
      <w:marLeft w:val="0"/>
      <w:marRight w:val="0"/>
      <w:marTop w:val="0"/>
      <w:marBottom w:val="0"/>
      <w:divBdr>
        <w:top w:val="none" w:sz="0" w:space="0" w:color="auto"/>
        <w:left w:val="none" w:sz="0" w:space="0" w:color="auto"/>
        <w:bottom w:val="none" w:sz="0" w:space="0" w:color="auto"/>
        <w:right w:val="none" w:sz="0" w:space="0" w:color="auto"/>
      </w:divBdr>
    </w:div>
    <w:div w:id="162477941">
      <w:bodyDiv w:val="1"/>
      <w:marLeft w:val="0"/>
      <w:marRight w:val="0"/>
      <w:marTop w:val="0"/>
      <w:marBottom w:val="0"/>
      <w:divBdr>
        <w:top w:val="none" w:sz="0" w:space="0" w:color="auto"/>
        <w:left w:val="none" w:sz="0" w:space="0" w:color="auto"/>
        <w:bottom w:val="none" w:sz="0" w:space="0" w:color="auto"/>
        <w:right w:val="none" w:sz="0" w:space="0" w:color="auto"/>
      </w:divBdr>
    </w:div>
    <w:div w:id="178273811">
      <w:bodyDiv w:val="1"/>
      <w:marLeft w:val="0"/>
      <w:marRight w:val="0"/>
      <w:marTop w:val="0"/>
      <w:marBottom w:val="0"/>
      <w:divBdr>
        <w:top w:val="none" w:sz="0" w:space="0" w:color="auto"/>
        <w:left w:val="none" w:sz="0" w:space="0" w:color="auto"/>
        <w:bottom w:val="none" w:sz="0" w:space="0" w:color="auto"/>
        <w:right w:val="none" w:sz="0" w:space="0" w:color="auto"/>
      </w:divBdr>
    </w:div>
    <w:div w:id="190188958">
      <w:bodyDiv w:val="1"/>
      <w:marLeft w:val="0"/>
      <w:marRight w:val="0"/>
      <w:marTop w:val="0"/>
      <w:marBottom w:val="0"/>
      <w:divBdr>
        <w:top w:val="none" w:sz="0" w:space="0" w:color="auto"/>
        <w:left w:val="none" w:sz="0" w:space="0" w:color="auto"/>
        <w:bottom w:val="none" w:sz="0" w:space="0" w:color="auto"/>
        <w:right w:val="none" w:sz="0" w:space="0" w:color="auto"/>
      </w:divBdr>
    </w:div>
    <w:div w:id="240679637">
      <w:bodyDiv w:val="1"/>
      <w:marLeft w:val="0"/>
      <w:marRight w:val="0"/>
      <w:marTop w:val="0"/>
      <w:marBottom w:val="0"/>
      <w:divBdr>
        <w:top w:val="none" w:sz="0" w:space="0" w:color="auto"/>
        <w:left w:val="none" w:sz="0" w:space="0" w:color="auto"/>
        <w:bottom w:val="none" w:sz="0" w:space="0" w:color="auto"/>
        <w:right w:val="none" w:sz="0" w:space="0" w:color="auto"/>
      </w:divBdr>
    </w:div>
    <w:div w:id="241111751">
      <w:bodyDiv w:val="1"/>
      <w:marLeft w:val="0"/>
      <w:marRight w:val="0"/>
      <w:marTop w:val="0"/>
      <w:marBottom w:val="0"/>
      <w:divBdr>
        <w:top w:val="none" w:sz="0" w:space="0" w:color="auto"/>
        <w:left w:val="none" w:sz="0" w:space="0" w:color="auto"/>
        <w:bottom w:val="none" w:sz="0" w:space="0" w:color="auto"/>
        <w:right w:val="none" w:sz="0" w:space="0" w:color="auto"/>
      </w:divBdr>
    </w:div>
    <w:div w:id="251548699">
      <w:bodyDiv w:val="1"/>
      <w:marLeft w:val="0"/>
      <w:marRight w:val="0"/>
      <w:marTop w:val="0"/>
      <w:marBottom w:val="0"/>
      <w:divBdr>
        <w:top w:val="none" w:sz="0" w:space="0" w:color="auto"/>
        <w:left w:val="none" w:sz="0" w:space="0" w:color="auto"/>
        <w:bottom w:val="none" w:sz="0" w:space="0" w:color="auto"/>
        <w:right w:val="none" w:sz="0" w:space="0" w:color="auto"/>
      </w:divBdr>
    </w:div>
    <w:div w:id="335348745">
      <w:bodyDiv w:val="1"/>
      <w:marLeft w:val="0"/>
      <w:marRight w:val="0"/>
      <w:marTop w:val="0"/>
      <w:marBottom w:val="0"/>
      <w:divBdr>
        <w:top w:val="none" w:sz="0" w:space="0" w:color="auto"/>
        <w:left w:val="none" w:sz="0" w:space="0" w:color="auto"/>
        <w:bottom w:val="none" w:sz="0" w:space="0" w:color="auto"/>
        <w:right w:val="none" w:sz="0" w:space="0" w:color="auto"/>
      </w:divBdr>
    </w:div>
    <w:div w:id="380058555">
      <w:bodyDiv w:val="1"/>
      <w:marLeft w:val="0"/>
      <w:marRight w:val="0"/>
      <w:marTop w:val="0"/>
      <w:marBottom w:val="0"/>
      <w:divBdr>
        <w:top w:val="none" w:sz="0" w:space="0" w:color="auto"/>
        <w:left w:val="none" w:sz="0" w:space="0" w:color="auto"/>
        <w:bottom w:val="none" w:sz="0" w:space="0" w:color="auto"/>
        <w:right w:val="none" w:sz="0" w:space="0" w:color="auto"/>
      </w:divBdr>
    </w:div>
    <w:div w:id="451478262">
      <w:bodyDiv w:val="1"/>
      <w:marLeft w:val="0"/>
      <w:marRight w:val="0"/>
      <w:marTop w:val="0"/>
      <w:marBottom w:val="0"/>
      <w:divBdr>
        <w:top w:val="none" w:sz="0" w:space="0" w:color="auto"/>
        <w:left w:val="none" w:sz="0" w:space="0" w:color="auto"/>
        <w:bottom w:val="none" w:sz="0" w:space="0" w:color="auto"/>
        <w:right w:val="none" w:sz="0" w:space="0" w:color="auto"/>
      </w:divBdr>
    </w:div>
    <w:div w:id="456922710">
      <w:bodyDiv w:val="1"/>
      <w:marLeft w:val="0"/>
      <w:marRight w:val="0"/>
      <w:marTop w:val="0"/>
      <w:marBottom w:val="0"/>
      <w:divBdr>
        <w:top w:val="none" w:sz="0" w:space="0" w:color="auto"/>
        <w:left w:val="none" w:sz="0" w:space="0" w:color="auto"/>
        <w:bottom w:val="none" w:sz="0" w:space="0" w:color="auto"/>
        <w:right w:val="none" w:sz="0" w:space="0" w:color="auto"/>
      </w:divBdr>
    </w:div>
    <w:div w:id="517473373">
      <w:bodyDiv w:val="1"/>
      <w:marLeft w:val="0"/>
      <w:marRight w:val="0"/>
      <w:marTop w:val="0"/>
      <w:marBottom w:val="0"/>
      <w:divBdr>
        <w:top w:val="none" w:sz="0" w:space="0" w:color="auto"/>
        <w:left w:val="none" w:sz="0" w:space="0" w:color="auto"/>
        <w:bottom w:val="none" w:sz="0" w:space="0" w:color="auto"/>
        <w:right w:val="none" w:sz="0" w:space="0" w:color="auto"/>
      </w:divBdr>
      <w:divsChild>
        <w:div w:id="111367408">
          <w:marLeft w:val="0"/>
          <w:marRight w:val="0"/>
          <w:marTop w:val="0"/>
          <w:marBottom w:val="255"/>
          <w:divBdr>
            <w:top w:val="none" w:sz="0" w:space="0" w:color="auto"/>
            <w:left w:val="none" w:sz="0" w:space="0" w:color="auto"/>
            <w:bottom w:val="none" w:sz="0" w:space="0" w:color="auto"/>
            <w:right w:val="none" w:sz="0" w:space="0" w:color="auto"/>
          </w:divBdr>
          <w:divsChild>
            <w:div w:id="221257667">
              <w:marLeft w:val="0"/>
              <w:marRight w:val="0"/>
              <w:marTop w:val="0"/>
              <w:marBottom w:val="0"/>
              <w:divBdr>
                <w:top w:val="none" w:sz="0" w:space="0" w:color="auto"/>
                <w:left w:val="none" w:sz="0" w:space="0" w:color="auto"/>
                <w:bottom w:val="none" w:sz="0" w:space="0" w:color="auto"/>
                <w:right w:val="none" w:sz="0" w:space="0" w:color="auto"/>
              </w:divBdr>
              <w:divsChild>
                <w:div w:id="1418943968">
                  <w:marLeft w:val="0"/>
                  <w:marRight w:val="0"/>
                  <w:marTop w:val="0"/>
                  <w:marBottom w:val="0"/>
                  <w:divBdr>
                    <w:top w:val="none" w:sz="0" w:space="0" w:color="auto"/>
                    <w:left w:val="none" w:sz="0" w:space="0" w:color="auto"/>
                    <w:bottom w:val="none" w:sz="0" w:space="0" w:color="auto"/>
                    <w:right w:val="none" w:sz="0" w:space="0" w:color="auto"/>
                  </w:divBdr>
                  <w:divsChild>
                    <w:div w:id="1507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499167">
      <w:bodyDiv w:val="1"/>
      <w:marLeft w:val="0"/>
      <w:marRight w:val="0"/>
      <w:marTop w:val="0"/>
      <w:marBottom w:val="0"/>
      <w:divBdr>
        <w:top w:val="none" w:sz="0" w:space="0" w:color="auto"/>
        <w:left w:val="none" w:sz="0" w:space="0" w:color="auto"/>
        <w:bottom w:val="none" w:sz="0" w:space="0" w:color="auto"/>
        <w:right w:val="none" w:sz="0" w:space="0" w:color="auto"/>
      </w:divBdr>
    </w:div>
    <w:div w:id="560482837">
      <w:bodyDiv w:val="1"/>
      <w:marLeft w:val="0"/>
      <w:marRight w:val="0"/>
      <w:marTop w:val="0"/>
      <w:marBottom w:val="0"/>
      <w:divBdr>
        <w:top w:val="none" w:sz="0" w:space="0" w:color="auto"/>
        <w:left w:val="none" w:sz="0" w:space="0" w:color="auto"/>
        <w:bottom w:val="none" w:sz="0" w:space="0" w:color="auto"/>
        <w:right w:val="none" w:sz="0" w:space="0" w:color="auto"/>
      </w:divBdr>
    </w:div>
    <w:div w:id="588664137">
      <w:bodyDiv w:val="1"/>
      <w:marLeft w:val="0"/>
      <w:marRight w:val="0"/>
      <w:marTop w:val="0"/>
      <w:marBottom w:val="0"/>
      <w:divBdr>
        <w:top w:val="none" w:sz="0" w:space="0" w:color="auto"/>
        <w:left w:val="none" w:sz="0" w:space="0" w:color="auto"/>
        <w:bottom w:val="none" w:sz="0" w:space="0" w:color="auto"/>
        <w:right w:val="none" w:sz="0" w:space="0" w:color="auto"/>
      </w:divBdr>
    </w:div>
    <w:div w:id="607390163">
      <w:bodyDiv w:val="1"/>
      <w:marLeft w:val="0"/>
      <w:marRight w:val="0"/>
      <w:marTop w:val="0"/>
      <w:marBottom w:val="0"/>
      <w:divBdr>
        <w:top w:val="none" w:sz="0" w:space="0" w:color="auto"/>
        <w:left w:val="none" w:sz="0" w:space="0" w:color="auto"/>
        <w:bottom w:val="none" w:sz="0" w:space="0" w:color="auto"/>
        <w:right w:val="none" w:sz="0" w:space="0" w:color="auto"/>
      </w:divBdr>
    </w:div>
    <w:div w:id="664357061">
      <w:bodyDiv w:val="1"/>
      <w:marLeft w:val="0"/>
      <w:marRight w:val="0"/>
      <w:marTop w:val="0"/>
      <w:marBottom w:val="0"/>
      <w:divBdr>
        <w:top w:val="none" w:sz="0" w:space="0" w:color="auto"/>
        <w:left w:val="none" w:sz="0" w:space="0" w:color="auto"/>
        <w:bottom w:val="none" w:sz="0" w:space="0" w:color="auto"/>
        <w:right w:val="none" w:sz="0" w:space="0" w:color="auto"/>
      </w:divBdr>
    </w:div>
    <w:div w:id="675155093">
      <w:bodyDiv w:val="1"/>
      <w:marLeft w:val="0"/>
      <w:marRight w:val="0"/>
      <w:marTop w:val="0"/>
      <w:marBottom w:val="0"/>
      <w:divBdr>
        <w:top w:val="none" w:sz="0" w:space="0" w:color="auto"/>
        <w:left w:val="none" w:sz="0" w:space="0" w:color="auto"/>
        <w:bottom w:val="none" w:sz="0" w:space="0" w:color="auto"/>
        <w:right w:val="none" w:sz="0" w:space="0" w:color="auto"/>
      </w:divBdr>
    </w:div>
    <w:div w:id="707530236">
      <w:bodyDiv w:val="1"/>
      <w:marLeft w:val="0"/>
      <w:marRight w:val="0"/>
      <w:marTop w:val="0"/>
      <w:marBottom w:val="0"/>
      <w:divBdr>
        <w:top w:val="none" w:sz="0" w:space="0" w:color="auto"/>
        <w:left w:val="none" w:sz="0" w:space="0" w:color="auto"/>
        <w:bottom w:val="none" w:sz="0" w:space="0" w:color="auto"/>
        <w:right w:val="none" w:sz="0" w:space="0" w:color="auto"/>
      </w:divBdr>
    </w:div>
    <w:div w:id="773130605">
      <w:bodyDiv w:val="1"/>
      <w:marLeft w:val="0"/>
      <w:marRight w:val="0"/>
      <w:marTop w:val="0"/>
      <w:marBottom w:val="0"/>
      <w:divBdr>
        <w:top w:val="none" w:sz="0" w:space="0" w:color="auto"/>
        <w:left w:val="none" w:sz="0" w:space="0" w:color="auto"/>
        <w:bottom w:val="none" w:sz="0" w:space="0" w:color="auto"/>
        <w:right w:val="none" w:sz="0" w:space="0" w:color="auto"/>
      </w:divBdr>
    </w:div>
    <w:div w:id="799108975">
      <w:bodyDiv w:val="1"/>
      <w:marLeft w:val="0"/>
      <w:marRight w:val="0"/>
      <w:marTop w:val="0"/>
      <w:marBottom w:val="0"/>
      <w:divBdr>
        <w:top w:val="none" w:sz="0" w:space="0" w:color="auto"/>
        <w:left w:val="none" w:sz="0" w:space="0" w:color="auto"/>
        <w:bottom w:val="none" w:sz="0" w:space="0" w:color="auto"/>
        <w:right w:val="none" w:sz="0" w:space="0" w:color="auto"/>
      </w:divBdr>
    </w:div>
    <w:div w:id="814371116">
      <w:bodyDiv w:val="1"/>
      <w:marLeft w:val="0"/>
      <w:marRight w:val="0"/>
      <w:marTop w:val="0"/>
      <w:marBottom w:val="0"/>
      <w:divBdr>
        <w:top w:val="none" w:sz="0" w:space="0" w:color="auto"/>
        <w:left w:val="none" w:sz="0" w:space="0" w:color="auto"/>
        <w:bottom w:val="none" w:sz="0" w:space="0" w:color="auto"/>
        <w:right w:val="none" w:sz="0" w:space="0" w:color="auto"/>
      </w:divBdr>
    </w:div>
    <w:div w:id="882331500">
      <w:bodyDiv w:val="1"/>
      <w:marLeft w:val="0"/>
      <w:marRight w:val="0"/>
      <w:marTop w:val="0"/>
      <w:marBottom w:val="0"/>
      <w:divBdr>
        <w:top w:val="none" w:sz="0" w:space="0" w:color="auto"/>
        <w:left w:val="none" w:sz="0" w:space="0" w:color="auto"/>
        <w:bottom w:val="none" w:sz="0" w:space="0" w:color="auto"/>
        <w:right w:val="none" w:sz="0" w:space="0" w:color="auto"/>
      </w:divBdr>
    </w:div>
    <w:div w:id="908879636">
      <w:bodyDiv w:val="1"/>
      <w:marLeft w:val="0"/>
      <w:marRight w:val="0"/>
      <w:marTop w:val="0"/>
      <w:marBottom w:val="0"/>
      <w:divBdr>
        <w:top w:val="none" w:sz="0" w:space="0" w:color="auto"/>
        <w:left w:val="none" w:sz="0" w:space="0" w:color="auto"/>
        <w:bottom w:val="none" w:sz="0" w:space="0" w:color="auto"/>
        <w:right w:val="none" w:sz="0" w:space="0" w:color="auto"/>
      </w:divBdr>
    </w:div>
    <w:div w:id="926426589">
      <w:bodyDiv w:val="1"/>
      <w:marLeft w:val="0"/>
      <w:marRight w:val="0"/>
      <w:marTop w:val="0"/>
      <w:marBottom w:val="0"/>
      <w:divBdr>
        <w:top w:val="none" w:sz="0" w:space="0" w:color="auto"/>
        <w:left w:val="none" w:sz="0" w:space="0" w:color="auto"/>
        <w:bottom w:val="none" w:sz="0" w:space="0" w:color="auto"/>
        <w:right w:val="none" w:sz="0" w:space="0" w:color="auto"/>
      </w:divBdr>
    </w:div>
    <w:div w:id="940062936">
      <w:bodyDiv w:val="1"/>
      <w:marLeft w:val="0"/>
      <w:marRight w:val="0"/>
      <w:marTop w:val="0"/>
      <w:marBottom w:val="0"/>
      <w:divBdr>
        <w:top w:val="none" w:sz="0" w:space="0" w:color="auto"/>
        <w:left w:val="none" w:sz="0" w:space="0" w:color="auto"/>
        <w:bottom w:val="none" w:sz="0" w:space="0" w:color="auto"/>
        <w:right w:val="none" w:sz="0" w:space="0" w:color="auto"/>
      </w:divBdr>
    </w:div>
    <w:div w:id="1003781293">
      <w:bodyDiv w:val="1"/>
      <w:marLeft w:val="0"/>
      <w:marRight w:val="0"/>
      <w:marTop w:val="0"/>
      <w:marBottom w:val="0"/>
      <w:divBdr>
        <w:top w:val="none" w:sz="0" w:space="0" w:color="auto"/>
        <w:left w:val="none" w:sz="0" w:space="0" w:color="auto"/>
        <w:bottom w:val="none" w:sz="0" w:space="0" w:color="auto"/>
        <w:right w:val="none" w:sz="0" w:space="0" w:color="auto"/>
      </w:divBdr>
    </w:div>
    <w:div w:id="1044794174">
      <w:bodyDiv w:val="1"/>
      <w:marLeft w:val="0"/>
      <w:marRight w:val="0"/>
      <w:marTop w:val="0"/>
      <w:marBottom w:val="0"/>
      <w:divBdr>
        <w:top w:val="none" w:sz="0" w:space="0" w:color="auto"/>
        <w:left w:val="none" w:sz="0" w:space="0" w:color="auto"/>
        <w:bottom w:val="none" w:sz="0" w:space="0" w:color="auto"/>
        <w:right w:val="none" w:sz="0" w:space="0" w:color="auto"/>
      </w:divBdr>
    </w:div>
    <w:div w:id="1049767931">
      <w:bodyDiv w:val="1"/>
      <w:marLeft w:val="0"/>
      <w:marRight w:val="0"/>
      <w:marTop w:val="0"/>
      <w:marBottom w:val="0"/>
      <w:divBdr>
        <w:top w:val="none" w:sz="0" w:space="0" w:color="auto"/>
        <w:left w:val="none" w:sz="0" w:space="0" w:color="auto"/>
        <w:bottom w:val="none" w:sz="0" w:space="0" w:color="auto"/>
        <w:right w:val="none" w:sz="0" w:space="0" w:color="auto"/>
      </w:divBdr>
    </w:div>
    <w:div w:id="1116565232">
      <w:bodyDiv w:val="1"/>
      <w:marLeft w:val="0"/>
      <w:marRight w:val="0"/>
      <w:marTop w:val="0"/>
      <w:marBottom w:val="0"/>
      <w:divBdr>
        <w:top w:val="none" w:sz="0" w:space="0" w:color="auto"/>
        <w:left w:val="none" w:sz="0" w:space="0" w:color="auto"/>
        <w:bottom w:val="none" w:sz="0" w:space="0" w:color="auto"/>
        <w:right w:val="none" w:sz="0" w:space="0" w:color="auto"/>
      </w:divBdr>
    </w:div>
    <w:div w:id="1123691210">
      <w:bodyDiv w:val="1"/>
      <w:marLeft w:val="0"/>
      <w:marRight w:val="0"/>
      <w:marTop w:val="0"/>
      <w:marBottom w:val="0"/>
      <w:divBdr>
        <w:top w:val="none" w:sz="0" w:space="0" w:color="auto"/>
        <w:left w:val="none" w:sz="0" w:space="0" w:color="auto"/>
        <w:bottom w:val="none" w:sz="0" w:space="0" w:color="auto"/>
        <w:right w:val="none" w:sz="0" w:space="0" w:color="auto"/>
      </w:divBdr>
    </w:div>
    <w:div w:id="1131825722">
      <w:bodyDiv w:val="1"/>
      <w:marLeft w:val="0"/>
      <w:marRight w:val="0"/>
      <w:marTop w:val="0"/>
      <w:marBottom w:val="0"/>
      <w:divBdr>
        <w:top w:val="none" w:sz="0" w:space="0" w:color="auto"/>
        <w:left w:val="none" w:sz="0" w:space="0" w:color="auto"/>
        <w:bottom w:val="none" w:sz="0" w:space="0" w:color="auto"/>
        <w:right w:val="none" w:sz="0" w:space="0" w:color="auto"/>
      </w:divBdr>
    </w:div>
    <w:div w:id="1149788075">
      <w:bodyDiv w:val="1"/>
      <w:marLeft w:val="0"/>
      <w:marRight w:val="0"/>
      <w:marTop w:val="0"/>
      <w:marBottom w:val="0"/>
      <w:divBdr>
        <w:top w:val="none" w:sz="0" w:space="0" w:color="auto"/>
        <w:left w:val="none" w:sz="0" w:space="0" w:color="auto"/>
        <w:bottom w:val="none" w:sz="0" w:space="0" w:color="auto"/>
        <w:right w:val="none" w:sz="0" w:space="0" w:color="auto"/>
      </w:divBdr>
    </w:div>
    <w:div w:id="1153332451">
      <w:bodyDiv w:val="1"/>
      <w:marLeft w:val="0"/>
      <w:marRight w:val="0"/>
      <w:marTop w:val="0"/>
      <w:marBottom w:val="0"/>
      <w:divBdr>
        <w:top w:val="none" w:sz="0" w:space="0" w:color="auto"/>
        <w:left w:val="none" w:sz="0" w:space="0" w:color="auto"/>
        <w:bottom w:val="none" w:sz="0" w:space="0" w:color="auto"/>
        <w:right w:val="none" w:sz="0" w:space="0" w:color="auto"/>
      </w:divBdr>
    </w:div>
    <w:div w:id="1200049730">
      <w:bodyDiv w:val="1"/>
      <w:marLeft w:val="0"/>
      <w:marRight w:val="0"/>
      <w:marTop w:val="0"/>
      <w:marBottom w:val="0"/>
      <w:divBdr>
        <w:top w:val="none" w:sz="0" w:space="0" w:color="auto"/>
        <w:left w:val="none" w:sz="0" w:space="0" w:color="auto"/>
        <w:bottom w:val="none" w:sz="0" w:space="0" w:color="auto"/>
        <w:right w:val="none" w:sz="0" w:space="0" w:color="auto"/>
      </w:divBdr>
    </w:div>
    <w:div w:id="1217934430">
      <w:bodyDiv w:val="1"/>
      <w:marLeft w:val="0"/>
      <w:marRight w:val="0"/>
      <w:marTop w:val="0"/>
      <w:marBottom w:val="0"/>
      <w:divBdr>
        <w:top w:val="none" w:sz="0" w:space="0" w:color="auto"/>
        <w:left w:val="none" w:sz="0" w:space="0" w:color="auto"/>
        <w:bottom w:val="none" w:sz="0" w:space="0" w:color="auto"/>
        <w:right w:val="none" w:sz="0" w:space="0" w:color="auto"/>
      </w:divBdr>
    </w:div>
    <w:div w:id="1223827290">
      <w:bodyDiv w:val="1"/>
      <w:marLeft w:val="0"/>
      <w:marRight w:val="0"/>
      <w:marTop w:val="0"/>
      <w:marBottom w:val="0"/>
      <w:divBdr>
        <w:top w:val="none" w:sz="0" w:space="0" w:color="auto"/>
        <w:left w:val="none" w:sz="0" w:space="0" w:color="auto"/>
        <w:bottom w:val="none" w:sz="0" w:space="0" w:color="auto"/>
        <w:right w:val="none" w:sz="0" w:space="0" w:color="auto"/>
      </w:divBdr>
    </w:div>
    <w:div w:id="1234240477">
      <w:bodyDiv w:val="1"/>
      <w:marLeft w:val="0"/>
      <w:marRight w:val="0"/>
      <w:marTop w:val="0"/>
      <w:marBottom w:val="0"/>
      <w:divBdr>
        <w:top w:val="none" w:sz="0" w:space="0" w:color="auto"/>
        <w:left w:val="none" w:sz="0" w:space="0" w:color="auto"/>
        <w:bottom w:val="none" w:sz="0" w:space="0" w:color="auto"/>
        <w:right w:val="none" w:sz="0" w:space="0" w:color="auto"/>
      </w:divBdr>
      <w:divsChild>
        <w:div w:id="1290933665">
          <w:marLeft w:val="0"/>
          <w:marRight w:val="0"/>
          <w:marTop w:val="0"/>
          <w:marBottom w:val="0"/>
          <w:divBdr>
            <w:top w:val="none" w:sz="0" w:space="0" w:color="auto"/>
            <w:left w:val="none" w:sz="0" w:space="0" w:color="auto"/>
            <w:bottom w:val="none" w:sz="0" w:space="0" w:color="auto"/>
            <w:right w:val="none" w:sz="0" w:space="0" w:color="auto"/>
          </w:divBdr>
          <w:divsChild>
            <w:div w:id="1512797895">
              <w:marLeft w:val="0"/>
              <w:marRight w:val="0"/>
              <w:marTop w:val="0"/>
              <w:marBottom w:val="0"/>
              <w:divBdr>
                <w:top w:val="none" w:sz="0" w:space="0" w:color="auto"/>
                <w:left w:val="none" w:sz="0" w:space="0" w:color="auto"/>
                <w:bottom w:val="none" w:sz="0" w:space="0" w:color="auto"/>
                <w:right w:val="none" w:sz="0" w:space="0" w:color="auto"/>
              </w:divBdr>
              <w:divsChild>
                <w:div w:id="1934893417">
                  <w:marLeft w:val="0"/>
                  <w:marRight w:val="0"/>
                  <w:marTop w:val="0"/>
                  <w:marBottom w:val="0"/>
                  <w:divBdr>
                    <w:top w:val="none" w:sz="0" w:space="0" w:color="auto"/>
                    <w:left w:val="none" w:sz="0" w:space="0" w:color="auto"/>
                    <w:bottom w:val="none" w:sz="0" w:space="0" w:color="auto"/>
                    <w:right w:val="none" w:sz="0" w:space="0" w:color="auto"/>
                  </w:divBdr>
                  <w:divsChild>
                    <w:div w:id="1889604902">
                      <w:marLeft w:val="0"/>
                      <w:marRight w:val="0"/>
                      <w:marTop w:val="0"/>
                      <w:marBottom w:val="0"/>
                      <w:divBdr>
                        <w:top w:val="none" w:sz="0" w:space="0" w:color="auto"/>
                        <w:left w:val="none" w:sz="0" w:space="0" w:color="auto"/>
                        <w:bottom w:val="none" w:sz="0" w:space="0" w:color="auto"/>
                        <w:right w:val="none" w:sz="0" w:space="0" w:color="auto"/>
                      </w:divBdr>
                      <w:divsChild>
                        <w:div w:id="184886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981209">
      <w:bodyDiv w:val="1"/>
      <w:marLeft w:val="0"/>
      <w:marRight w:val="0"/>
      <w:marTop w:val="0"/>
      <w:marBottom w:val="0"/>
      <w:divBdr>
        <w:top w:val="none" w:sz="0" w:space="0" w:color="auto"/>
        <w:left w:val="none" w:sz="0" w:space="0" w:color="auto"/>
        <w:bottom w:val="none" w:sz="0" w:space="0" w:color="auto"/>
        <w:right w:val="none" w:sz="0" w:space="0" w:color="auto"/>
      </w:divBdr>
    </w:div>
    <w:div w:id="1423914046">
      <w:bodyDiv w:val="1"/>
      <w:marLeft w:val="0"/>
      <w:marRight w:val="0"/>
      <w:marTop w:val="0"/>
      <w:marBottom w:val="0"/>
      <w:divBdr>
        <w:top w:val="none" w:sz="0" w:space="0" w:color="auto"/>
        <w:left w:val="none" w:sz="0" w:space="0" w:color="auto"/>
        <w:bottom w:val="none" w:sz="0" w:space="0" w:color="auto"/>
        <w:right w:val="none" w:sz="0" w:space="0" w:color="auto"/>
      </w:divBdr>
    </w:div>
    <w:div w:id="1472359646">
      <w:bodyDiv w:val="1"/>
      <w:marLeft w:val="0"/>
      <w:marRight w:val="0"/>
      <w:marTop w:val="0"/>
      <w:marBottom w:val="0"/>
      <w:divBdr>
        <w:top w:val="none" w:sz="0" w:space="0" w:color="auto"/>
        <w:left w:val="none" w:sz="0" w:space="0" w:color="auto"/>
        <w:bottom w:val="none" w:sz="0" w:space="0" w:color="auto"/>
        <w:right w:val="none" w:sz="0" w:space="0" w:color="auto"/>
      </w:divBdr>
    </w:div>
    <w:div w:id="1474516691">
      <w:bodyDiv w:val="1"/>
      <w:marLeft w:val="0"/>
      <w:marRight w:val="0"/>
      <w:marTop w:val="0"/>
      <w:marBottom w:val="0"/>
      <w:divBdr>
        <w:top w:val="none" w:sz="0" w:space="0" w:color="auto"/>
        <w:left w:val="none" w:sz="0" w:space="0" w:color="auto"/>
        <w:bottom w:val="none" w:sz="0" w:space="0" w:color="auto"/>
        <w:right w:val="none" w:sz="0" w:space="0" w:color="auto"/>
      </w:divBdr>
    </w:div>
    <w:div w:id="1487362530">
      <w:bodyDiv w:val="1"/>
      <w:marLeft w:val="0"/>
      <w:marRight w:val="0"/>
      <w:marTop w:val="0"/>
      <w:marBottom w:val="0"/>
      <w:divBdr>
        <w:top w:val="none" w:sz="0" w:space="0" w:color="auto"/>
        <w:left w:val="none" w:sz="0" w:space="0" w:color="auto"/>
        <w:bottom w:val="none" w:sz="0" w:space="0" w:color="auto"/>
        <w:right w:val="none" w:sz="0" w:space="0" w:color="auto"/>
      </w:divBdr>
      <w:divsChild>
        <w:div w:id="1844471307">
          <w:marLeft w:val="0"/>
          <w:marRight w:val="0"/>
          <w:marTop w:val="0"/>
          <w:marBottom w:val="0"/>
          <w:divBdr>
            <w:top w:val="none" w:sz="0" w:space="0" w:color="auto"/>
            <w:left w:val="none" w:sz="0" w:space="0" w:color="auto"/>
            <w:bottom w:val="none" w:sz="0" w:space="0" w:color="auto"/>
            <w:right w:val="none" w:sz="0" w:space="0" w:color="auto"/>
          </w:divBdr>
          <w:divsChild>
            <w:div w:id="20383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500628">
      <w:bodyDiv w:val="1"/>
      <w:marLeft w:val="0"/>
      <w:marRight w:val="0"/>
      <w:marTop w:val="0"/>
      <w:marBottom w:val="0"/>
      <w:divBdr>
        <w:top w:val="none" w:sz="0" w:space="0" w:color="auto"/>
        <w:left w:val="none" w:sz="0" w:space="0" w:color="auto"/>
        <w:bottom w:val="none" w:sz="0" w:space="0" w:color="auto"/>
        <w:right w:val="none" w:sz="0" w:space="0" w:color="auto"/>
      </w:divBdr>
    </w:div>
    <w:div w:id="1579899165">
      <w:bodyDiv w:val="1"/>
      <w:marLeft w:val="0"/>
      <w:marRight w:val="0"/>
      <w:marTop w:val="0"/>
      <w:marBottom w:val="0"/>
      <w:divBdr>
        <w:top w:val="none" w:sz="0" w:space="0" w:color="auto"/>
        <w:left w:val="none" w:sz="0" w:space="0" w:color="auto"/>
        <w:bottom w:val="none" w:sz="0" w:space="0" w:color="auto"/>
        <w:right w:val="none" w:sz="0" w:space="0" w:color="auto"/>
      </w:divBdr>
    </w:div>
    <w:div w:id="1621954944">
      <w:bodyDiv w:val="1"/>
      <w:marLeft w:val="0"/>
      <w:marRight w:val="0"/>
      <w:marTop w:val="0"/>
      <w:marBottom w:val="0"/>
      <w:divBdr>
        <w:top w:val="none" w:sz="0" w:space="0" w:color="auto"/>
        <w:left w:val="none" w:sz="0" w:space="0" w:color="auto"/>
        <w:bottom w:val="none" w:sz="0" w:space="0" w:color="auto"/>
        <w:right w:val="none" w:sz="0" w:space="0" w:color="auto"/>
      </w:divBdr>
    </w:div>
    <w:div w:id="1632705399">
      <w:bodyDiv w:val="1"/>
      <w:marLeft w:val="0"/>
      <w:marRight w:val="0"/>
      <w:marTop w:val="0"/>
      <w:marBottom w:val="0"/>
      <w:divBdr>
        <w:top w:val="none" w:sz="0" w:space="0" w:color="auto"/>
        <w:left w:val="none" w:sz="0" w:space="0" w:color="auto"/>
        <w:bottom w:val="none" w:sz="0" w:space="0" w:color="auto"/>
        <w:right w:val="none" w:sz="0" w:space="0" w:color="auto"/>
      </w:divBdr>
    </w:div>
    <w:div w:id="1635938709">
      <w:bodyDiv w:val="1"/>
      <w:marLeft w:val="0"/>
      <w:marRight w:val="0"/>
      <w:marTop w:val="0"/>
      <w:marBottom w:val="0"/>
      <w:divBdr>
        <w:top w:val="none" w:sz="0" w:space="0" w:color="auto"/>
        <w:left w:val="none" w:sz="0" w:space="0" w:color="auto"/>
        <w:bottom w:val="none" w:sz="0" w:space="0" w:color="auto"/>
        <w:right w:val="none" w:sz="0" w:space="0" w:color="auto"/>
      </w:divBdr>
    </w:div>
    <w:div w:id="1720788322">
      <w:bodyDiv w:val="1"/>
      <w:marLeft w:val="0"/>
      <w:marRight w:val="0"/>
      <w:marTop w:val="0"/>
      <w:marBottom w:val="0"/>
      <w:divBdr>
        <w:top w:val="none" w:sz="0" w:space="0" w:color="auto"/>
        <w:left w:val="none" w:sz="0" w:space="0" w:color="auto"/>
        <w:bottom w:val="none" w:sz="0" w:space="0" w:color="auto"/>
        <w:right w:val="none" w:sz="0" w:space="0" w:color="auto"/>
      </w:divBdr>
    </w:div>
    <w:div w:id="1754005670">
      <w:bodyDiv w:val="1"/>
      <w:marLeft w:val="0"/>
      <w:marRight w:val="0"/>
      <w:marTop w:val="0"/>
      <w:marBottom w:val="0"/>
      <w:divBdr>
        <w:top w:val="none" w:sz="0" w:space="0" w:color="auto"/>
        <w:left w:val="none" w:sz="0" w:space="0" w:color="auto"/>
        <w:bottom w:val="none" w:sz="0" w:space="0" w:color="auto"/>
        <w:right w:val="none" w:sz="0" w:space="0" w:color="auto"/>
      </w:divBdr>
    </w:div>
    <w:div w:id="1830486359">
      <w:bodyDiv w:val="1"/>
      <w:marLeft w:val="0"/>
      <w:marRight w:val="0"/>
      <w:marTop w:val="0"/>
      <w:marBottom w:val="0"/>
      <w:divBdr>
        <w:top w:val="none" w:sz="0" w:space="0" w:color="auto"/>
        <w:left w:val="none" w:sz="0" w:space="0" w:color="auto"/>
        <w:bottom w:val="none" w:sz="0" w:space="0" w:color="auto"/>
        <w:right w:val="none" w:sz="0" w:space="0" w:color="auto"/>
      </w:divBdr>
    </w:div>
    <w:div w:id="1851067227">
      <w:bodyDiv w:val="1"/>
      <w:marLeft w:val="0"/>
      <w:marRight w:val="0"/>
      <w:marTop w:val="0"/>
      <w:marBottom w:val="0"/>
      <w:divBdr>
        <w:top w:val="none" w:sz="0" w:space="0" w:color="auto"/>
        <w:left w:val="none" w:sz="0" w:space="0" w:color="auto"/>
        <w:bottom w:val="none" w:sz="0" w:space="0" w:color="auto"/>
        <w:right w:val="none" w:sz="0" w:space="0" w:color="auto"/>
      </w:divBdr>
    </w:div>
    <w:div w:id="1887985402">
      <w:bodyDiv w:val="1"/>
      <w:marLeft w:val="0"/>
      <w:marRight w:val="0"/>
      <w:marTop w:val="0"/>
      <w:marBottom w:val="0"/>
      <w:divBdr>
        <w:top w:val="none" w:sz="0" w:space="0" w:color="auto"/>
        <w:left w:val="none" w:sz="0" w:space="0" w:color="auto"/>
        <w:bottom w:val="none" w:sz="0" w:space="0" w:color="auto"/>
        <w:right w:val="none" w:sz="0" w:space="0" w:color="auto"/>
      </w:divBdr>
    </w:div>
    <w:div w:id="1914268449">
      <w:bodyDiv w:val="1"/>
      <w:marLeft w:val="0"/>
      <w:marRight w:val="0"/>
      <w:marTop w:val="0"/>
      <w:marBottom w:val="0"/>
      <w:divBdr>
        <w:top w:val="none" w:sz="0" w:space="0" w:color="auto"/>
        <w:left w:val="none" w:sz="0" w:space="0" w:color="auto"/>
        <w:bottom w:val="none" w:sz="0" w:space="0" w:color="auto"/>
        <w:right w:val="none" w:sz="0" w:space="0" w:color="auto"/>
      </w:divBdr>
    </w:div>
    <w:div w:id="1956596658">
      <w:bodyDiv w:val="1"/>
      <w:marLeft w:val="0"/>
      <w:marRight w:val="0"/>
      <w:marTop w:val="0"/>
      <w:marBottom w:val="0"/>
      <w:divBdr>
        <w:top w:val="none" w:sz="0" w:space="0" w:color="auto"/>
        <w:left w:val="none" w:sz="0" w:space="0" w:color="auto"/>
        <w:bottom w:val="none" w:sz="0" w:space="0" w:color="auto"/>
        <w:right w:val="none" w:sz="0" w:space="0" w:color="auto"/>
      </w:divBdr>
    </w:div>
    <w:div w:id="1966227115">
      <w:bodyDiv w:val="1"/>
      <w:marLeft w:val="0"/>
      <w:marRight w:val="0"/>
      <w:marTop w:val="0"/>
      <w:marBottom w:val="0"/>
      <w:divBdr>
        <w:top w:val="none" w:sz="0" w:space="0" w:color="auto"/>
        <w:left w:val="none" w:sz="0" w:space="0" w:color="auto"/>
        <w:bottom w:val="none" w:sz="0" w:space="0" w:color="auto"/>
        <w:right w:val="none" w:sz="0" w:space="0" w:color="auto"/>
      </w:divBdr>
    </w:div>
    <w:div w:id="1977251176">
      <w:bodyDiv w:val="1"/>
      <w:marLeft w:val="0"/>
      <w:marRight w:val="0"/>
      <w:marTop w:val="0"/>
      <w:marBottom w:val="0"/>
      <w:divBdr>
        <w:top w:val="none" w:sz="0" w:space="0" w:color="auto"/>
        <w:left w:val="none" w:sz="0" w:space="0" w:color="auto"/>
        <w:bottom w:val="none" w:sz="0" w:space="0" w:color="auto"/>
        <w:right w:val="none" w:sz="0" w:space="0" w:color="auto"/>
      </w:divBdr>
    </w:div>
    <w:div w:id="2016878079">
      <w:bodyDiv w:val="1"/>
      <w:marLeft w:val="0"/>
      <w:marRight w:val="0"/>
      <w:marTop w:val="0"/>
      <w:marBottom w:val="0"/>
      <w:divBdr>
        <w:top w:val="none" w:sz="0" w:space="0" w:color="auto"/>
        <w:left w:val="none" w:sz="0" w:space="0" w:color="auto"/>
        <w:bottom w:val="none" w:sz="0" w:space="0" w:color="auto"/>
        <w:right w:val="none" w:sz="0" w:space="0" w:color="auto"/>
      </w:divBdr>
    </w:div>
    <w:div w:id="2025351903">
      <w:bodyDiv w:val="1"/>
      <w:marLeft w:val="0"/>
      <w:marRight w:val="0"/>
      <w:marTop w:val="0"/>
      <w:marBottom w:val="0"/>
      <w:divBdr>
        <w:top w:val="none" w:sz="0" w:space="0" w:color="auto"/>
        <w:left w:val="none" w:sz="0" w:space="0" w:color="auto"/>
        <w:bottom w:val="none" w:sz="0" w:space="0" w:color="auto"/>
        <w:right w:val="none" w:sz="0" w:space="0" w:color="auto"/>
      </w:divBdr>
    </w:div>
    <w:div w:id="206367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ec.europa.eu/regional_policy/funding/just-transition-fund/just-transition-platform_en"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8.png"/><Relationship Id="rId28" Type="http://schemas.openxmlformats.org/officeDocument/2006/relationships/hyperlink" Target="http://www.trinomics.eu"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7.png"/><Relationship Id="rId27" Type="http://schemas.openxmlformats.org/officeDocument/2006/relationships/hyperlink" Target="http://www.trinomics.eu"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footnotes.xml.rels><?xml version="1.0" encoding="UTF-8" standalone="yes"?>
<Relationships xmlns="http://schemas.openxmlformats.org/package/2006/relationships"><Relationship Id="rId13" Type="http://schemas.openxmlformats.org/officeDocument/2006/relationships/hyperlink" Target="https://www.europeanbiogas.eu/wp-content/uploads/2019/05/Companies-Catalogue-EBA-2018.pdf" TargetMode="External"/><Relationship Id="rId18" Type="http://schemas.openxmlformats.org/officeDocument/2006/relationships/hyperlink" Target="https://www.europarl.europa.eu/RegData/etudes/STUD/2020/652717/IPOL_STU(2020)652717_EN.pdf" TargetMode="External"/><Relationship Id="rId26" Type="http://schemas.openxmlformats.org/officeDocument/2006/relationships/hyperlink" Target="https://www.sciencedirect.com/science/article/pii/S2590123023002244" TargetMode="External"/><Relationship Id="rId39" Type="http://schemas.openxmlformats.org/officeDocument/2006/relationships/hyperlink" Target="https://www.sciencedirect.com/science/article/pii/S004896972201717X" TargetMode="External"/><Relationship Id="rId21" Type="http://schemas.openxmlformats.org/officeDocument/2006/relationships/hyperlink" Target="https://eur-lex.europa.eu/legal-content/EN/TXT/PDF/?uri=CELEX:52022DC0643" TargetMode="External"/><Relationship Id="rId34" Type="http://schemas.openxmlformats.org/officeDocument/2006/relationships/hyperlink" Target="https://www.bmwk.de/Redaktion/DE/Artikel/Service/Gesetzesvorhaben/entwurf-eines-gesetzes-zur-anpassung-des-energiewirtschaftsrechts-an-unionsrechtliche-vorgaben.html" TargetMode="External"/><Relationship Id="rId42" Type="http://schemas.openxmlformats.org/officeDocument/2006/relationships/hyperlink" Target="https://iea.blob.core.windows.net/assets/830fe099-5530-48f2-a7c1-11f35d510983/WorldEnergyOutlook2022.pdf" TargetMode="External"/><Relationship Id="rId47" Type="http://schemas.openxmlformats.org/officeDocument/2006/relationships/hyperlink" Target="https://www.balticenergyareas.eu/images/WP3/BEA-APP_Deliverable_33_revised.pdf" TargetMode="External"/><Relationship Id="rId50" Type="http://schemas.openxmlformats.org/officeDocument/2006/relationships/hyperlink" Target="https://energy.ec.europa.eu/system/files/2022-05/COM_2022_230_1_EN_ACT_part1_v5.pdf" TargetMode="External"/><Relationship Id="rId55" Type="http://schemas.openxmlformats.org/officeDocument/2006/relationships/hyperlink" Target="https://www.clean-hydrogen.europa.eu/get-involved/european-hydrogen-safety-panel-0_en" TargetMode="External"/><Relationship Id="rId7" Type="http://schemas.openxmlformats.org/officeDocument/2006/relationships/hyperlink" Target="https://www.imf.org/en/Publications/WEO/Issues/2023/04/11/world-economic-outlook-april-2023" TargetMode="External"/><Relationship Id="rId2" Type="http://schemas.openxmlformats.org/officeDocument/2006/relationships/hyperlink" Target="https://www.oxfordenergy.org/wpcms/wp-content/uploads/2019/02/Narratives-for-Natural-Gas-in-a-Decarbonisinf-European-Energy-Market-NG141.pdf" TargetMode="External"/><Relationship Id="rId16" Type="http://schemas.openxmlformats.org/officeDocument/2006/relationships/hyperlink" Target="https://www.mckinsey.com/~/media/mckinsey/business%20functions/sustainability/our%20insights/how%20industry%20can%20move%20toward%20a%20low%20carbon%20future/decarbonization-of-industrial-sectors-the-next-frontier.pdf" TargetMode="External"/><Relationship Id="rId29" Type="http://schemas.openxmlformats.org/officeDocument/2006/relationships/hyperlink" Target="https://www.eiu.com/n/baltic-states-ramp-up-investment-in-energy-sector/" TargetMode="External"/><Relationship Id="rId11" Type="http://schemas.openxmlformats.org/officeDocument/2006/relationships/hyperlink" Target="https://www.ecb.europa.eu/press/key/date/2022/html/ecb.sp221116~c1d5160785.en.html" TargetMode="External"/><Relationship Id="rId24" Type="http://schemas.openxmlformats.org/officeDocument/2006/relationships/hyperlink" Target="https://www.gie.eu/wp-content/uploads/filr/3517/Picturing%20the%20value%20of%20gas%20storage%20to%20the%20European%20hydrogen%20system_FINAL_140621.pdf" TargetMode="External"/><Relationship Id="rId32" Type="http://schemas.openxmlformats.org/officeDocument/2006/relationships/hyperlink" Target="https://www.ifri.org/en/publications/notes-de-lifri/guide-solve-eus-hydrogen-dilemmas" TargetMode="External"/><Relationship Id="rId37" Type="http://schemas.openxmlformats.org/officeDocument/2006/relationships/hyperlink" Target="https://www.tandfonline.com/doi/full/10.1080/10934529.2018.1459076" TargetMode="External"/><Relationship Id="rId40" Type="http://schemas.openxmlformats.org/officeDocument/2006/relationships/hyperlink" Target="https://eur-lex.europa.eu/legal-content/en/TXT/?uri=CELEX%3A32022H0627%2804%29" TargetMode="External"/><Relationship Id="rId45" Type="http://schemas.openxmlformats.org/officeDocument/2006/relationships/hyperlink" Target="https://eur-lex.europa.eu/legal-content/EN/TXT/PDF/?uri=CELEX:52022SC0230&amp;from=EN" TargetMode="External"/><Relationship Id="rId53" Type="http://schemas.openxmlformats.org/officeDocument/2006/relationships/hyperlink" Target="https://eur-lex.europa.eu/legal-content/EN/TXT/PDF/?uri=CELEX:52022DC0643" TargetMode="External"/><Relationship Id="rId58" Type="http://schemas.openxmlformats.org/officeDocument/2006/relationships/hyperlink" Target="https://www.sciencedirect.com/science/article/abs/pii/S0360319921024988" TargetMode="External"/><Relationship Id="rId5" Type="http://schemas.openxmlformats.org/officeDocument/2006/relationships/hyperlink" Target="https://www.imf.org/en/Publications/WEO/Issues/2023/04/11/world-economic-outlook-april-2023" TargetMode="External"/><Relationship Id="rId61" Type="http://schemas.openxmlformats.org/officeDocument/2006/relationships/hyperlink" Target="https://www.unido.org/sites/default/files/2015-07/11_The_importance_of_safety_standards__risk_assessment_and_operators_training_Findeisen_0.pdf" TargetMode="External"/><Relationship Id="rId19" Type="http://schemas.openxmlformats.org/officeDocument/2006/relationships/hyperlink" Target="https://taxation-customs.ec.europa.eu/carbon-border-adjustment-mechanism_en" TargetMode="External"/><Relationship Id="rId14" Type="http://schemas.openxmlformats.org/officeDocument/2006/relationships/hyperlink" Target="https://www.europarl.europa.eu/RegData/etudes/STUD/2020/652717/IPOL_STU(2020)652717_EN.pdf" TargetMode="External"/><Relationship Id="rId22" Type="http://schemas.openxmlformats.org/officeDocument/2006/relationships/hyperlink" Target="https://www.europarl.europa.eu/RegData/etudes/BRIE/2022/729302/EPRS_BRI(2022)729302_EN.pdf" TargetMode="External"/><Relationship Id="rId27" Type="http://schemas.openxmlformats.org/officeDocument/2006/relationships/hyperlink" Target="https://www.iea.org/topics/energy-security" TargetMode="External"/><Relationship Id="rId30" Type="http://schemas.openxmlformats.org/officeDocument/2006/relationships/hyperlink" Target="https://news.err.ee/1608964834/estonia-latvia-plan-joint-lng-crisis-supply-deal" TargetMode="External"/><Relationship Id="rId35" Type="http://schemas.openxmlformats.org/officeDocument/2006/relationships/hyperlink" Target="https://www.tandfonline.com/doi/full/10.1080/10934529.2018.1459076" TargetMode="External"/><Relationship Id="rId43" Type="http://schemas.openxmlformats.org/officeDocument/2006/relationships/hyperlink" Target="https://eur-lex.europa.eu/legal-content/EN/TXT/PDF/?uri=CELEX:32021D1129&amp;from=EN" TargetMode="External"/><Relationship Id="rId48" Type="http://schemas.openxmlformats.org/officeDocument/2006/relationships/hyperlink" Target="https://static.agora-energiewende.de/fileadmin/Projekte/2021/2021_11_H2_Insights/A-EW_245_H2_Insights_WEB.pdf" TargetMode="External"/><Relationship Id="rId56" Type="http://schemas.openxmlformats.org/officeDocument/2006/relationships/hyperlink" Target="https://www.slrconsulting.com/en/news-and-insights/insights/perception-or-reality-how-does-safety-concern-hydrogen-compare-other" TargetMode="External"/><Relationship Id="rId8" Type="http://schemas.openxmlformats.org/officeDocument/2006/relationships/hyperlink" Target="https://www.euro-area-statistics.org/inflation-rates?cr=eur&amp;lg=en&amp;page=0&amp;charts=ICP.M..N.000000.4.ANR+ICP.M..N.010000.4.ANR+ICP.M..N.020000.4.ANR&amp;template=1" TargetMode="External"/><Relationship Id="rId51" Type="http://schemas.openxmlformats.org/officeDocument/2006/relationships/hyperlink" Target="https://www.europarl.europa.eu/RegData/etudes/STUD/2021/697199/EPRS_STU(2021)697199_EN.pdf" TargetMode="External"/><Relationship Id="rId3" Type="http://schemas.openxmlformats.org/officeDocument/2006/relationships/hyperlink" Target="https://www.e3g.org/wp-content/uploads/03_03_20_E3G_Gas_Investment_Transition_Risk.pdf" TargetMode="External"/><Relationship Id="rId12" Type="http://schemas.openxmlformats.org/officeDocument/2006/relationships/hyperlink" Target="https://op.europa.eu/en/publication-detail/-/publication/b80d77b6-2a3b-11ec-bd8e-01aa75ed71a1/language-en" TargetMode="External"/><Relationship Id="rId17" Type="http://schemas.openxmlformats.org/officeDocument/2006/relationships/hyperlink" Target="https://op.europa.eu/en/publication-detail/-/publication/16e7f212-0dc5-11eb-bc07-01aa75ed71a1/language-en?WT_mc_id=Searchresult&amp;WT_ria_c=37085&amp;WT_ria_f=3608&amp;WT_ria_ev=search" TargetMode="External"/><Relationship Id="rId25" Type="http://schemas.openxmlformats.org/officeDocument/2006/relationships/hyperlink" Target="https://www.entsoe.eu/outlooks/eraa/2022/" TargetMode="External"/><Relationship Id="rId33" Type="http://schemas.openxmlformats.org/officeDocument/2006/relationships/hyperlink" Target="https://www.vrt.be/vrtnws/nl/2023/01/24/stemming-over-waterstofwet-wat-houdt-die-wet-precies-in/" TargetMode="External"/><Relationship Id="rId38" Type="http://schemas.openxmlformats.org/officeDocument/2006/relationships/hyperlink" Target="https://www.sciencedirect.com/science/article/abs/pii/S0016236121010322" TargetMode="External"/><Relationship Id="rId46" Type="http://schemas.openxmlformats.org/officeDocument/2006/relationships/hyperlink" Target="https://www.balticenergyareas.eu/images/achievements/wp3.1_regional_stakeholder_maps_and_ananalyses_of_decision_flows.pdf" TargetMode="External"/><Relationship Id="rId59" Type="http://schemas.openxmlformats.org/officeDocument/2006/relationships/hyperlink" Target="https://www.europarl.europa.eu/RegData/etudes/STUD/2021/697199/EPRS_STU(2021)697199_EN.pdf" TargetMode="External"/><Relationship Id="rId20" Type="http://schemas.openxmlformats.org/officeDocument/2006/relationships/hyperlink" Target="https://www.consilium.europa.eu/en/policies/energy-prices-and-security-of-supply/" TargetMode="External"/><Relationship Id="rId41" Type="http://schemas.openxmlformats.org/officeDocument/2006/relationships/hyperlink" Target="https://ec.europa.eu/eurostat/databrowser/view/ILC_MDES01__custom_1485289/default/table?lang=en" TargetMode="External"/><Relationship Id="rId54" Type="http://schemas.openxmlformats.org/officeDocument/2006/relationships/hyperlink" Target="https://www.europarl.europa.eu/doceo/document/E-9-2021-003540-ASW_EN.pdf" TargetMode="External"/><Relationship Id="rId62" Type="http://schemas.openxmlformats.org/officeDocument/2006/relationships/hyperlink" Target="https://doi.org/10.1186/s13705-021-00329-x" TargetMode="External"/><Relationship Id="rId1" Type="http://schemas.openxmlformats.org/officeDocument/2006/relationships/hyperlink" Target="https://single-market-economy.ec.europa.eu/sectors/raw-materials/areas-specific-interest/critical-raw-materials_en" TargetMode="External"/><Relationship Id="rId6" Type="http://schemas.openxmlformats.org/officeDocument/2006/relationships/hyperlink" Target="https://www.eib.org/en/stories/energy-crisis-net-zero-transition" TargetMode="External"/><Relationship Id="rId15" Type="http://schemas.openxmlformats.org/officeDocument/2006/relationships/hyperlink" Target="https://www.europarl.europa.eu/RegData/etudes/STUD/2020/652717/IPOL_STU(2020)652717_EN.pdf" TargetMode="External"/><Relationship Id="rId23" Type="http://schemas.openxmlformats.org/officeDocument/2006/relationships/hyperlink" Target="https://publications.jrc.ec.europa.eu/repository/handle/JRC130519" TargetMode="External"/><Relationship Id="rId28" Type="http://schemas.openxmlformats.org/officeDocument/2006/relationships/hyperlink" Target="https://www.europarl.europa.eu/RegData/etudes/BRIE/2018/630275/EPRS_BRI(2018)630275_EN.pdf" TargetMode="External"/><Relationship Id="rId36" Type="http://schemas.openxmlformats.org/officeDocument/2006/relationships/hyperlink" Target="https://www.europeanbiogas.eu/wp-content/uploads/2023/02/20230213_Guidehouse_EBA_Report.pdf" TargetMode="External"/><Relationship Id="rId49" Type="http://schemas.openxmlformats.org/officeDocument/2006/relationships/hyperlink" Target="https://gasforclimate2050.eu/wp-content/uploads/2021/06/EHB_Analysing-the-future-demand-supply-and-transport-of-hydrogen_June-2021.pdf" TargetMode="External"/><Relationship Id="rId57" Type="http://schemas.openxmlformats.org/officeDocument/2006/relationships/hyperlink" Target="https://www.clean-hydrogen.europa.eu/get-involved/european-hydrogen-safety-panel-0_en" TargetMode="External"/><Relationship Id="rId10" Type="http://schemas.openxmlformats.org/officeDocument/2006/relationships/hyperlink" Target="https://www.imf.org/en/Publications/WEO/Issues/2023/04/11/world-economic-outlook-april-2023" TargetMode="External"/><Relationship Id="rId31" Type="http://schemas.openxmlformats.org/officeDocument/2006/relationships/hyperlink" Target="https://www.europarl.europa.eu/legislative-train/theme-a-european-green-deal/file-revised-regulatory-framework-for-competitive-decarbonised-gas-markets-2" TargetMode="External"/><Relationship Id="rId44" Type="http://schemas.openxmlformats.org/officeDocument/2006/relationships/hyperlink" Target="https://ec.europa.eu/commission/presscorner/detail/en/fs_22_6006" TargetMode="External"/><Relationship Id="rId52" Type="http://schemas.openxmlformats.org/officeDocument/2006/relationships/hyperlink" Target="https://www.consilium.europa.eu/en/press/press-releases/2022/11/24/eu-to-speed-up-permitting-process-for-renewable-energy-projects/" TargetMode="External"/><Relationship Id="rId60" Type="http://schemas.openxmlformats.org/officeDocument/2006/relationships/hyperlink" Target="https://ec.europa.eu/info/funding-tenders/opportunities/portal/screen/opportunities/topic-details/horizon-jti-cleanh2-2022-06-01;callCode=HORIZON-JTI-CLEANH2-2022-2;freeTextSearchKeyword=;matchWholeText=true;typeCodes=0,1,2,8;statusCodes=31094501,31094502,31094503;programmePeriod=null;programCcm2Id=null;programDivisionCode=null;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4" Type="http://schemas.openxmlformats.org/officeDocument/2006/relationships/hyperlink" Target="https://www.ecb.europa.eu/pub/economic-bulletin/focus/2021/html/ecb.ebbox202107_01~f8314090a4.en.html" TargetMode="External"/><Relationship Id="rId9" Type="http://schemas.openxmlformats.org/officeDocument/2006/relationships/hyperlink" Target="https://iea.blob.core.windows.net/assets/830fe099-5530-48f2-a7c1-11f35d510983/WorldEnergyOutlook2022.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227;oGorensteinDedecc\Documents\Custom%20Office%20Templates\Trinomics.dotx" TargetMode="External"/></Relationships>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002C54"/>
      </a:dk2>
      <a:lt2>
        <a:srgbClr val="EEECE1"/>
      </a:lt2>
      <a:accent1>
        <a:srgbClr val="005962"/>
      </a:accent1>
      <a:accent2>
        <a:srgbClr val="F04E30"/>
      </a:accent2>
      <a:accent3>
        <a:srgbClr val="B2CFCD"/>
      </a:accent3>
      <a:accent4>
        <a:srgbClr val="FFE3A5"/>
      </a:accent4>
      <a:accent5>
        <a:srgbClr val="002C54"/>
      </a:accent5>
      <a:accent6>
        <a:srgbClr val="ECEBE1"/>
      </a:accent6>
      <a:hlink>
        <a:srgbClr val="005962"/>
      </a:hlink>
      <a:folHlink>
        <a:srgbClr val="F04E3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Version0 xmlns="14cfccfe-d05c-4ace-ac9c-889a36918eb7" xsi:nil="true"/>
    <Member xmlns="14cfccfe-d05c-4ace-ac9c-889a36918eb7">
      <UserInfo>
        <DisplayName/>
        <AccountId xsi:nil="true"/>
        <AccountType/>
      </UserInfo>
    </Member>
    <TaxCatchAll xmlns="25b506d0-762b-47aa-adb6-8b80fc2be8cf" xsi:nil="true"/>
    <lcf76f155ced4ddcb4097134ff3c332f xmlns="14cfccfe-d05c-4ace-ac9c-889a36918eb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7D3B914211DA4690539851AF11284A" ma:contentTypeVersion="23" ma:contentTypeDescription="Create a new document." ma:contentTypeScope="" ma:versionID="2feae5c6b6578a6501b424cf80bd1763">
  <xsd:schema xmlns:xsd="http://www.w3.org/2001/XMLSchema" xmlns:xs="http://www.w3.org/2001/XMLSchema" xmlns:p="http://schemas.microsoft.com/office/2006/metadata/properties" xmlns:ns2="25b506d0-762b-47aa-adb6-8b80fc2be8cf" xmlns:ns3="14cfccfe-d05c-4ace-ac9c-889a36918eb7" targetNamespace="http://schemas.microsoft.com/office/2006/metadata/properties" ma:root="true" ma:fieldsID="fd25caefd1d4592b2b298cb17fbed024" ns2:_="" ns3:_="">
    <xsd:import namespace="25b506d0-762b-47aa-adb6-8b80fc2be8cf"/>
    <xsd:import namespace="14cfccfe-d05c-4ace-ac9c-889a36918eb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Version0" minOccurs="0"/>
                <xsd:element ref="ns3:Version_x003a_Version" minOccurs="0"/>
                <xsd:element ref="ns3:Member"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b506d0-762b-47aa-adb6-8b80fc2be8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8" nillable="true" ma:displayName="Taxonomy Catch All Column" ma:hidden="true" ma:list="{3a94f2be-4462-4e83-94ac-4018202ecbfa}" ma:internalName="TaxCatchAll" ma:showField="CatchAllData" ma:web="25b506d0-762b-47aa-adb6-8b80fc2be8c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cfccfe-d05c-4ace-ac9c-889a36918eb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Version0" ma:index="22" nillable="true" ma:displayName="Version" ma:list="{727145e8-1f71-402e-9ff5-87f3840ee372}" ma:internalName="Version0" ma:showField="Title">
      <xsd:simpleType>
        <xsd:restriction base="dms:Lookup"/>
      </xsd:simpleType>
    </xsd:element>
    <xsd:element name="Version_x003a_Version" ma:index="23" nillable="true" ma:displayName="Version:Version" ma:list="{727145e8-1f71-402e-9ff5-87f3840ee372}" ma:internalName="Version_x003a_Version" ma:readOnly="true" ma:showField="_UIVersionString" ma:web="25b506d0-762b-47aa-adb6-8b80fc2be8cf">
      <xsd:simpleType>
        <xsd:restriction base="dms:Lookup"/>
      </xsd:simpleType>
    </xsd:element>
    <xsd:element name="Member" ma:index="24" nillable="true" ma:displayName="Member" ma:format="Dropdown" ma:list="UserInfo" ma:SharePointGroup="0" ma:internalName="Memb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3d4702b5-1689-4512-8d10-07ea0931890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5C20CC-C26F-4E9D-8C2C-C67DF85AF895}">
  <ds:schemaRefs>
    <ds:schemaRef ds:uri="http://schemas.openxmlformats.org/officeDocument/2006/bibliography"/>
  </ds:schemaRefs>
</ds:datastoreItem>
</file>

<file path=customXml/itemProps2.xml><?xml version="1.0" encoding="utf-8"?>
<ds:datastoreItem xmlns:ds="http://schemas.openxmlformats.org/officeDocument/2006/customXml" ds:itemID="{BCAE5FB1-C31F-417D-A155-86E7B903DF01}">
  <ds:schemaRefs>
    <ds:schemaRef ds:uri="http://purl.org/dc/dcmitype/"/>
    <ds:schemaRef ds:uri="25b506d0-762b-47aa-adb6-8b80fc2be8cf"/>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14cfccfe-d05c-4ace-ac9c-889a36918eb7"/>
    <ds:schemaRef ds:uri="http://www.w3.org/XML/1998/namespace"/>
  </ds:schemaRefs>
</ds:datastoreItem>
</file>

<file path=customXml/itemProps3.xml><?xml version="1.0" encoding="utf-8"?>
<ds:datastoreItem xmlns:ds="http://schemas.openxmlformats.org/officeDocument/2006/customXml" ds:itemID="{744DC293-CE40-4A3E-BDD9-843322669FA3}">
  <ds:schemaRefs>
    <ds:schemaRef ds:uri="http://schemas.microsoft.com/sharepoint/v3/contenttype/forms"/>
  </ds:schemaRefs>
</ds:datastoreItem>
</file>

<file path=customXml/itemProps4.xml><?xml version="1.0" encoding="utf-8"?>
<ds:datastoreItem xmlns:ds="http://schemas.openxmlformats.org/officeDocument/2006/customXml" ds:itemID="{5114EFAD-24DB-4188-8068-A4B26C280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b506d0-762b-47aa-adb6-8b80fc2be8cf"/>
    <ds:schemaRef ds:uri="14cfccfe-d05c-4ace-ac9c-889a36918e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Trinomics</Template>
  <TotalTime>0</TotalTime>
  <Pages>51</Pages>
  <Words>21110</Words>
  <Characters>116109</Characters>
  <Application>Microsoft Office Word</Application>
  <DocSecurity>0</DocSecurity>
  <Lines>967</Lines>
  <Paragraphs>273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136946</CharactersWithSpaces>
  <SharedDoc>false</SharedDoc>
  <HLinks>
    <vt:vector size="558" baseType="variant">
      <vt:variant>
        <vt:i4>3932264</vt:i4>
      </vt:variant>
      <vt:variant>
        <vt:i4>258</vt:i4>
      </vt:variant>
      <vt:variant>
        <vt:i4>0</vt:i4>
      </vt:variant>
      <vt:variant>
        <vt:i4>5</vt:i4>
      </vt:variant>
      <vt:variant>
        <vt:lpwstr>https://ec.europa.eu/regional_policy/funding/just-transition-fund/just-transition-platform_en</vt:lpwstr>
      </vt:variant>
      <vt:variant>
        <vt:lpwstr/>
      </vt:variant>
      <vt:variant>
        <vt:i4>1179701</vt:i4>
      </vt:variant>
      <vt:variant>
        <vt:i4>140</vt:i4>
      </vt:variant>
      <vt:variant>
        <vt:i4>0</vt:i4>
      </vt:variant>
      <vt:variant>
        <vt:i4>5</vt:i4>
      </vt:variant>
      <vt:variant>
        <vt:lpwstr/>
      </vt:variant>
      <vt:variant>
        <vt:lpwstr>_Toc138757964</vt:lpwstr>
      </vt:variant>
      <vt:variant>
        <vt:i4>1179701</vt:i4>
      </vt:variant>
      <vt:variant>
        <vt:i4>134</vt:i4>
      </vt:variant>
      <vt:variant>
        <vt:i4>0</vt:i4>
      </vt:variant>
      <vt:variant>
        <vt:i4>5</vt:i4>
      </vt:variant>
      <vt:variant>
        <vt:lpwstr/>
      </vt:variant>
      <vt:variant>
        <vt:lpwstr>_Toc138757963</vt:lpwstr>
      </vt:variant>
      <vt:variant>
        <vt:i4>1179701</vt:i4>
      </vt:variant>
      <vt:variant>
        <vt:i4>128</vt:i4>
      </vt:variant>
      <vt:variant>
        <vt:i4>0</vt:i4>
      </vt:variant>
      <vt:variant>
        <vt:i4>5</vt:i4>
      </vt:variant>
      <vt:variant>
        <vt:lpwstr/>
      </vt:variant>
      <vt:variant>
        <vt:lpwstr>_Toc138757962</vt:lpwstr>
      </vt:variant>
      <vt:variant>
        <vt:i4>1179701</vt:i4>
      </vt:variant>
      <vt:variant>
        <vt:i4>122</vt:i4>
      </vt:variant>
      <vt:variant>
        <vt:i4>0</vt:i4>
      </vt:variant>
      <vt:variant>
        <vt:i4>5</vt:i4>
      </vt:variant>
      <vt:variant>
        <vt:lpwstr/>
      </vt:variant>
      <vt:variant>
        <vt:lpwstr>_Toc138757961</vt:lpwstr>
      </vt:variant>
      <vt:variant>
        <vt:i4>1179701</vt:i4>
      </vt:variant>
      <vt:variant>
        <vt:i4>116</vt:i4>
      </vt:variant>
      <vt:variant>
        <vt:i4>0</vt:i4>
      </vt:variant>
      <vt:variant>
        <vt:i4>5</vt:i4>
      </vt:variant>
      <vt:variant>
        <vt:lpwstr/>
      </vt:variant>
      <vt:variant>
        <vt:lpwstr>_Toc138757960</vt:lpwstr>
      </vt:variant>
      <vt:variant>
        <vt:i4>1114165</vt:i4>
      </vt:variant>
      <vt:variant>
        <vt:i4>110</vt:i4>
      </vt:variant>
      <vt:variant>
        <vt:i4>0</vt:i4>
      </vt:variant>
      <vt:variant>
        <vt:i4>5</vt:i4>
      </vt:variant>
      <vt:variant>
        <vt:lpwstr/>
      </vt:variant>
      <vt:variant>
        <vt:lpwstr>_Toc138757959</vt:lpwstr>
      </vt:variant>
      <vt:variant>
        <vt:i4>1114165</vt:i4>
      </vt:variant>
      <vt:variant>
        <vt:i4>104</vt:i4>
      </vt:variant>
      <vt:variant>
        <vt:i4>0</vt:i4>
      </vt:variant>
      <vt:variant>
        <vt:i4>5</vt:i4>
      </vt:variant>
      <vt:variant>
        <vt:lpwstr/>
      </vt:variant>
      <vt:variant>
        <vt:lpwstr>_Toc138757958</vt:lpwstr>
      </vt:variant>
      <vt:variant>
        <vt:i4>1114165</vt:i4>
      </vt:variant>
      <vt:variant>
        <vt:i4>98</vt:i4>
      </vt:variant>
      <vt:variant>
        <vt:i4>0</vt:i4>
      </vt:variant>
      <vt:variant>
        <vt:i4>5</vt:i4>
      </vt:variant>
      <vt:variant>
        <vt:lpwstr/>
      </vt:variant>
      <vt:variant>
        <vt:lpwstr>_Toc138757957</vt:lpwstr>
      </vt:variant>
      <vt:variant>
        <vt:i4>1114165</vt:i4>
      </vt:variant>
      <vt:variant>
        <vt:i4>92</vt:i4>
      </vt:variant>
      <vt:variant>
        <vt:i4>0</vt:i4>
      </vt:variant>
      <vt:variant>
        <vt:i4>5</vt:i4>
      </vt:variant>
      <vt:variant>
        <vt:lpwstr/>
      </vt:variant>
      <vt:variant>
        <vt:lpwstr>_Toc138757956</vt:lpwstr>
      </vt:variant>
      <vt:variant>
        <vt:i4>1114165</vt:i4>
      </vt:variant>
      <vt:variant>
        <vt:i4>86</vt:i4>
      </vt:variant>
      <vt:variant>
        <vt:i4>0</vt:i4>
      </vt:variant>
      <vt:variant>
        <vt:i4>5</vt:i4>
      </vt:variant>
      <vt:variant>
        <vt:lpwstr/>
      </vt:variant>
      <vt:variant>
        <vt:lpwstr>_Toc138757955</vt:lpwstr>
      </vt:variant>
      <vt:variant>
        <vt:i4>1114165</vt:i4>
      </vt:variant>
      <vt:variant>
        <vt:i4>80</vt:i4>
      </vt:variant>
      <vt:variant>
        <vt:i4>0</vt:i4>
      </vt:variant>
      <vt:variant>
        <vt:i4>5</vt:i4>
      </vt:variant>
      <vt:variant>
        <vt:lpwstr/>
      </vt:variant>
      <vt:variant>
        <vt:lpwstr>_Toc138757954</vt:lpwstr>
      </vt:variant>
      <vt:variant>
        <vt:i4>1114165</vt:i4>
      </vt:variant>
      <vt:variant>
        <vt:i4>74</vt:i4>
      </vt:variant>
      <vt:variant>
        <vt:i4>0</vt:i4>
      </vt:variant>
      <vt:variant>
        <vt:i4>5</vt:i4>
      </vt:variant>
      <vt:variant>
        <vt:lpwstr/>
      </vt:variant>
      <vt:variant>
        <vt:lpwstr>_Toc138757953</vt:lpwstr>
      </vt:variant>
      <vt:variant>
        <vt:i4>1114165</vt:i4>
      </vt:variant>
      <vt:variant>
        <vt:i4>68</vt:i4>
      </vt:variant>
      <vt:variant>
        <vt:i4>0</vt:i4>
      </vt:variant>
      <vt:variant>
        <vt:i4>5</vt:i4>
      </vt:variant>
      <vt:variant>
        <vt:lpwstr/>
      </vt:variant>
      <vt:variant>
        <vt:lpwstr>_Toc138757952</vt:lpwstr>
      </vt:variant>
      <vt:variant>
        <vt:i4>1114165</vt:i4>
      </vt:variant>
      <vt:variant>
        <vt:i4>62</vt:i4>
      </vt:variant>
      <vt:variant>
        <vt:i4>0</vt:i4>
      </vt:variant>
      <vt:variant>
        <vt:i4>5</vt:i4>
      </vt:variant>
      <vt:variant>
        <vt:lpwstr/>
      </vt:variant>
      <vt:variant>
        <vt:lpwstr>_Toc138757951</vt:lpwstr>
      </vt:variant>
      <vt:variant>
        <vt:i4>1114165</vt:i4>
      </vt:variant>
      <vt:variant>
        <vt:i4>56</vt:i4>
      </vt:variant>
      <vt:variant>
        <vt:i4>0</vt:i4>
      </vt:variant>
      <vt:variant>
        <vt:i4>5</vt:i4>
      </vt:variant>
      <vt:variant>
        <vt:lpwstr/>
      </vt:variant>
      <vt:variant>
        <vt:lpwstr>_Toc138757950</vt:lpwstr>
      </vt:variant>
      <vt:variant>
        <vt:i4>1048629</vt:i4>
      </vt:variant>
      <vt:variant>
        <vt:i4>50</vt:i4>
      </vt:variant>
      <vt:variant>
        <vt:i4>0</vt:i4>
      </vt:variant>
      <vt:variant>
        <vt:i4>5</vt:i4>
      </vt:variant>
      <vt:variant>
        <vt:lpwstr/>
      </vt:variant>
      <vt:variant>
        <vt:lpwstr>_Toc138757949</vt:lpwstr>
      </vt:variant>
      <vt:variant>
        <vt:i4>1048629</vt:i4>
      </vt:variant>
      <vt:variant>
        <vt:i4>44</vt:i4>
      </vt:variant>
      <vt:variant>
        <vt:i4>0</vt:i4>
      </vt:variant>
      <vt:variant>
        <vt:i4>5</vt:i4>
      </vt:variant>
      <vt:variant>
        <vt:lpwstr/>
      </vt:variant>
      <vt:variant>
        <vt:lpwstr>_Toc138757948</vt:lpwstr>
      </vt:variant>
      <vt:variant>
        <vt:i4>1048629</vt:i4>
      </vt:variant>
      <vt:variant>
        <vt:i4>38</vt:i4>
      </vt:variant>
      <vt:variant>
        <vt:i4>0</vt:i4>
      </vt:variant>
      <vt:variant>
        <vt:i4>5</vt:i4>
      </vt:variant>
      <vt:variant>
        <vt:lpwstr/>
      </vt:variant>
      <vt:variant>
        <vt:lpwstr>_Toc138757947</vt:lpwstr>
      </vt:variant>
      <vt:variant>
        <vt:i4>1048629</vt:i4>
      </vt:variant>
      <vt:variant>
        <vt:i4>32</vt:i4>
      </vt:variant>
      <vt:variant>
        <vt:i4>0</vt:i4>
      </vt:variant>
      <vt:variant>
        <vt:i4>5</vt:i4>
      </vt:variant>
      <vt:variant>
        <vt:lpwstr/>
      </vt:variant>
      <vt:variant>
        <vt:lpwstr>_Toc138757946</vt:lpwstr>
      </vt:variant>
      <vt:variant>
        <vt:i4>1048629</vt:i4>
      </vt:variant>
      <vt:variant>
        <vt:i4>26</vt:i4>
      </vt:variant>
      <vt:variant>
        <vt:i4>0</vt:i4>
      </vt:variant>
      <vt:variant>
        <vt:i4>5</vt:i4>
      </vt:variant>
      <vt:variant>
        <vt:lpwstr/>
      </vt:variant>
      <vt:variant>
        <vt:lpwstr>_Toc138757945</vt:lpwstr>
      </vt:variant>
      <vt:variant>
        <vt:i4>1048629</vt:i4>
      </vt:variant>
      <vt:variant>
        <vt:i4>20</vt:i4>
      </vt:variant>
      <vt:variant>
        <vt:i4>0</vt:i4>
      </vt:variant>
      <vt:variant>
        <vt:i4>5</vt:i4>
      </vt:variant>
      <vt:variant>
        <vt:lpwstr/>
      </vt:variant>
      <vt:variant>
        <vt:lpwstr>_Toc138757944</vt:lpwstr>
      </vt:variant>
      <vt:variant>
        <vt:i4>1048629</vt:i4>
      </vt:variant>
      <vt:variant>
        <vt:i4>14</vt:i4>
      </vt:variant>
      <vt:variant>
        <vt:i4>0</vt:i4>
      </vt:variant>
      <vt:variant>
        <vt:i4>5</vt:i4>
      </vt:variant>
      <vt:variant>
        <vt:lpwstr/>
      </vt:variant>
      <vt:variant>
        <vt:lpwstr>_Toc138757943</vt:lpwstr>
      </vt:variant>
      <vt:variant>
        <vt:i4>1048629</vt:i4>
      </vt:variant>
      <vt:variant>
        <vt:i4>8</vt:i4>
      </vt:variant>
      <vt:variant>
        <vt:i4>0</vt:i4>
      </vt:variant>
      <vt:variant>
        <vt:i4>5</vt:i4>
      </vt:variant>
      <vt:variant>
        <vt:lpwstr/>
      </vt:variant>
      <vt:variant>
        <vt:lpwstr>_Toc138757942</vt:lpwstr>
      </vt:variant>
      <vt:variant>
        <vt:i4>1048629</vt:i4>
      </vt:variant>
      <vt:variant>
        <vt:i4>2</vt:i4>
      </vt:variant>
      <vt:variant>
        <vt:i4>0</vt:i4>
      </vt:variant>
      <vt:variant>
        <vt:i4>5</vt:i4>
      </vt:variant>
      <vt:variant>
        <vt:lpwstr/>
      </vt:variant>
      <vt:variant>
        <vt:lpwstr>_Toc138757941</vt:lpwstr>
      </vt:variant>
      <vt:variant>
        <vt:i4>7012400</vt:i4>
      </vt:variant>
      <vt:variant>
        <vt:i4>177</vt:i4>
      </vt:variant>
      <vt:variant>
        <vt:i4>0</vt:i4>
      </vt:variant>
      <vt:variant>
        <vt:i4>5</vt:i4>
      </vt:variant>
      <vt:variant>
        <vt:lpwstr>https://doi.org/10.1186/s13705-021-00329-x</vt:lpwstr>
      </vt:variant>
      <vt:variant>
        <vt:lpwstr/>
      </vt:variant>
      <vt:variant>
        <vt:i4>6553629</vt:i4>
      </vt:variant>
      <vt:variant>
        <vt:i4>174</vt:i4>
      </vt:variant>
      <vt:variant>
        <vt:i4>0</vt:i4>
      </vt:variant>
      <vt:variant>
        <vt:i4>5</vt:i4>
      </vt:variant>
      <vt:variant>
        <vt:lpwstr>https://www.unido.org/sites/default/files/2015-07/11_The_importance_of_safety_standards__risk_assessment_and_operators_training_Findeisen_0.pdf</vt:lpwstr>
      </vt:variant>
      <vt:variant>
        <vt:lpwstr/>
      </vt:variant>
      <vt:variant>
        <vt:i4>6291568</vt:i4>
      </vt:variant>
      <vt:variant>
        <vt:i4>171</vt:i4>
      </vt:variant>
      <vt:variant>
        <vt:i4>0</vt:i4>
      </vt:variant>
      <vt:variant>
        <vt:i4>5</vt:i4>
      </vt:variant>
      <vt:variant>
        <vt:lpwstr>https://ec.europa.eu/info/funding-tenders/opportunities/portal/screen/opportunities/topic-details/horizon-jti-cleanh2-2022-06-01;callCode=HORIZON-JTI-CLEANH2-2022-2;freeTextSearchKeyword=;matchWholeText=true;typeCodes=0,1,2,8;statusCodes=31094501,31094502,31094503;programmePeriod=null;programCcm2Id=null;programDivisionCode=null;focusAreaCode=null;destination=null;mission=null;geographicalZonesCode=null;programmeDivisionProspect=null;startDateLte=null;startDateGte=null;crossCuttingPriorityCode=null;cpvCode=null;performanceOfDelivery=null;sortQuery=sortStatus;orderBy=asc;onlyTenders=false;topicListKey=topicSearchTablePageState</vt:lpwstr>
      </vt:variant>
      <vt:variant>
        <vt:lpwstr/>
      </vt:variant>
      <vt:variant>
        <vt:i4>2621566</vt:i4>
      </vt:variant>
      <vt:variant>
        <vt:i4>168</vt:i4>
      </vt:variant>
      <vt:variant>
        <vt:i4>0</vt:i4>
      </vt:variant>
      <vt:variant>
        <vt:i4>5</vt:i4>
      </vt:variant>
      <vt:variant>
        <vt:lpwstr>https://www.europarl.europa.eu/RegData/etudes/STUD/2021/697199/EPRS_STU(2021)697199_EN.pdf</vt:lpwstr>
      </vt:variant>
      <vt:variant>
        <vt:lpwstr/>
      </vt:variant>
      <vt:variant>
        <vt:i4>2949228</vt:i4>
      </vt:variant>
      <vt:variant>
        <vt:i4>165</vt:i4>
      </vt:variant>
      <vt:variant>
        <vt:i4>0</vt:i4>
      </vt:variant>
      <vt:variant>
        <vt:i4>5</vt:i4>
      </vt:variant>
      <vt:variant>
        <vt:lpwstr>https://www.sciencedirect.com/science/article/abs/pii/S0360319921024988</vt:lpwstr>
      </vt:variant>
      <vt:variant>
        <vt:lpwstr/>
      </vt:variant>
      <vt:variant>
        <vt:i4>1835129</vt:i4>
      </vt:variant>
      <vt:variant>
        <vt:i4>162</vt:i4>
      </vt:variant>
      <vt:variant>
        <vt:i4>0</vt:i4>
      </vt:variant>
      <vt:variant>
        <vt:i4>5</vt:i4>
      </vt:variant>
      <vt:variant>
        <vt:lpwstr>https://www.clean-hydrogen.europa.eu/get-involved/european-hydrogen-safety-panel-0_en</vt:lpwstr>
      </vt:variant>
      <vt:variant>
        <vt:lpwstr/>
      </vt:variant>
      <vt:variant>
        <vt:i4>5505088</vt:i4>
      </vt:variant>
      <vt:variant>
        <vt:i4>159</vt:i4>
      </vt:variant>
      <vt:variant>
        <vt:i4>0</vt:i4>
      </vt:variant>
      <vt:variant>
        <vt:i4>5</vt:i4>
      </vt:variant>
      <vt:variant>
        <vt:lpwstr>https://www.slrconsulting.com/en/news-and-insights/insights/perception-or-reality-how-does-safety-concern-hydrogen-compare-other</vt:lpwstr>
      </vt:variant>
      <vt:variant>
        <vt:lpwstr/>
      </vt:variant>
      <vt:variant>
        <vt:i4>1835129</vt:i4>
      </vt:variant>
      <vt:variant>
        <vt:i4>156</vt:i4>
      </vt:variant>
      <vt:variant>
        <vt:i4>0</vt:i4>
      </vt:variant>
      <vt:variant>
        <vt:i4>5</vt:i4>
      </vt:variant>
      <vt:variant>
        <vt:lpwstr>https://www.clean-hydrogen.europa.eu/get-involved/european-hydrogen-safety-panel-0_en</vt:lpwstr>
      </vt:variant>
      <vt:variant>
        <vt:lpwstr/>
      </vt:variant>
      <vt:variant>
        <vt:i4>7274521</vt:i4>
      </vt:variant>
      <vt:variant>
        <vt:i4>153</vt:i4>
      </vt:variant>
      <vt:variant>
        <vt:i4>0</vt:i4>
      </vt:variant>
      <vt:variant>
        <vt:i4>5</vt:i4>
      </vt:variant>
      <vt:variant>
        <vt:lpwstr>https://www.europarl.europa.eu/doceo/document/E-9-2021-003540-ASW_EN.pdf</vt:lpwstr>
      </vt:variant>
      <vt:variant>
        <vt:lpwstr/>
      </vt:variant>
      <vt:variant>
        <vt:i4>1179739</vt:i4>
      </vt:variant>
      <vt:variant>
        <vt:i4>150</vt:i4>
      </vt:variant>
      <vt:variant>
        <vt:i4>0</vt:i4>
      </vt:variant>
      <vt:variant>
        <vt:i4>5</vt:i4>
      </vt:variant>
      <vt:variant>
        <vt:lpwstr>https://eur-lex.europa.eu/legal-content/EN/TXT/PDF/?uri=CELEX:52022DC0643</vt:lpwstr>
      </vt:variant>
      <vt:variant>
        <vt:lpwstr/>
      </vt:variant>
      <vt:variant>
        <vt:i4>7143465</vt:i4>
      </vt:variant>
      <vt:variant>
        <vt:i4>147</vt:i4>
      </vt:variant>
      <vt:variant>
        <vt:i4>0</vt:i4>
      </vt:variant>
      <vt:variant>
        <vt:i4>5</vt:i4>
      </vt:variant>
      <vt:variant>
        <vt:lpwstr>https://www.consilium.europa.eu/en/press/press-releases/2022/11/24/eu-to-speed-up-permitting-process-for-renewable-energy-projects/</vt:lpwstr>
      </vt:variant>
      <vt:variant>
        <vt:lpwstr/>
      </vt:variant>
      <vt:variant>
        <vt:i4>2621566</vt:i4>
      </vt:variant>
      <vt:variant>
        <vt:i4>144</vt:i4>
      </vt:variant>
      <vt:variant>
        <vt:i4>0</vt:i4>
      </vt:variant>
      <vt:variant>
        <vt:i4>5</vt:i4>
      </vt:variant>
      <vt:variant>
        <vt:lpwstr>https://www.europarl.europa.eu/RegData/etudes/STUD/2021/697199/EPRS_STU(2021)697199_EN.pdf</vt:lpwstr>
      </vt:variant>
      <vt:variant>
        <vt:lpwstr/>
      </vt:variant>
      <vt:variant>
        <vt:i4>1638442</vt:i4>
      </vt:variant>
      <vt:variant>
        <vt:i4>141</vt:i4>
      </vt:variant>
      <vt:variant>
        <vt:i4>0</vt:i4>
      </vt:variant>
      <vt:variant>
        <vt:i4>5</vt:i4>
      </vt:variant>
      <vt:variant>
        <vt:lpwstr>https://energy.ec.europa.eu/system/files/2022-05/COM_2022_230_1_EN_ACT_part1_v5.pdf</vt:lpwstr>
      </vt:variant>
      <vt:variant>
        <vt:lpwstr/>
      </vt:variant>
      <vt:variant>
        <vt:i4>1179674</vt:i4>
      </vt:variant>
      <vt:variant>
        <vt:i4>138</vt:i4>
      </vt:variant>
      <vt:variant>
        <vt:i4>0</vt:i4>
      </vt:variant>
      <vt:variant>
        <vt:i4>5</vt:i4>
      </vt:variant>
      <vt:variant>
        <vt:lpwstr>https://gasforclimate2050.eu/wp-content/uploads/2021/06/EHB_Analysing-the-future-demand-supply-and-transport-of-hydrogen_June-2021.pdf</vt:lpwstr>
      </vt:variant>
      <vt:variant>
        <vt:lpwstr/>
      </vt:variant>
      <vt:variant>
        <vt:i4>2293776</vt:i4>
      </vt:variant>
      <vt:variant>
        <vt:i4>135</vt:i4>
      </vt:variant>
      <vt:variant>
        <vt:i4>0</vt:i4>
      </vt:variant>
      <vt:variant>
        <vt:i4>5</vt:i4>
      </vt:variant>
      <vt:variant>
        <vt:lpwstr>https://static.agora-energiewende.de/fileadmin/Projekte/2021/2021_11_H2_Insights/A-EW_245_H2_Insights_WEB.pdf</vt:lpwstr>
      </vt:variant>
      <vt:variant>
        <vt:lpwstr/>
      </vt:variant>
      <vt:variant>
        <vt:i4>6553622</vt:i4>
      </vt:variant>
      <vt:variant>
        <vt:i4>132</vt:i4>
      </vt:variant>
      <vt:variant>
        <vt:i4>0</vt:i4>
      </vt:variant>
      <vt:variant>
        <vt:i4>5</vt:i4>
      </vt:variant>
      <vt:variant>
        <vt:lpwstr>https://www.balticenergyareas.eu/images/WP3/BEA-APP_Deliverable_33_revised.pdf</vt:lpwstr>
      </vt:variant>
      <vt:variant>
        <vt:lpwstr/>
      </vt:variant>
      <vt:variant>
        <vt:i4>720924</vt:i4>
      </vt:variant>
      <vt:variant>
        <vt:i4>129</vt:i4>
      </vt:variant>
      <vt:variant>
        <vt:i4>0</vt:i4>
      </vt:variant>
      <vt:variant>
        <vt:i4>5</vt:i4>
      </vt:variant>
      <vt:variant>
        <vt:lpwstr>https://www.balticenergyareas.eu/images/achievements/wp3.1_regional_stakeholder_maps_and_ananalyses_of_decision_flows.pdf</vt:lpwstr>
      </vt:variant>
      <vt:variant>
        <vt:lpwstr/>
      </vt:variant>
      <vt:variant>
        <vt:i4>6160475</vt:i4>
      </vt:variant>
      <vt:variant>
        <vt:i4>126</vt:i4>
      </vt:variant>
      <vt:variant>
        <vt:i4>0</vt:i4>
      </vt:variant>
      <vt:variant>
        <vt:i4>5</vt:i4>
      </vt:variant>
      <vt:variant>
        <vt:lpwstr>https://eur-lex.europa.eu/legal-content/EN/TXT/PDF/?uri=CELEX:52022SC0230&amp;from=EN</vt:lpwstr>
      </vt:variant>
      <vt:variant>
        <vt:lpwstr/>
      </vt:variant>
      <vt:variant>
        <vt:i4>7995500</vt:i4>
      </vt:variant>
      <vt:variant>
        <vt:i4>123</vt:i4>
      </vt:variant>
      <vt:variant>
        <vt:i4>0</vt:i4>
      </vt:variant>
      <vt:variant>
        <vt:i4>5</vt:i4>
      </vt:variant>
      <vt:variant>
        <vt:lpwstr>https://ec.europa.eu/commission/presscorner/detail/en/fs_22_6006</vt:lpwstr>
      </vt:variant>
      <vt:variant>
        <vt:lpwstr/>
      </vt:variant>
      <vt:variant>
        <vt:i4>4456532</vt:i4>
      </vt:variant>
      <vt:variant>
        <vt:i4>120</vt:i4>
      </vt:variant>
      <vt:variant>
        <vt:i4>0</vt:i4>
      </vt:variant>
      <vt:variant>
        <vt:i4>5</vt:i4>
      </vt:variant>
      <vt:variant>
        <vt:lpwstr>https://eur-lex.europa.eu/legal-content/EN/TXT/PDF/?uri=CELEX:32021D1129&amp;from=EN</vt:lpwstr>
      </vt:variant>
      <vt:variant>
        <vt:lpwstr/>
      </vt:variant>
      <vt:variant>
        <vt:i4>655360</vt:i4>
      </vt:variant>
      <vt:variant>
        <vt:i4>117</vt:i4>
      </vt:variant>
      <vt:variant>
        <vt:i4>0</vt:i4>
      </vt:variant>
      <vt:variant>
        <vt:i4>5</vt:i4>
      </vt:variant>
      <vt:variant>
        <vt:lpwstr>https://iea.blob.core.windows.net/assets/830fe099-5530-48f2-a7c1-11f35d510983/WorldEnergyOutlook2022.pdf</vt:lpwstr>
      </vt:variant>
      <vt:variant>
        <vt:lpwstr/>
      </vt:variant>
      <vt:variant>
        <vt:i4>7864427</vt:i4>
      </vt:variant>
      <vt:variant>
        <vt:i4>114</vt:i4>
      </vt:variant>
      <vt:variant>
        <vt:i4>0</vt:i4>
      </vt:variant>
      <vt:variant>
        <vt:i4>5</vt:i4>
      </vt:variant>
      <vt:variant>
        <vt:lpwstr>https://ec.europa.eu/eurostat/databrowser/view/ILC_MDES01__custom_1485289/default/table?lang=en</vt:lpwstr>
      </vt:variant>
      <vt:variant>
        <vt:lpwstr/>
      </vt:variant>
      <vt:variant>
        <vt:i4>7143529</vt:i4>
      </vt:variant>
      <vt:variant>
        <vt:i4>111</vt:i4>
      </vt:variant>
      <vt:variant>
        <vt:i4>0</vt:i4>
      </vt:variant>
      <vt:variant>
        <vt:i4>5</vt:i4>
      </vt:variant>
      <vt:variant>
        <vt:lpwstr>https://eur-lex.europa.eu/legal-content/en/TXT/?uri=CELEX%3A32022H0627%2804%29</vt:lpwstr>
      </vt:variant>
      <vt:variant>
        <vt:lpwstr/>
      </vt:variant>
      <vt:variant>
        <vt:i4>6553716</vt:i4>
      </vt:variant>
      <vt:variant>
        <vt:i4>108</vt:i4>
      </vt:variant>
      <vt:variant>
        <vt:i4>0</vt:i4>
      </vt:variant>
      <vt:variant>
        <vt:i4>5</vt:i4>
      </vt:variant>
      <vt:variant>
        <vt:lpwstr>https://www.sciencedirect.com/science/article/pii/S004896972201717X</vt:lpwstr>
      </vt:variant>
      <vt:variant>
        <vt:lpwstr/>
      </vt:variant>
      <vt:variant>
        <vt:i4>2752618</vt:i4>
      </vt:variant>
      <vt:variant>
        <vt:i4>105</vt:i4>
      </vt:variant>
      <vt:variant>
        <vt:i4>0</vt:i4>
      </vt:variant>
      <vt:variant>
        <vt:i4>5</vt:i4>
      </vt:variant>
      <vt:variant>
        <vt:lpwstr>https://www.sciencedirect.com/science/article/abs/pii/S0016236121010322</vt:lpwstr>
      </vt:variant>
      <vt:variant>
        <vt:lpwstr/>
      </vt:variant>
      <vt:variant>
        <vt:i4>2228342</vt:i4>
      </vt:variant>
      <vt:variant>
        <vt:i4>102</vt:i4>
      </vt:variant>
      <vt:variant>
        <vt:i4>0</vt:i4>
      </vt:variant>
      <vt:variant>
        <vt:i4>5</vt:i4>
      </vt:variant>
      <vt:variant>
        <vt:lpwstr>https://www.tandfonline.com/doi/full/10.1080/10934529.2018.1459076</vt:lpwstr>
      </vt:variant>
      <vt:variant>
        <vt:lpwstr/>
      </vt:variant>
      <vt:variant>
        <vt:i4>1900576</vt:i4>
      </vt:variant>
      <vt:variant>
        <vt:i4>99</vt:i4>
      </vt:variant>
      <vt:variant>
        <vt:i4>0</vt:i4>
      </vt:variant>
      <vt:variant>
        <vt:i4>5</vt:i4>
      </vt:variant>
      <vt:variant>
        <vt:lpwstr>https://www.europeanbiogas.eu/wp-content/uploads/2023/02/20230213_Guidehouse_EBA_Report.pdf</vt:lpwstr>
      </vt:variant>
      <vt:variant>
        <vt:lpwstr/>
      </vt:variant>
      <vt:variant>
        <vt:i4>2228342</vt:i4>
      </vt:variant>
      <vt:variant>
        <vt:i4>96</vt:i4>
      </vt:variant>
      <vt:variant>
        <vt:i4>0</vt:i4>
      </vt:variant>
      <vt:variant>
        <vt:i4>5</vt:i4>
      </vt:variant>
      <vt:variant>
        <vt:lpwstr>https://www.tandfonline.com/doi/full/10.1080/10934529.2018.1459076</vt:lpwstr>
      </vt:variant>
      <vt:variant>
        <vt:lpwstr/>
      </vt:variant>
      <vt:variant>
        <vt:i4>1114205</vt:i4>
      </vt:variant>
      <vt:variant>
        <vt:i4>93</vt:i4>
      </vt:variant>
      <vt:variant>
        <vt:i4>0</vt:i4>
      </vt:variant>
      <vt:variant>
        <vt:i4>5</vt:i4>
      </vt:variant>
      <vt:variant>
        <vt:lpwstr>https://www.bmwk.de/Redaktion/DE/Artikel/Service/Gesetzesvorhaben/entwurf-eines-gesetzes-zur-anpassung-des-energiewirtschaftsrechts-an-unionsrechtliche-vorgaben.html</vt:lpwstr>
      </vt:variant>
      <vt:variant>
        <vt:lpwstr/>
      </vt:variant>
      <vt:variant>
        <vt:i4>5111887</vt:i4>
      </vt:variant>
      <vt:variant>
        <vt:i4>90</vt:i4>
      </vt:variant>
      <vt:variant>
        <vt:i4>0</vt:i4>
      </vt:variant>
      <vt:variant>
        <vt:i4>5</vt:i4>
      </vt:variant>
      <vt:variant>
        <vt:lpwstr>https://www.vrt.be/vrtnws/nl/2023/01/24/stemming-over-waterstofwet-wat-houdt-die-wet-precies-in/</vt:lpwstr>
      </vt:variant>
      <vt:variant>
        <vt:lpwstr/>
      </vt:variant>
      <vt:variant>
        <vt:i4>5570584</vt:i4>
      </vt:variant>
      <vt:variant>
        <vt:i4>87</vt:i4>
      </vt:variant>
      <vt:variant>
        <vt:i4>0</vt:i4>
      </vt:variant>
      <vt:variant>
        <vt:i4>5</vt:i4>
      </vt:variant>
      <vt:variant>
        <vt:lpwstr>https://www.ifri.org/en/publications/notes-de-lifri/guide-solve-eus-hydrogen-dilemmas</vt:lpwstr>
      </vt:variant>
      <vt:variant>
        <vt:lpwstr/>
      </vt:variant>
      <vt:variant>
        <vt:i4>6029341</vt:i4>
      </vt:variant>
      <vt:variant>
        <vt:i4>84</vt:i4>
      </vt:variant>
      <vt:variant>
        <vt:i4>0</vt:i4>
      </vt:variant>
      <vt:variant>
        <vt:i4>5</vt:i4>
      </vt:variant>
      <vt:variant>
        <vt:lpwstr>https://www.europarl.europa.eu/legislative-train/theme-a-european-green-deal/file-revised-regulatory-framework-for-competitive-decarbonised-gas-markets-2</vt:lpwstr>
      </vt:variant>
      <vt:variant>
        <vt:lpwstr/>
      </vt:variant>
      <vt:variant>
        <vt:i4>1704014</vt:i4>
      </vt:variant>
      <vt:variant>
        <vt:i4>81</vt:i4>
      </vt:variant>
      <vt:variant>
        <vt:i4>0</vt:i4>
      </vt:variant>
      <vt:variant>
        <vt:i4>5</vt:i4>
      </vt:variant>
      <vt:variant>
        <vt:lpwstr>https://www.eiu.com/n/baltic-states-ramp-up-investment-in-energy-sector/</vt:lpwstr>
      </vt:variant>
      <vt:variant>
        <vt:lpwstr/>
      </vt:variant>
      <vt:variant>
        <vt:i4>3080312</vt:i4>
      </vt:variant>
      <vt:variant>
        <vt:i4>78</vt:i4>
      </vt:variant>
      <vt:variant>
        <vt:i4>0</vt:i4>
      </vt:variant>
      <vt:variant>
        <vt:i4>5</vt:i4>
      </vt:variant>
      <vt:variant>
        <vt:lpwstr>https://www.europarl.europa.eu/RegData/etudes/BRIE/2018/630275/EPRS_BRI(2018)630275_EN.pdf</vt:lpwstr>
      </vt:variant>
      <vt:variant>
        <vt:lpwstr/>
      </vt:variant>
      <vt:variant>
        <vt:i4>6357115</vt:i4>
      </vt:variant>
      <vt:variant>
        <vt:i4>75</vt:i4>
      </vt:variant>
      <vt:variant>
        <vt:i4>0</vt:i4>
      </vt:variant>
      <vt:variant>
        <vt:i4>5</vt:i4>
      </vt:variant>
      <vt:variant>
        <vt:lpwstr>https://www.iea.org/topics/energy-security</vt:lpwstr>
      </vt:variant>
      <vt:variant>
        <vt:lpwstr/>
      </vt:variant>
      <vt:variant>
        <vt:i4>7274617</vt:i4>
      </vt:variant>
      <vt:variant>
        <vt:i4>72</vt:i4>
      </vt:variant>
      <vt:variant>
        <vt:i4>0</vt:i4>
      </vt:variant>
      <vt:variant>
        <vt:i4>5</vt:i4>
      </vt:variant>
      <vt:variant>
        <vt:lpwstr>https://www.sciencedirect.com/science/article/pii/S2590123023002244</vt:lpwstr>
      </vt:variant>
      <vt:variant>
        <vt:lpwstr/>
      </vt:variant>
      <vt:variant>
        <vt:i4>5636166</vt:i4>
      </vt:variant>
      <vt:variant>
        <vt:i4>69</vt:i4>
      </vt:variant>
      <vt:variant>
        <vt:i4>0</vt:i4>
      </vt:variant>
      <vt:variant>
        <vt:i4>5</vt:i4>
      </vt:variant>
      <vt:variant>
        <vt:lpwstr>https://www.entsoe.eu/outlooks/eraa/2022/</vt:lpwstr>
      </vt:variant>
      <vt:variant>
        <vt:lpwstr/>
      </vt:variant>
      <vt:variant>
        <vt:i4>7929973</vt:i4>
      </vt:variant>
      <vt:variant>
        <vt:i4>66</vt:i4>
      </vt:variant>
      <vt:variant>
        <vt:i4>0</vt:i4>
      </vt:variant>
      <vt:variant>
        <vt:i4>5</vt:i4>
      </vt:variant>
      <vt:variant>
        <vt:lpwstr>https://www.gie.eu/wp-content/uploads/filr/3517/Picturing the value of gas storage to the European hydrogen system_FINAL_140621.pdf</vt:lpwstr>
      </vt:variant>
      <vt:variant>
        <vt:lpwstr/>
      </vt:variant>
      <vt:variant>
        <vt:i4>131143</vt:i4>
      </vt:variant>
      <vt:variant>
        <vt:i4>63</vt:i4>
      </vt:variant>
      <vt:variant>
        <vt:i4>0</vt:i4>
      </vt:variant>
      <vt:variant>
        <vt:i4>5</vt:i4>
      </vt:variant>
      <vt:variant>
        <vt:lpwstr>https://publications.jrc.ec.europa.eu/repository/handle/JRC130519</vt:lpwstr>
      </vt:variant>
      <vt:variant>
        <vt:lpwstr/>
      </vt:variant>
      <vt:variant>
        <vt:i4>3014777</vt:i4>
      </vt:variant>
      <vt:variant>
        <vt:i4>60</vt:i4>
      </vt:variant>
      <vt:variant>
        <vt:i4>0</vt:i4>
      </vt:variant>
      <vt:variant>
        <vt:i4>5</vt:i4>
      </vt:variant>
      <vt:variant>
        <vt:lpwstr>https://www.europarl.europa.eu/RegData/etudes/BRIE/2022/729302/EPRS_BRI(2022)729302_EN.pdf</vt:lpwstr>
      </vt:variant>
      <vt:variant>
        <vt:lpwstr/>
      </vt:variant>
      <vt:variant>
        <vt:i4>1179739</vt:i4>
      </vt:variant>
      <vt:variant>
        <vt:i4>57</vt:i4>
      </vt:variant>
      <vt:variant>
        <vt:i4>0</vt:i4>
      </vt:variant>
      <vt:variant>
        <vt:i4>5</vt:i4>
      </vt:variant>
      <vt:variant>
        <vt:lpwstr>https://eur-lex.europa.eu/legal-content/EN/TXT/PDF/?uri=CELEX:52022DC0643</vt:lpwstr>
      </vt:variant>
      <vt:variant>
        <vt:lpwstr/>
      </vt:variant>
      <vt:variant>
        <vt:i4>4194389</vt:i4>
      </vt:variant>
      <vt:variant>
        <vt:i4>54</vt:i4>
      </vt:variant>
      <vt:variant>
        <vt:i4>0</vt:i4>
      </vt:variant>
      <vt:variant>
        <vt:i4>5</vt:i4>
      </vt:variant>
      <vt:variant>
        <vt:lpwstr>https://www.consilium.europa.eu/en/policies/energy-prices-and-security-of-supply/</vt:lpwstr>
      </vt:variant>
      <vt:variant>
        <vt:lpwstr/>
      </vt:variant>
      <vt:variant>
        <vt:i4>3080276</vt:i4>
      </vt:variant>
      <vt:variant>
        <vt:i4>51</vt:i4>
      </vt:variant>
      <vt:variant>
        <vt:i4>0</vt:i4>
      </vt:variant>
      <vt:variant>
        <vt:i4>5</vt:i4>
      </vt:variant>
      <vt:variant>
        <vt:lpwstr>https://taxation-customs.ec.europa.eu/carbon-border-adjustment-mechanism_en</vt:lpwstr>
      </vt:variant>
      <vt:variant>
        <vt:lpwstr/>
      </vt:variant>
      <vt:variant>
        <vt:i4>3211369</vt:i4>
      </vt:variant>
      <vt:variant>
        <vt:i4>48</vt:i4>
      </vt:variant>
      <vt:variant>
        <vt:i4>0</vt:i4>
      </vt:variant>
      <vt:variant>
        <vt:i4>5</vt:i4>
      </vt:variant>
      <vt:variant>
        <vt:lpwstr>https://www.europarl.europa.eu/RegData/etudes/STUD/2020/652717/IPOL_STU(2020)652717_EN.pdf</vt:lpwstr>
      </vt:variant>
      <vt:variant>
        <vt:lpwstr/>
      </vt:variant>
      <vt:variant>
        <vt:i4>7143543</vt:i4>
      </vt:variant>
      <vt:variant>
        <vt:i4>45</vt:i4>
      </vt:variant>
      <vt:variant>
        <vt:i4>0</vt:i4>
      </vt:variant>
      <vt:variant>
        <vt:i4>5</vt:i4>
      </vt:variant>
      <vt:variant>
        <vt:lpwstr>https://op.europa.eu/en/publication-detail/-/publication/16e7f212-0dc5-11eb-bc07-01aa75ed71a1/language-en?WT_mc_id=Searchresult&amp;WT_ria_c=37085&amp;WT_ria_f=3608&amp;WT_ria_ev=search</vt:lpwstr>
      </vt:variant>
      <vt:variant>
        <vt:lpwstr/>
      </vt:variant>
      <vt:variant>
        <vt:i4>4522078</vt:i4>
      </vt:variant>
      <vt:variant>
        <vt:i4>42</vt:i4>
      </vt:variant>
      <vt:variant>
        <vt:i4>0</vt:i4>
      </vt:variant>
      <vt:variant>
        <vt:i4>5</vt:i4>
      </vt:variant>
      <vt:variant>
        <vt:lpwstr>https://www.mckinsey.com/~/media/mckinsey/business functions/sustainability/our insights/how industry can move toward a low carbon future/decarbonization-of-industrial-sectors-the-next-frontier.pdf</vt:lpwstr>
      </vt:variant>
      <vt:variant>
        <vt:lpwstr/>
      </vt:variant>
      <vt:variant>
        <vt:i4>3211369</vt:i4>
      </vt:variant>
      <vt:variant>
        <vt:i4>39</vt:i4>
      </vt:variant>
      <vt:variant>
        <vt:i4>0</vt:i4>
      </vt:variant>
      <vt:variant>
        <vt:i4>5</vt:i4>
      </vt:variant>
      <vt:variant>
        <vt:lpwstr>https://www.europarl.europa.eu/RegData/etudes/STUD/2020/652717/IPOL_STU(2020)652717_EN.pdf</vt:lpwstr>
      </vt:variant>
      <vt:variant>
        <vt:lpwstr/>
      </vt:variant>
      <vt:variant>
        <vt:i4>3211369</vt:i4>
      </vt:variant>
      <vt:variant>
        <vt:i4>36</vt:i4>
      </vt:variant>
      <vt:variant>
        <vt:i4>0</vt:i4>
      </vt:variant>
      <vt:variant>
        <vt:i4>5</vt:i4>
      </vt:variant>
      <vt:variant>
        <vt:lpwstr>https://www.europarl.europa.eu/RegData/etudes/STUD/2020/652717/IPOL_STU(2020)652717_EN.pdf</vt:lpwstr>
      </vt:variant>
      <vt:variant>
        <vt:lpwstr/>
      </vt:variant>
      <vt:variant>
        <vt:i4>5308426</vt:i4>
      </vt:variant>
      <vt:variant>
        <vt:i4>33</vt:i4>
      </vt:variant>
      <vt:variant>
        <vt:i4>0</vt:i4>
      </vt:variant>
      <vt:variant>
        <vt:i4>5</vt:i4>
      </vt:variant>
      <vt:variant>
        <vt:lpwstr>https://www.europeanbiogas.eu/wp-content/uploads/2019/05/Companies-Catalogue-EBA-2018.pdf</vt:lpwstr>
      </vt:variant>
      <vt:variant>
        <vt:lpwstr/>
      </vt:variant>
      <vt:variant>
        <vt:i4>5177372</vt:i4>
      </vt:variant>
      <vt:variant>
        <vt:i4>30</vt:i4>
      </vt:variant>
      <vt:variant>
        <vt:i4>0</vt:i4>
      </vt:variant>
      <vt:variant>
        <vt:i4>5</vt:i4>
      </vt:variant>
      <vt:variant>
        <vt:lpwstr>https://op.europa.eu/en/publication-detail/-/publication/b80d77b6-2a3b-11ec-bd8e-01aa75ed71a1/language-en</vt:lpwstr>
      </vt:variant>
      <vt:variant>
        <vt:lpwstr/>
      </vt:variant>
      <vt:variant>
        <vt:i4>3670123</vt:i4>
      </vt:variant>
      <vt:variant>
        <vt:i4>27</vt:i4>
      </vt:variant>
      <vt:variant>
        <vt:i4>0</vt:i4>
      </vt:variant>
      <vt:variant>
        <vt:i4>5</vt:i4>
      </vt:variant>
      <vt:variant>
        <vt:lpwstr>https://www.ecb.europa.eu/press/key/date/2022/html/ecb.sp221116~c1d5160785.en.html</vt:lpwstr>
      </vt:variant>
      <vt:variant>
        <vt:lpwstr/>
      </vt:variant>
      <vt:variant>
        <vt:i4>4391007</vt:i4>
      </vt:variant>
      <vt:variant>
        <vt:i4>24</vt:i4>
      </vt:variant>
      <vt:variant>
        <vt:i4>0</vt:i4>
      </vt:variant>
      <vt:variant>
        <vt:i4>5</vt:i4>
      </vt:variant>
      <vt:variant>
        <vt:lpwstr>https://www.imf.org/en/Publications/WEO/Issues/2023/04/11/world-economic-outlook-april-2023</vt:lpwstr>
      </vt:variant>
      <vt:variant>
        <vt:lpwstr>:~:text=Advanced%20economies%20are%20expected%20to,growth%20falling%20below%201%20percent.</vt:lpwstr>
      </vt:variant>
      <vt:variant>
        <vt:i4>655360</vt:i4>
      </vt:variant>
      <vt:variant>
        <vt:i4>21</vt:i4>
      </vt:variant>
      <vt:variant>
        <vt:i4>0</vt:i4>
      </vt:variant>
      <vt:variant>
        <vt:i4>5</vt:i4>
      </vt:variant>
      <vt:variant>
        <vt:lpwstr>https://iea.blob.core.windows.net/assets/830fe099-5530-48f2-a7c1-11f35d510983/WorldEnergyOutlook2022.pdf</vt:lpwstr>
      </vt:variant>
      <vt:variant>
        <vt:lpwstr/>
      </vt:variant>
      <vt:variant>
        <vt:i4>4391007</vt:i4>
      </vt:variant>
      <vt:variant>
        <vt:i4>18</vt:i4>
      </vt:variant>
      <vt:variant>
        <vt:i4>0</vt:i4>
      </vt:variant>
      <vt:variant>
        <vt:i4>5</vt:i4>
      </vt:variant>
      <vt:variant>
        <vt:lpwstr>https://www.imf.org/en/Publications/WEO/Issues/2023/04/11/world-economic-outlook-april-2023</vt:lpwstr>
      </vt:variant>
      <vt:variant>
        <vt:lpwstr>:~:text=Advanced%20economies%20are%20expected%20to,growth%20falling%20below%201%20percent.</vt:lpwstr>
      </vt:variant>
      <vt:variant>
        <vt:i4>5177437</vt:i4>
      </vt:variant>
      <vt:variant>
        <vt:i4>15</vt:i4>
      </vt:variant>
      <vt:variant>
        <vt:i4>0</vt:i4>
      </vt:variant>
      <vt:variant>
        <vt:i4>5</vt:i4>
      </vt:variant>
      <vt:variant>
        <vt:lpwstr>https://www.eib.org/en/stories/energy-crisis-net-zero-transition</vt:lpwstr>
      </vt:variant>
      <vt:variant>
        <vt:lpwstr/>
      </vt:variant>
      <vt:variant>
        <vt:i4>4391007</vt:i4>
      </vt:variant>
      <vt:variant>
        <vt:i4>12</vt:i4>
      </vt:variant>
      <vt:variant>
        <vt:i4>0</vt:i4>
      </vt:variant>
      <vt:variant>
        <vt:i4>5</vt:i4>
      </vt:variant>
      <vt:variant>
        <vt:lpwstr>https://www.imf.org/en/Publications/WEO/Issues/2023/04/11/world-economic-outlook-april-2023</vt:lpwstr>
      </vt:variant>
      <vt:variant>
        <vt:lpwstr>:~:text=Advanced%20economies%20are%20expected%20to,growth%20falling%20below%201%20percent.</vt:lpwstr>
      </vt:variant>
      <vt:variant>
        <vt:i4>3932168</vt:i4>
      </vt:variant>
      <vt:variant>
        <vt:i4>9</vt:i4>
      </vt:variant>
      <vt:variant>
        <vt:i4>0</vt:i4>
      </vt:variant>
      <vt:variant>
        <vt:i4>5</vt:i4>
      </vt:variant>
      <vt:variant>
        <vt:lpwstr>https://www.ecb.europa.eu/pub/economic-bulletin/focus/2021/html/ecb.ebbox202107_01~f8314090a4.en.html</vt:lpwstr>
      </vt:variant>
      <vt:variant>
        <vt:lpwstr/>
      </vt:variant>
      <vt:variant>
        <vt:i4>5505133</vt:i4>
      </vt:variant>
      <vt:variant>
        <vt:i4>6</vt:i4>
      </vt:variant>
      <vt:variant>
        <vt:i4>0</vt:i4>
      </vt:variant>
      <vt:variant>
        <vt:i4>5</vt:i4>
      </vt:variant>
      <vt:variant>
        <vt:lpwstr>https://www.e3g.org/wp-content/uploads/03_03_20_E3G_Gas_Investment_Transition_Risk.pdf</vt:lpwstr>
      </vt:variant>
      <vt:variant>
        <vt:lpwstr/>
      </vt:variant>
      <vt:variant>
        <vt:i4>1638429</vt:i4>
      </vt:variant>
      <vt:variant>
        <vt:i4>3</vt:i4>
      </vt:variant>
      <vt:variant>
        <vt:i4>0</vt:i4>
      </vt:variant>
      <vt:variant>
        <vt:i4>5</vt:i4>
      </vt:variant>
      <vt:variant>
        <vt:lpwstr>https://www.oxfordenergy.org/wpcms/wp-content/uploads/2019/02/Narratives-for-Natural-Gas-in-a-Decarbonisinf-European-Energy-Market-NG141.pdf</vt:lpwstr>
      </vt:variant>
      <vt:variant>
        <vt:lpwstr/>
      </vt:variant>
      <vt:variant>
        <vt:i4>4784161</vt:i4>
      </vt:variant>
      <vt:variant>
        <vt:i4>0</vt:i4>
      </vt:variant>
      <vt:variant>
        <vt:i4>0</vt:i4>
      </vt:variant>
      <vt:variant>
        <vt:i4>5</vt:i4>
      </vt:variant>
      <vt:variant>
        <vt:lpwstr>https://single-market-economy.ec.europa.eu/sectors/raw-materials/areas-specific-interest/critical-raw-materials_en</vt:lpwstr>
      </vt:variant>
      <vt:variant>
        <vt:lpwstr/>
      </vt:variant>
      <vt:variant>
        <vt:i4>6619254</vt:i4>
      </vt:variant>
      <vt:variant>
        <vt:i4>18</vt:i4>
      </vt:variant>
      <vt:variant>
        <vt:i4>0</vt:i4>
      </vt:variant>
      <vt:variant>
        <vt:i4>5</vt:i4>
      </vt:variant>
      <vt:variant>
        <vt:lpwstr>https://news.err.ee/1608964834/estonia-latvia-plan-joint-lng-crisis-supply-deal</vt:lpwstr>
      </vt:variant>
      <vt:variant>
        <vt:lpwstr/>
      </vt:variant>
      <vt:variant>
        <vt:i4>4718710</vt:i4>
      </vt:variant>
      <vt:variant>
        <vt:i4>15</vt:i4>
      </vt:variant>
      <vt:variant>
        <vt:i4>0</vt:i4>
      </vt:variant>
      <vt:variant>
        <vt:i4>5</vt:i4>
      </vt:variant>
      <vt:variant>
        <vt:lpwstr>https://energy.ec.europa.eu/topics/energy-security/secure-gas-supplies_en</vt:lpwstr>
      </vt:variant>
      <vt:variant>
        <vt:lpwstr/>
      </vt:variant>
      <vt:variant>
        <vt:i4>3735605</vt:i4>
      </vt:variant>
      <vt:variant>
        <vt:i4>12</vt:i4>
      </vt:variant>
      <vt:variant>
        <vt:i4>0</vt:i4>
      </vt:variant>
      <vt:variant>
        <vt:i4>5</vt:i4>
      </vt:variant>
      <vt:variant>
        <vt:lpwstr>https://energy.ec.europa.eu/system/files/2015-07/2015_109_lt_en_0.pdf</vt:lpwstr>
      </vt:variant>
      <vt:variant>
        <vt:lpwstr/>
      </vt:variant>
      <vt:variant>
        <vt:i4>3080253</vt:i4>
      </vt:variant>
      <vt:variant>
        <vt:i4>9</vt:i4>
      </vt:variant>
      <vt:variant>
        <vt:i4>0</vt:i4>
      </vt:variant>
      <vt:variant>
        <vt:i4>5</vt:i4>
      </vt:variant>
      <vt:variant>
        <vt:lpwstr>https://energy.ec.europa.eu/system/files/2016-12/2016_129_ee_en_0.pdf</vt:lpwstr>
      </vt:variant>
      <vt:variant>
        <vt:lpwstr/>
      </vt:variant>
      <vt:variant>
        <vt:i4>3145789</vt:i4>
      </vt:variant>
      <vt:variant>
        <vt:i4>6</vt:i4>
      </vt:variant>
      <vt:variant>
        <vt:i4>0</vt:i4>
      </vt:variant>
      <vt:variant>
        <vt:i4>5</vt:i4>
      </vt:variant>
      <vt:variant>
        <vt:lpwstr>https://energy.ec.europa.eu/system/files/2018-08/2018_141_lv_en_0.pdf</vt:lpwstr>
      </vt:variant>
      <vt:variant>
        <vt:lpwstr/>
      </vt:variant>
      <vt:variant>
        <vt:i4>2424886</vt:i4>
      </vt:variant>
      <vt:variant>
        <vt:i4>3</vt:i4>
      </vt:variant>
      <vt:variant>
        <vt:i4>0</vt:i4>
      </vt:variant>
      <vt:variant>
        <vt:i4>5</vt:i4>
      </vt:variant>
      <vt:variant>
        <vt:lpwstr>https://energy.ec.europa.eu/system/files/2020-10/2020_161_fi_en_0.pdf</vt:lpwstr>
      </vt:variant>
      <vt:variant>
        <vt:lpwstr/>
      </vt:variant>
      <vt:variant>
        <vt:i4>7143543</vt:i4>
      </vt:variant>
      <vt:variant>
        <vt:i4>0</vt:i4>
      </vt:variant>
      <vt:variant>
        <vt:i4>0</vt:i4>
      </vt:variant>
      <vt:variant>
        <vt:i4>5</vt:i4>
      </vt:variant>
      <vt:variant>
        <vt:lpwstr>https://op.europa.eu/en/publication-detail/-/publication/16e7f212-0dc5-11eb-bc07-01aa75ed71a1/language-en?WT_mc_id=Searchresult&amp;WT_ria_c=37085&amp;WT_ria_f=3608&amp;WT_ria_ev=search</vt:lpwstr>
      </vt:variant>
      <vt:variant>
        <vt:lpwstr/>
      </vt:variant>
      <vt:variant>
        <vt:i4>589849</vt:i4>
      </vt:variant>
      <vt:variant>
        <vt:i4>0</vt:i4>
      </vt:variant>
      <vt:variant>
        <vt:i4>0</vt:i4>
      </vt:variant>
      <vt:variant>
        <vt:i4>5</vt:i4>
      </vt:variant>
      <vt:variant>
        <vt:lpwstr>http://www.trinomics.eu/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João Gorenstein Dedecca</dc:creator>
  <cp:keywords/>
  <dc:description/>
  <cp:lastModifiedBy>luc van nuffel</cp:lastModifiedBy>
  <cp:revision>2</cp:revision>
  <cp:lastPrinted>2015-09-15T16:14:00Z</cp:lastPrinted>
  <dcterms:created xsi:type="dcterms:W3CDTF">2023-09-05T08:52:00Z</dcterms:created>
  <dcterms:modified xsi:type="dcterms:W3CDTF">2023-09-05T08:52:00Z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0x010100887D3B914211DA4690539851AF11284A</vt:lpwstr>
  </property>
  <property fmtid="{D5CDD505-2E9C-101B-9397-08002B2CF9AE}" pid="3" name="AuthorIds_UIVersion_25600">
    <vt:lpwstr>18</vt:lpwstr>
  </property>
  <property fmtid="{D5CDD505-2E9C-101B-9397-08002B2CF9AE}" pid="4" name="MediaServiceImageTags">
    <vt:lpwstr/>
  </property>
</Properties>
</file>