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FE" w:rsidRDefault="00DB4EFE" w:rsidP="000B4A91">
      <w:pPr>
        <w:pStyle w:val="Caption"/>
        <w:contextualSpacing w:val="0"/>
        <w:rPr>
          <w:b/>
        </w:rPr>
      </w:pPr>
      <w:bookmarkStart w:id="0" w:name="_Ref354341739"/>
      <w:bookmarkStart w:id="1" w:name="_Ref349902598"/>
    </w:p>
    <w:p w:rsidR="00B926CE" w:rsidRPr="00183831" w:rsidRDefault="00B926CE" w:rsidP="00183831">
      <w:pPr>
        <w:pStyle w:val="Heading1"/>
        <w:numPr>
          <w:ilvl w:val="0"/>
          <w:numId w:val="0"/>
        </w:numPr>
        <w:ind w:left="432"/>
        <w:rPr>
          <w:lang w:val="et-EE"/>
        </w:rPr>
      </w:pPr>
      <w:r w:rsidRPr="00183831">
        <w:rPr>
          <w:lang w:val="et-EE"/>
        </w:rPr>
        <w:t xml:space="preserve">Ülevaade </w:t>
      </w:r>
      <w:r w:rsidR="00183831" w:rsidRPr="00183831">
        <w:rPr>
          <w:lang w:val="et-EE"/>
        </w:rPr>
        <w:t>ENMAK t</w:t>
      </w:r>
      <w:r w:rsidR="00183831">
        <w:rPr>
          <w:lang w:val="et-EE"/>
        </w:rPr>
        <w:t xml:space="preserve">ranspordi energiasäästu töörühmale </w:t>
      </w:r>
      <w:r w:rsidRPr="00183831">
        <w:rPr>
          <w:lang w:val="et-EE"/>
        </w:rPr>
        <w:t xml:space="preserve">SEI </w:t>
      </w:r>
      <w:r w:rsidR="00183831">
        <w:rPr>
          <w:lang w:val="et-EE"/>
        </w:rPr>
        <w:t>varasemates</w:t>
      </w:r>
      <w:r w:rsidRPr="00183831">
        <w:rPr>
          <w:lang w:val="et-EE"/>
        </w:rPr>
        <w:t xml:space="preserve"> uuringutes kasutatud transpordipoliitika meetmete mõju</w:t>
      </w:r>
      <w:r w:rsidR="00183831" w:rsidRPr="00183831">
        <w:rPr>
          <w:lang w:val="et-EE"/>
        </w:rPr>
        <w:t xml:space="preserve"> ja kuluefektiivsuse </w:t>
      </w:r>
      <w:r w:rsidRPr="00183831">
        <w:rPr>
          <w:lang w:val="et-EE"/>
        </w:rPr>
        <w:t xml:space="preserve"> hinnangutest</w:t>
      </w:r>
    </w:p>
    <w:p w:rsidR="00183831" w:rsidRPr="00183831" w:rsidRDefault="00183831" w:rsidP="00183831">
      <w:pPr>
        <w:jc w:val="center"/>
        <w:rPr>
          <w:lang w:val="fi-FI" w:eastAsia="en-GB"/>
        </w:rPr>
      </w:pPr>
      <w:r>
        <w:rPr>
          <w:lang w:val="fi-FI" w:eastAsia="en-GB"/>
        </w:rPr>
        <w:t>25.5.2013</w:t>
      </w:r>
      <w:r w:rsidR="000007A6">
        <w:rPr>
          <w:lang w:val="fi-FI" w:eastAsia="en-GB"/>
        </w:rPr>
        <w:t>, Mari</w:t>
      </w:r>
    </w:p>
    <w:p w:rsidR="00DB4EFE" w:rsidRDefault="00DB4EFE" w:rsidP="007A1709">
      <w:pPr>
        <w:pStyle w:val="Heading1"/>
      </w:pPr>
      <w:proofErr w:type="spellStart"/>
      <w:r w:rsidRPr="00DB4EFE">
        <w:t>Säästva</w:t>
      </w:r>
      <w:proofErr w:type="spellEnd"/>
      <w:r w:rsidRPr="00DB4EFE">
        <w:t xml:space="preserve"> </w:t>
      </w:r>
      <w:proofErr w:type="spellStart"/>
      <w:r w:rsidRPr="00DB4EFE">
        <w:t>transpordi</w:t>
      </w:r>
      <w:proofErr w:type="spellEnd"/>
      <w:r w:rsidRPr="00DB4EFE">
        <w:t xml:space="preserve"> </w:t>
      </w:r>
      <w:proofErr w:type="spellStart"/>
      <w:r w:rsidRPr="00DB4EFE">
        <w:t>raportis</w:t>
      </w:r>
      <w:proofErr w:type="spellEnd"/>
      <w:r w:rsidRPr="00DB4EFE">
        <w:t xml:space="preserve"> </w:t>
      </w:r>
      <w:proofErr w:type="spellStart"/>
      <w:r w:rsidRPr="00DB4EFE">
        <w:t>kasutatud</w:t>
      </w:r>
      <w:proofErr w:type="spellEnd"/>
      <w:r w:rsidRPr="00DB4EFE">
        <w:t xml:space="preserve"> </w:t>
      </w:r>
      <w:proofErr w:type="spellStart"/>
      <w:r w:rsidR="00C45B3B">
        <w:t>transpordipoliitika</w:t>
      </w:r>
      <w:proofErr w:type="spellEnd"/>
      <w:r w:rsidR="00C45B3B">
        <w:t xml:space="preserve"> </w:t>
      </w:r>
      <w:proofErr w:type="spellStart"/>
      <w:r w:rsidR="00C45B3B">
        <w:t>meetmete</w:t>
      </w:r>
      <w:proofErr w:type="spellEnd"/>
      <w:r w:rsidR="00C45B3B">
        <w:t xml:space="preserve"> </w:t>
      </w:r>
      <w:proofErr w:type="spellStart"/>
      <w:r w:rsidR="00C45B3B">
        <w:t>mõju</w:t>
      </w:r>
      <w:proofErr w:type="spellEnd"/>
      <w:r w:rsidR="00C45B3B">
        <w:t xml:space="preserve"> </w:t>
      </w:r>
      <w:proofErr w:type="spellStart"/>
      <w:r w:rsidR="00C45B3B">
        <w:t>hinnangud</w:t>
      </w:r>
      <w:proofErr w:type="spellEnd"/>
    </w:p>
    <w:p w:rsidR="00C45B3B" w:rsidRDefault="00C45B3B" w:rsidP="00C45B3B">
      <w:pPr>
        <w:rPr>
          <w:lang w:val="en-GB" w:eastAsia="en-GB"/>
        </w:rPr>
      </w:pPr>
    </w:p>
    <w:p w:rsidR="00B926CE" w:rsidRPr="00B926CE" w:rsidRDefault="00B926CE" w:rsidP="00B926CE">
      <w:pPr>
        <w:autoSpaceDN w:val="0"/>
        <w:adjustRightInd w:val="0"/>
        <w:rPr>
          <w:rFonts w:ascii="Arial" w:hAnsi="Arial" w:cs="Arial"/>
          <w:sz w:val="18"/>
          <w:szCs w:val="18"/>
          <w:lang w:val="fi-FI"/>
        </w:rPr>
      </w:pPr>
      <w:r w:rsidRPr="00B926CE">
        <w:rPr>
          <w:rFonts w:ascii="Arial" w:hAnsi="Arial" w:cs="Arial"/>
          <w:sz w:val="18"/>
          <w:szCs w:val="18"/>
          <w:lang w:val="fi-FI"/>
        </w:rPr>
        <w:t>Jüssi, M., Poltimäe, H., Sarv, K., Orru, H. 2010. Säästva transpordi raport 2010. Säästva Arengu Komisjon, Tallinn</w:t>
      </w:r>
    </w:p>
    <w:p w:rsidR="00DB4EFE" w:rsidRPr="00DB4EFE" w:rsidRDefault="00DB4EFE" w:rsidP="00DB4EFE">
      <w:pPr>
        <w:rPr>
          <w:rFonts w:cs="Calibri"/>
          <w:lang w:val="et-EE"/>
        </w:rPr>
      </w:pPr>
      <w:r w:rsidRPr="00DB4EFE">
        <w:rPr>
          <w:rFonts w:cs="Calibri"/>
          <w:lang w:val="et-EE"/>
        </w:rPr>
        <w:t>EFEKT-stsenaariumisse valiti analüüsimiseks järgmised meetmed ja anti hinnang nende meetmete mõjule CO</w:t>
      </w:r>
      <w:r w:rsidRPr="00DB4EFE">
        <w:rPr>
          <w:rFonts w:cs="Calibri"/>
          <w:vertAlign w:val="subscript"/>
          <w:lang w:val="et-EE"/>
        </w:rPr>
        <w:t>2</w:t>
      </w:r>
      <w:r w:rsidRPr="00DB4EFE">
        <w:rPr>
          <w:rFonts w:cs="Calibri"/>
          <w:lang w:val="et-EE"/>
        </w:rPr>
        <w:t>-heite  või sõidukite läbisõidu vähenemisele rahvusvahelise kirjanduse ja teiste säästva transpordi stsenaariumiraportite (vt tabel 5.5 ja 5.6) põhjal. Meetmete mõjusid on hinnatud järgmiselt:</w:t>
      </w:r>
    </w:p>
    <w:p w:rsidR="00DB4EFE" w:rsidRPr="00B618EB" w:rsidRDefault="00DB4EFE" w:rsidP="00DB4EFE">
      <w:pPr>
        <w:pStyle w:val="ListParagraph"/>
        <w:numPr>
          <w:ilvl w:val="0"/>
          <w:numId w:val="4"/>
        </w:numPr>
        <w:shd w:val="clear" w:color="auto" w:fill="FFFFFF"/>
        <w:rPr>
          <w:rFonts w:cs="Calibri"/>
        </w:rPr>
      </w:pPr>
      <w:r w:rsidRPr="00B618EB">
        <w:rPr>
          <w:rFonts w:cs="Calibri"/>
        </w:rPr>
        <w:t>Taastuvenergia osakaalu tõstmine 10% transpordikütustest:  CO</w:t>
      </w:r>
      <w:r w:rsidRPr="00B618EB">
        <w:rPr>
          <w:rFonts w:cs="Calibri"/>
          <w:vertAlign w:val="subscript"/>
        </w:rPr>
        <w:t>2</w:t>
      </w:r>
      <w:r w:rsidRPr="00B618EB">
        <w:rPr>
          <w:rFonts w:cs="Calibri"/>
        </w:rPr>
        <w:t xml:space="preserve"> vähenemine -5% kõikide liikide lõikes</w:t>
      </w:r>
    </w:p>
    <w:p w:rsidR="00DB4EFE" w:rsidRPr="00B618EB" w:rsidRDefault="00DB4EFE" w:rsidP="00DB4EFE">
      <w:pPr>
        <w:pStyle w:val="ListParagraph"/>
        <w:numPr>
          <w:ilvl w:val="0"/>
          <w:numId w:val="4"/>
        </w:numPr>
        <w:shd w:val="clear" w:color="auto" w:fill="FFFFFF"/>
        <w:rPr>
          <w:rFonts w:cs="Calibri"/>
        </w:rPr>
      </w:pPr>
      <w:r w:rsidRPr="00B618EB">
        <w:rPr>
          <w:rFonts w:cs="Calibri"/>
        </w:rPr>
        <w:t>Maanteetasud: -3%</w:t>
      </w:r>
      <w:r w:rsidRPr="00B618EB">
        <w:rPr>
          <w:rFonts w:cs="Calibri"/>
          <w:b/>
        </w:rPr>
        <w:t xml:space="preserve"> </w:t>
      </w:r>
      <w:r w:rsidRPr="00B618EB">
        <w:rPr>
          <w:rFonts w:cs="Calibri"/>
        </w:rPr>
        <w:t>mõjutades nii sõiduautode ja veoautode läbisõitu kui ka CO</w:t>
      </w:r>
      <w:r w:rsidRPr="00B618EB">
        <w:rPr>
          <w:rFonts w:cs="Calibri"/>
          <w:vertAlign w:val="subscript"/>
        </w:rPr>
        <w:t>2</w:t>
      </w:r>
      <w:r w:rsidRPr="00B618EB">
        <w:rPr>
          <w:rFonts w:cs="Calibri"/>
        </w:rPr>
        <w:t>-heidet</w:t>
      </w:r>
    </w:p>
    <w:p w:rsidR="00DB4EFE" w:rsidRPr="00DB4EFE" w:rsidRDefault="00DB4EFE" w:rsidP="00DB4EFE">
      <w:pPr>
        <w:shd w:val="clear" w:color="auto" w:fill="FFFFFF"/>
        <w:rPr>
          <w:rFonts w:cs="Calibri"/>
          <w:lang w:val="fi-FI"/>
        </w:rPr>
      </w:pPr>
      <w:r w:rsidRPr="00DB4EFE">
        <w:rPr>
          <w:rFonts w:cs="Calibri"/>
          <w:lang w:val="fi-FI"/>
        </w:rPr>
        <w:t>Meetmed, mis mõjutavad  CO</w:t>
      </w:r>
      <w:r w:rsidRPr="00DB4EFE">
        <w:rPr>
          <w:rFonts w:cs="Calibri"/>
          <w:vertAlign w:val="subscript"/>
          <w:lang w:val="fi-FI"/>
        </w:rPr>
        <w:t>2</w:t>
      </w:r>
      <w:r w:rsidRPr="00DB4EFE">
        <w:rPr>
          <w:rFonts w:cs="Calibri"/>
          <w:lang w:val="fi-FI"/>
        </w:rPr>
        <w:t>-heidet sõiduautode läbisõidu vähenemise kaudu:</w:t>
      </w:r>
    </w:p>
    <w:p w:rsidR="00DB4EFE" w:rsidRPr="001C5943" w:rsidRDefault="00DB4EFE" w:rsidP="00DB4EFE">
      <w:pPr>
        <w:pStyle w:val="ListParagraph"/>
        <w:numPr>
          <w:ilvl w:val="0"/>
          <w:numId w:val="3"/>
        </w:numPr>
        <w:shd w:val="clear" w:color="auto" w:fill="FFFFFF"/>
        <w:rPr>
          <w:rFonts w:cs="Calibri"/>
        </w:rPr>
      </w:pPr>
      <w:r w:rsidRPr="001C5943">
        <w:rPr>
          <w:rFonts w:cs="Calibri"/>
        </w:rPr>
        <w:t>Liikuvuskorraldus – pehmed meetmed -5%</w:t>
      </w:r>
    </w:p>
    <w:p w:rsidR="00DB4EFE" w:rsidRPr="001C5943" w:rsidRDefault="00DB4EFE" w:rsidP="00DB4EFE">
      <w:pPr>
        <w:pStyle w:val="ListParagraph"/>
        <w:numPr>
          <w:ilvl w:val="0"/>
          <w:numId w:val="3"/>
        </w:numPr>
        <w:shd w:val="clear" w:color="auto" w:fill="FFFFFF"/>
        <w:rPr>
          <w:rFonts w:cs="Calibri"/>
        </w:rPr>
      </w:pPr>
      <w:r w:rsidRPr="001C5943">
        <w:rPr>
          <w:rFonts w:cs="Calibri"/>
        </w:rPr>
        <w:t>Ühistranspordi arendamine -3%</w:t>
      </w:r>
    </w:p>
    <w:p w:rsidR="00DB4EFE" w:rsidRPr="001C5943" w:rsidRDefault="00DB4EFE" w:rsidP="00DB4EFE">
      <w:pPr>
        <w:pStyle w:val="ListParagraph"/>
        <w:numPr>
          <w:ilvl w:val="0"/>
          <w:numId w:val="3"/>
        </w:numPr>
        <w:shd w:val="clear" w:color="auto" w:fill="FFFFFF"/>
        <w:rPr>
          <w:rFonts w:cs="Calibri"/>
        </w:rPr>
      </w:pPr>
      <w:r w:rsidRPr="001C5943">
        <w:rPr>
          <w:rFonts w:cs="Calibri"/>
        </w:rPr>
        <w:t>Kergliikluse arendamine -1%</w:t>
      </w:r>
    </w:p>
    <w:p w:rsidR="00DB4EFE" w:rsidRPr="001C5943" w:rsidRDefault="00DB4EFE" w:rsidP="00DB4EFE">
      <w:pPr>
        <w:pStyle w:val="ListParagraph"/>
        <w:numPr>
          <w:ilvl w:val="0"/>
          <w:numId w:val="3"/>
        </w:numPr>
        <w:shd w:val="clear" w:color="auto" w:fill="FFFFFF"/>
        <w:rPr>
          <w:rFonts w:cs="Calibri"/>
        </w:rPr>
      </w:pPr>
      <w:r w:rsidRPr="001C5943">
        <w:rPr>
          <w:rFonts w:cs="Calibri"/>
        </w:rPr>
        <w:t>Autokasutust puudutavad erinevad tasud ja maksud -7%</w:t>
      </w:r>
    </w:p>
    <w:p w:rsidR="00DB4EFE" w:rsidRPr="00DB4EFE" w:rsidRDefault="00DB4EFE" w:rsidP="00DB4EFE">
      <w:pPr>
        <w:shd w:val="clear" w:color="auto" w:fill="FFFFFF"/>
        <w:rPr>
          <w:rFonts w:cs="Calibri"/>
          <w:b/>
          <w:lang w:val="fi-FI"/>
        </w:rPr>
      </w:pPr>
    </w:p>
    <w:p w:rsidR="00DB4EFE" w:rsidRPr="00DB4EFE" w:rsidRDefault="00DB4EFE" w:rsidP="00DB4EFE">
      <w:pPr>
        <w:shd w:val="clear" w:color="auto" w:fill="FFFFFF"/>
        <w:rPr>
          <w:rFonts w:cs="Calibri"/>
          <w:b/>
          <w:lang w:val="fi-FI"/>
        </w:rPr>
      </w:pPr>
      <w:r w:rsidRPr="00DB4EFE">
        <w:rPr>
          <w:rFonts w:cs="Calibri"/>
          <w:b/>
          <w:lang w:val="fi-FI"/>
        </w:rPr>
        <w:t>Pikemaajaliste (põhiline mõju avaldub alles 15–20 aasta jooksul) meetmetena,  on lisaks vaja</w:t>
      </w:r>
      <w:r w:rsidRPr="00DB4EFE">
        <w:rPr>
          <w:rFonts w:cs="Calibri"/>
          <w:lang w:val="fi-FI"/>
        </w:rPr>
        <w:t>:</w:t>
      </w:r>
    </w:p>
    <w:p w:rsidR="00DB4EFE" w:rsidRPr="001C5943" w:rsidRDefault="00DB4EFE" w:rsidP="00DB4EFE">
      <w:pPr>
        <w:pStyle w:val="ListParagraph"/>
        <w:numPr>
          <w:ilvl w:val="0"/>
          <w:numId w:val="2"/>
        </w:numPr>
        <w:shd w:val="clear" w:color="auto" w:fill="FFFFFF"/>
        <w:rPr>
          <w:rFonts w:cs="Calibri"/>
        </w:rPr>
      </w:pPr>
      <w:r w:rsidRPr="001C5943">
        <w:rPr>
          <w:rFonts w:cs="Calibri"/>
        </w:rPr>
        <w:t>Kompaktne ja reisirongiliiklusele suunatud asustus: -5%, 20–30 aasta perspektiivis läbisõidu, energiakulu ja CO</w:t>
      </w:r>
      <w:r w:rsidRPr="001C5943">
        <w:rPr>
          <w:rFonts w:cs="Calibri"/>
          <w:vertAlign w:val="subscript"/>
        </w:rPr>
        <w:t>2</w:t>
      </w:r>
      <w:r w:rsidRPr="001C5943">
        <w:rPr>
          <w:rFonts w:cs="Calibri"/>
        </w:rPr>
        <w:t xml:space="preserve"> vähendamise potentsiaal u -25% (</w:t>
      </w:r>
      <w:proofErr w:type="spellStart"/>
      <w:r w:rsidRPr="001C5943">
        <w:rPr>
          <w:rFonts w:cs="Calibri"/>
        </w:rPr>
        <w:t>Skinner</w:t>
      </w:r>
      <w:proofErr w:type="spellEnd"/>
      <w:r w:rsidRPr="001C5943">
        <w:rPr>
          <w:rFonts w:cs="Calibri"/>
        </w:rPr>
        <w:t xml:space="preserve"> </w:t>
      </w:r>
      <w:r w:rsidRPr="001C5943">
        <w:rPr>
          <w:rFonts w:cs="Calibri"/>
          <w:i/>
        </w:rPr>
        <w:t xml:space="preserve">et </w:t>
      </w:r>
      <w:proofErr w:type="spellStart"/>
      <w:r w:rsidRPr="001C5943">
        <w:rPr>
          <w:rFonts w:cs="Calibri"/>
          <w:i/>
        </w:rPr>
        <w:t>al</w:t>
      </w:r>
      <w:proofErr w:type="spellEnd"/>
      <w:r w:rsidRPr="001C5943">
        <w:rPr>
          <w:rFonts w:cs="Calibri"/>
          <w:i/>
        </w:rPr>
        <w:t>.</w:t>
      </w:r>
      <w:r w:rsidRPr="001C5943">
        <w:rPr>
          <w:rFonts w:cs="Calibri"/>
        </w:rPr>
        <w:t xml:space="preserve"> 2010)</w:t>
      </w:r>
    </w:p>
    <w:p w:rsidR="00DB4EFE" w:rsidRDefault="00DB4EFE" w:rsidP="00DB4EFE">
      <w:pPr>
        <w:pStyle w:val="Caption"/>
        <w:contextualSpacing w:val="0"/>
        <w:rPr>
          <w:b/>
        </w:rPr>
      </w:pPr>
      <w:r w:rsidRPr="00D5376E">
        <w:rPr>
          <w:rFonts w:cs="Calibri"/>
        </w:rPr>
        <w:t xml:space="preserve">kaubavedude kasvu suunamine maantee asemel raudteele/merele </w:t>
      </w:r>
      <w:r>
        <w:rPr>
          <w:rFonts w:cs="Calibri"/>
        </w:rPr>
        <w:t xml:space="preserve">vähendab veoautodest tekkivat </w:t>
      </w:r>
      <w:r w:rsidRPr="00D5376E">
        <w:rPr>
          <w:rFonts w:cs="Calibri"/>
        </w:rPr>
        <w:t>CO</w:t>
      </w:r>
      <w:r w:rsidRPr="00D5376E">
        <w:rPr>
          <w:rFonts w:cs="Calibri"/>
          <w:vertAlign w:val="subscript"/>
        </w:rPr>
        <w:t>2</w:t>
      </w:r>
      <w:r>
        <w:rPr>
          <w:rFonts w:cs="Calibri"/>
        </w:rPr>
        <w:t xml:space="preserve"> 10%.</w:t>
      </w:r>
    </w:p>
    <w:p w:rsidR="000B4A91" w:rsidRPr="00AE3766" w:rsidRDefault="000B4A91" w:rsidP="000B4A91">
      <w:pPr>
        <w:pStyle w:val="Caption"/>
        <w:spacing w:before="240"/>
        <w:contextualSpacing w:val="0"/>
      </w:pPr>
      <w:bookmarkStart w:id="2" w:name="_Ref349902662"/>
      <w:bookmarkStart w:id="3" w:name="_Toc280623882"/>
      <w:bookmarkEnd w:id="0"/>
      <w:bookmarkEnd w:id="1"/>
      <w:r w:rsidRPr="00AE3766">
        <w:rPr>
          <w:b/>
        </w:rPr>
        <w:t xml:space="preserve">Tabel </w:t>
      </w:r>
      <w:r w:rsidR="00FE3A15" w:rsidRPr="00AE3766">
        <w:rPr>
          <w:b/>
        </w:rPr>
        <w:fldChar w:fldCharType="begin"/>
      </w:r>
      <w:r w:rsidRPr="00AE3766">
        <w:rPr>
          <w:b/>
        </w:rPr>
        <w:instrText xml:space="preserve"> SEQ Tabel \* ARABIC </w:instrText>
      </w:r>
      <w:r w:rsidR="00FE3A15" w:rsidRPr="00AE3766">
        <w:rPr>
          <w:b/>
        </w:rPr>
        <w:fldChar w:fldCharType="separate"/>
      </w:r>
      <w:r>
        <w:rPr>
          <w:b/>
          <w:noProof/>
        </w:rPr>
        <w:t>32</w:t>
      </w:r>
      <w:r w:rsidR="00FE3A15" w:rsidRPr="00AE3766">
        <w:rPr>
          <w:b/>
        </w:rPr>
        <w:fldChar w:fldCharType="end"/>
      </w:r>
      <w:r w:rsidRPr="00AE3766">
        <w:rPr>
          <w:b/>
        </w:rPr>
        <w:t>.</w:t>
      </w:r>
      <w:r w:rsidRPr="00AE3766">
        <w:t xml:space="preserve"> Ülevaade Soome, Suurbritannia ja Euroopa Keskkonnaagentuuri (EEA) stsenaariumides kasutatud hinnangutest, kuidas transpordipoliitika meetmed mõjuvad autode läbisõidu ja CO</w:t>
      </w:r>
      <w:r w:rsidRPr="00AE3766">
        <w:rPr>
          <w:vertAlign w:val="subscript"/>
        </w:rPr>
        <w:t>2</w:t>
      </w:r>
      <w:r w:rsidRPr="00AE3766">
        <w:t xml:space="preserve">-heite vähenemisele. </w:t>
      </w:r>
    </w:p>
    <w:bookmarkEnd w:id="2"/>
    <w:bookmarkEnd w:id="3"/>
    <w:tbl>
      <w:tblPr>
        <w:tblW w:w="9180" w:type="dxa"/>
        <w:tblInd w:w="-3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70" w:type="dxa"/>
          <w:right w:w="70" w:type="dxa"/>
        </w:tblCellMar>
        <w:tblLook w:val="0000"/>
      </w:tblPr>
      <w:tblGrid>
        <w:gridCol w:w="3085"/>
        <w:gridCol w:w="2410"/>
        <w:gridCol w:w="1843"/>
        <w:gridCol w:w="1842"/>
      </w:tblGrid>
      <w:tr w:rsidR="000B4A91" w:rsidRPr="00AE3766" w:rsidTr="006D0CBD">
        <w:trPr>
          <w:trHeight w:val="972"/>
          <w:tblHeader/>
        </w:trPr>
        <w:tc>
          <w:tcPr>
            <w:tcW w:w="3085" w:type="dxa"/>
            <w:shd w:val="clear" w:color="auto" w:fill="808080"/>
          </w:tcPr>
          <w:p w:rsidR="000B4A91" w:rsidRPr="0009619E" w:rsidRDefault="000B4A91" w:rsidP="006D0CBD">
            <w:pPr>
              <w:spacing w:after="0"/>
              <w:jc w:val="left"/>
              <w:rPr>
                <w:rFonts w:eastAsia="Times New Roman" w:cs="Arial"/>
                <w:b/>
                <w:bCs/>
                <w:color w:val="FFFFFF"/>
                <w:sz w:val="18"/>
                <w:szCs w:val="18"/>
                <w:lang w:val="et-EE" w:eastAsia="et-EE"/>
              </w:rPr>
            </w:pPr>
          </w:p>
        </w:tc>
        <w:tc>
          <w:tcPr>
            <w:tcW w:w="2410" w:type="dxa"/>
            <w:shd w:val="clear" w:color="auto" w:fill="808080"/>
          </w:tcPr>
          <w:p w:rsidR="000B4A91" w:rsidRPr="0009619E" w:rsidRDefault="000B4A91" w:rsidP="006D0CBD">
            <w:pPr>
              <w:spacing w:after="0"/>
              <w:jc w:val="center"/>
              <w:rPr>
                <w:rFonts w:eastAsia="Times New Roman" w:cs="Arial"/>
                <w:b/>
                <w:bCs/>
                <w:color w:val="FFFFFF"/>
                <w:sz w:val="18"/>
                <w:szCs w:val="18"/>
                <w:lang w:val="et-EE" w:eastAsia="et-EE"/>
              </w:rPr>
            </w:pPr>
            <w:r w:rsidRPr="0009619E">
              <w:rPr>
                <w:rFonts w:eastAsia="Times New Roman" w:cs="Arial"/>
                <w:b/>
                <w:bCs/>
                <w:color w:val="FFFFFF"/>
                <w:sz w:val="18"/>
                <w:szCs w:val="18"/>
                <w:lang w:val="et-EE" w:eastAsia="et-EE"/>
              </w:rPr>
              <w:t>Suurbritannia säästva transpordi stsenaariumid (2050) (Whitelegg 2010)</w:t>
            </w:r>
          </w:p>
        </w:tc>
        <w:tc>
          <w:tcPr>
            <w:tcW w:w="1843" w:type="dxa"/>
            <w:shd w:val="clear" w:color="auto" w:fill="808080"/>
          </w:tcPr>
          <w:p w:rsidR="000B4A91" w:rsidRPr="0009619E" w:rsidRDefault="000B4A91" w:rsidP="006D0CBD">
            <w:pPr>
              <w:spacing w:after="0"/>
              <w:jc w:val="center"/>
              <w:rPr>
                <w:rFonts w:eastAsia="Times New Roman" w:cs="Arial"/>
                <w:b/>
                <w:bCs/>
                <w:color w:val="FFFFFF"/>
                <w:sz w:val="18"/>
                <w:szCs w:val="18"/>
                <w:lang w:val="et-EE" w:eastAsia="et-EE"/>
              </w:rPr>
            </w:pPr>
            <w:r w:rsidRPr="0009619E">
              <w:rPr>
                <w:rFonts w:eastAsia="Times New Roman" w:cs="Arial"/>
                <w:b/>
                <w:bCs/>
                <w:color w:val="FFFFFF"/>
                <w:sz w:val="18"/>
                <w:szCs w:val="18"/>
                <w:lang w:val="et-EE" w:eastAsia="et-EE"/>
              </w:rPr>
              <w:t>EEA TERM-stsenaariumid (2050) (EEA 2010)</w:t>
            </w:r>
          </w:p>
        </w:tc>
        <w:tc>
          <w:tcPr>
            <w:tcW w:w="1842" w:type="dxa"/>
            <w:shd w:val="clear" w:color="auto" w:fill="808080"/>
          </w:tcPr>
          <w:p w:rsidR="000B4A91" w:rsidRPr="0009619E" w:rsidRDefault="000B4A91" w:rsidP="006D0CBD">
            <w:pPr>
              <w:spacing w:after="0"/>
              <w:jc w:val="center"/>
              <w:rPr>
                <w:rFonts w:eastAsia="Times New Roman" w:cs="Arial"/>
                <w:b/>
                <w:bCs/>
                <w:color w:val="FFFFFF"/>
                <w:sz w:val="18"/>
                <w:szCs w:val="18"/>
                <w:lang w:val="et-EE" w:eastAsia="et-EE"/>
              </w:rPr>
            </w:pPr>
            <w:r w:rsidRPr="0009619E">
              <w:rPr>
                <w:rFonts w:eastAsia="Times New Roman" w:cs="Arial"/>
                <w:b/>
                <w:bCs/>
                <w:color w:val="FFFFFF"/>
                <w:sz w:val="18"/>
                <w:szCs w:val="18"/>
                <w:lang w:val="et-EE" w:eastAsia="et-EE"/>
              </w:rPr>
              <w:t>Soome transpordi kliimastrateegia (2020) stsenaarium (LVM 2009)</w:t>
            </w:r>
          </w:p>
        </w:tc>
      </w:tr>
      <w:tr w:rsidR="000B4A91" w:rsidRPr="00AE3766"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Liikuvuskorralduse kavad ja ühistranspordi eelisarendamine</w:t>
            </w:r>
          </w:p>
        </w:tc>
        <w:tc>
          <w:tcPr>
            <w:tcW w:w="2410" w:type="dxa"/>
            <w:shd w:val="clear" w:color="auto" w:fill="F2F2F2"/>
          </w:tcPr>
          <w:p w:rsidR="000B4A91" w:rsidRPr="0009619E" w:rsidRDefault="000B4A91" w:rsidP="006D0CBD">
            <w:pPr>
              <w:spacing w:after="0"/>
              <w:jc w:val="center"/>
              <w:rPr>
                <w:rFonts w:cs="Calibri"/>
                <w:sz w:val="18"/>
                <w:szCs w:val="18"/>
                <w:lang w:val="et-EE"/>
              </w:rPr>
            </w:pPr>
          </w:p>
        </w:tc>
        <w:tc>
          <w:tcPr>
            <w:tcW w:w="1843"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-13% CO</w:t>
            </w:r>
            <w:r w:rsidRPr="0009619E">
              <w:rPr>
                <w:rFonts w:cs="Calibri"/>
                <w:sz w:val="18"/>
                <w:szCs w:val="18"/>
                <w:vertAlign w:val="subscript"/>
                <w:lang w:val="et-EE"/>
              </w:rPr>
              <w:t>2</w:t>
            </w:r>
          </w:p>
        </w:tc>
        <w:tc>
          <w:tcPr>
            <w:tcW w:w="1842"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-1% CO</w:t>
            </w:r>
            <w:r w:rsidRPr="0009619E">
              <w:rPr>
                <w:rFonts w:cs="Calibri"/>
                <w:sz w:val="18"/>
                <w:szCs w:val="18"/>
                <w:vertAlign w:val="subscript"/>
                <w:lang w:val="et-EE"/>
              </w:rPr>
              <w:t>2</w:t>
            </w:r>
          </w:p>
        </w:tc>
      </w:tr>
      <w:tr w:rsidR="000B4A91" w:rsidRPr="00AE3766"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lastRenderedPageBreak/>
              <w:t>Kergliiklust soosiv linnaplaneerimine</w:t>
            </w:r>
          </w:p>
        </w:tc>
        <w:tc>
          <w:tcPr>
            <w:tcW w:w="2410"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-10% sõiduautode läbisõidust</w:t>
            </w:r>
          </w:p>
        </w:tc>
        <w:tc>
          <w:tcPr>
            <w:tcW w:w="1843" w:type="dxa"/>
            <w:shd w:val="clear" w:color="auto" w:fill="F2F2F2"/>
          </w:tcPr>
          <w:p w:rsidR="000B4A91" w:rsidRPr="0009619E" w:rsidRDefault="000B4A91" w:rsidP="006D0CBD">
            <w:pPr>
              <w:spacing w:after="0"/>
              <w:jc w:val="center"/>
              <w:rPr>
                <w:rFonts w:cs="Calibri"/>
                <w:sz w:val="18"/>
                <w:szCs w:val="18"/>
                <w:lang w:val="et-EE"/>
              </w:rPr>
            </w:pPr>
          </w:p>
        </w:tc>
        <w:tc>
          <w:tcPr>
            <w:tcW w:w="1842"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-1% CO</w:t>
            </w:r>
            <w:r w:rsidRPr="0009619E">
              <w:rPr>
                <w:rFonts w:cs="Calibri"/>
                <w:sz w:val="18"/>
                <w:szCs w:val="18"/>
                <w:vertAlign w:val="subscript"/>
                <w:lang w:val="et-EE"/>
              </w:rPr>
              <w:t>2</w:t>
            </w:r>
          </w:p>
        </w:tc>
      </w:tr>
      <w:tr w:rsidR="000B4A91" w:rsidRPr="00AE3766"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 xml:space="preserve">Kompaktse asustuse soodustamine, ühisautod, tänavaruumi ümber jagamine </w:t>
            </w:r>
          </w:p>
        </w:tc>
        <w:tc>
          <w:tcPr>
            <w:tcW w:w="2410"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Linnaliikluse CO</w:t>
            </w:r>
            <w:r w:rsidRPr="0009619E">
              <w:rPr>
                <w:rFonts w:cs="Calibri"/>
                <w:sz w:val="18"/>
                <w:szCs w:val="18"/>
                <w:vertAlign w:val="subscript"/>
                <w:lang w:val="et-EE"/>
              </w:rPr>
              <w:t>2</w:t>
            </w:r>
            <w:r w:rsidRPr="0009619E">
              <w:rPr>
                <w:rFonts w:cs="Calibri"/>
                <w:sz w:val="18"/>
                <w:szCs w:val="18"/>
                <w:lang w:val="et-EE"/>
              </w:rPr>
              <w:t xml:space="preserve"> -11%/</w:t>
            </w:r>
          </w:p>
          <w:p w:rsidR="000B4A91" w:rsidRPr="0009619E" w:rsidRDefault="000B4A91" w:rsidP="006D0CBD">
            <w:pPr>
              <w:spacing w:after="0"/>
              <w:jc w:val="center"/>
              <w:rPr>
                <w:rFonts w:cs="Calibri"/>
                <w:sz w:val="18"/>
                <w:szCs w:val="18"/>
                <w:lang w:val="et-EE"/>
              </w:rPr>
            </w:pPr>
            <w:r w:rsidRPr="0009619E">
              <w:rPr>
                <w:rFonts w:cs="Calibri"/>
                <w:sz w:val="18"/>
                <w:szCs w:val="18"/>
                <w:lang w:val="et-EE"/>
              </w:rPr>
              <w:t xml:space="preserve">30% </w:t>
            </w:r>
            <w:proofErr w:type="spellStart"/>
            <w:r w:rsidRPr="0009619E">
              <w:rPr>
                <w:rFonts w:cs="Calibri"/>
                <w:sz w:val="18"/>
                <w:szCs w:val="18"/>
                <w:lang w:val="et-EE"/>
              </w:rPr>
              <w:t>sõiduki-km</w:t>
            </w:r>
            <w:proofErr w:type="spellEnd"/>
            <w:r w:rsidRPr="0009619E">
              <w:rPr>
                <w:rFonts w:cs="Calibri"/>
                <w:sz w:val="18"/>
                <w:szCs w:val="18"/>
                <w:lang w:val="et-EE"/>
              </w:rPr>
              <w:t xml:space="preserve"> suuremates linnades</w:t>
            </w:r>
          </w:p>
        </w:tc>
        <w:tc>
          <w:tcPr>
            <w:tcW w:w="1843"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-25%</w:t>
            </w:r>
          </w:p>
        </w:tc>
        <w:tc>
          <w:tcPr>
            <w:tcW w:w="1842" w:type="dxa"/>
            <w:shd w:val="clear" w:color="auto" w:fill="F2F2F2"/>
          </w:tcPr>
          <w:p w:rsidR="000B4A91" w:rsidRPr="0009619E" w:rsidRDefault="000B4A91" w:rsidP="006D0CBD">
            <w:pPr>
              <w:spacing w:after="0"/>
              <w:jc w:val="center"/>
              <w:rPr>
                <w:rFonts w:cs="Calibri"/>
                <w:sz w:val="18"/>
                <w:szCs w:val="18"/>
                <w:lang w:val="et-EE"/>
              </w:rPr>
            </w:pPr>
          </w:p>
        </w:tc>
      </w:tr>
      <w:tr w:rsidR="000B4A91" w:rsidRPr="00AE3766"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i/>
                <w:sz w:val="18"/>
                <w:szCs w:val="18"/>
                <w:lang w:val="et-EE"/>
              </w:rPr>
            </w:pPr>
            <w:r w:rsidRPr="0009619E">
              <w:rPr>
                <w:rFonts w:cs="Calibri"/>
                <w:sz w:val="18"/>
                <w:szCs w:val="18"/>
                <w:lang w:val="et-EE"/>
              </w:rPr>
              <w:t xml:space="preserve">Kütusesäästlik sõidustiil </w:t>
            </w:r>
          </w:p>
        </w:tc>
        <w:tc>
          <w:tcPr>
            <w:tcW w:w="2410"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-8% autode CO</w:t>
            </w:r>
            <w:r w:rsidRPr="0009619E">
              <w:rPr>
                <w:rFonts w:cs="Calibri"/>
                <w:sz w:val="18"/>
                <w:szCs w:val="18"/>
                <w:vertAlign w:val="subscript"/>
                <w:lang w:val="et-EE"/>
              </w:rPr>
              <w:t>2</w:t>
            </w:r>
            <w:r w:rsidRPr="0009619E">
              <w:rPr>
                <w:rFonts w:cs="Calibri"/>
                <w:sz w:val="18"/>
                <w:szCs w:val="18"/>
                <w:lang w:val="et-EE"/>
              </w:rPr>
              <w:t>-heitest</w:t>
            </w:r>
          </w:p>
        </w:tc>
        <w:tc>
          <w:tcPr>
            <w:tcW w:w="1843"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 xml:space="preserve">-5% </w:t>
            </w:r>
            <w:r w:rsidRPr="0009619E">
              <w:rPr>
                <w:sz w:val="18"/>
                <w:szCs w:val="18"/>
                <w:lang w:val="et-EE"/>
              </w:rPr>
              <w:t>CO</w:t>
            </w:r>
            <w:r w:rsidRPr="0009619E">
              <w:rPr>
                <w:sz w:val="18"/>
                <w:szCs w:val="18"/>
                <w:vertAlign w:val="subscript"/>
                <w:lang w:val="et-EE"/>
              </w:rPr>
              <w:t>2</w:t>
            </w:r>
          </w:p>
        </w:tc>
        <w:tc>
          <w:tcPr>
            <w:tcW w:w="1842" w:type="dxa"/>
            <w:shd w:val="clear" w:color="auto" w:fill="F2F2F2"/>
          </w:tcPr>
          <w:p w:rsidR="000B4A91" w:rsidRPr="0009619E" w:rsidRDefault="000B4A91" w:rsidP="006D0CBD">
            <w:pPr>
              <w:spacing w:after="0"/>
              <w:jc w:val="center"/>
              <w:rPr>
                <w:rFonts w:cs="Calibri"/>
                <w:sz w:val="18"/>
                <w:szCs w:val="18"/>
                <w:lang w:val="et-EE"/>
              </w:rPr>
            </w:pPr>
          </w:p>
        </w:tc>
      </w:tr>
      <w:tr w:rsidR="000B4A91" w:rsidRPr="00AE3766"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Madala CO</w:t>
            </w:r>
            <w:r w:rsidRPr="0009619E">
              <w:rPr>
                <w:rFonts w:cs="Calibri"/>
                <w:sz w:val="18"/>
                <w:szCs w:val="18"/>
                <w:vertAlign w:val="subscript"/>
                <w:lang w:val="et-EE"/>
              </w:rPr>
              <w:t>2</w:t>
            </w:r>
            <w:r w:rsidRPr="0009619E">
              <w:rPr>
                <w:rFonts w:cs="Calibri"/>
                <w:sz w:val="18"/>
                <w:szCs w:val="18"/>
                <w:lang w:val="et-EE"/>
              </w:rPr>
              <w:t xml:space="preserve"> sisaldusega kütused, taastuvenergia osakaalu tõstmine</w:t>
            </w:r>
          </w:p>
        </w:tc>
        <w:tc>
          <w:tcPr>
            <w:tcW w:w="2410" w:type="dxa"/>
            <w:shd w:val="clear" w:color="auto" w:fill="F2F2F2"/>
          </w:tcPr>
          <w:p w:rsidR="000B4A91" w:rsidRPr="0009619E" w:rsidRDefault="000B4A91" w:rsidP="006D0CBD">
            <w:pPr>
              <w:spacing w:after="0"/>
              <w:jc w:val="center"/>
              <w:rPr>
                <w:rFonts w:cs="Calibri"/>
                <w:sz w:val="18"/>
                <w:szCs w:val="18"/>
                <w:lang w:val="et-EE"/>
              </w:rPr>
            </w:pPr>
          </w:p>
        </w:tc>
        <w:tc>
          <w:tcPr>
            <w:tcW w:w="1843"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 xml:space="preserve">-4% autode ja -12% raskeveokite </w:t>
            </w:r>
            <w:r w:rsidRPr="0009619E">
              <w:rPr>
                <w:sz w:val="18"/>
                <w:szCs w:val="18"/>
                <w:lang w:val="et-EE"/>
              </w:rPr>
              <w:t>CO</w:t>
            </w:r>
            <w:r w:rsidRPr="0009619E">
              <w:rPr>
                <w:sz w:val="18"/>
                <w:szCs w:val="18"/>
                <w:vertAlign w:val="subscript"/>
                <w:lang w:val="et-EE"/>
              </w:rPr>
              <w:t>2</w:t>
            </w:r>
            <w:r w:rsidRPr="0009619E">
              <w:rPr>
                <w:rFonts w:cs="Calibri"/>
                <w:sz w:val="18"/>
                <w:szCs w:val="18"/>
                <w:lang w:val="et-EE"/>
              </w:rPr>
              <w:t xml:space="preserve"> heitest</w:t>
            </w:r>
          </w:p>
        </w:tc>
        <w:tc>
          <w:tcPr>
            <w:tcW w:w="1842"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-5% CO</w:t>
            </w:r>
            <w:r w:rsidRPr="0009619E">
              <w:rPr>
                <w:rFonts w:cs="Calibri"/>
                <w:sz w:val="18"/>
                <w:szCs w:val="18"/>
                <w:vertAlign w:val="subscript"/>
                <w:lang w:val="et-EE"/>
              </w:rPr>
              <w:t>2</w:t>
            </w:r>
          </w:p>
        </w:tc>
      </w:tr>
      <w:tr w:rsidR="000B4A91" w:rsidRPr="00AE3766"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Autode maksustamine, ökonoomsemad autod</w:t>
            </w:r>
          </w:p>
        </w:tc>
        <w:tc>
          <w:tcPr>
            <w:tcW w:w="2410"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-4,8% autode CO</w:t>
            </w:r>
            <w:r w:rsidRPr="0009619E">
              <w:rPr>
                <w:rFonts w:cs="Calibri"/>
                <w:sz w:val="18"/>
                <w:szCs w:val="18"/>
                <w:vertAlign w:val="subscript"/>
                <w:lang w:val="et-EE"/>
              </w:rPr>
              <w:t>2</w:t>
            </w:r>
            <w:r w:rsidRPr="0009619E">
              <w:rPr>
                <w:rFonts w:cs="Calibri"/>
                <w:sz w:val="18"/>
                <w:szCs w:val="18"/>
                <w:lang w:val="et-EE"/>
              </w:rPr>
              <w:t>-heitest</w:t>
            </w:r>
          </w:p>
        </w:tc>
        <w:tc>
          <w:tcPr>
            <w:tcW w:w="1843"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-17%</w:t>
            </w:r>
          </w:p>
        </w:tc>
        <w:tc>
          <w:tcPr>
            <w:tcW w:w="1842"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-15% CO</w:t>
            </w:r>
            <w:r w:rsidRPr="0009619E">
              <w:rPr>
                <w:rFonts w:cs="Calibri"/>
                <w:sz w:val="18"/>
                <w:szCs w:val="18"/>
                <w:vertAlign w:val="subscript"/>
                <w:lang w:val="et-EE"/>
              </w:rPr>
              <w:t>2</w:t>
            </w:r>
          </w:p>
        </w:tc>
      </w:tr>
      <w:tr w:rsidR="000B4A91" w:rsidRPr="00AE3766" w:rsidTr="006D0CBD">
        <w:tblPrEx>
          <w:tblCellMar>
            <w:left w:w="108" w:type="dxa"/>
            <w:right w:w="108" w:type="dxa"/>
          </w:tblCellMar>
          <w:tblLook w:val="00A0"/>
        </w:tblPrEx>
        <w:tc>
          <w:tcPr>
            <w:tcW w:w="5495" w:type="dxa"/>
            <w:gridSpan w:val="2"/>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Majanduslikud hoovad transpordinõudluse vähendamiseks</w:t>
            </w:r>
          </w:p>
        </w:tc>
        <w:tc>
          <w:tcPr>
            <w:tcW w:w="1843" w:type="dxa"/>
            <w:shd w:val="clear" w:color="auto" w:fill="F2F2F2"/>
          </w:tcPr>
          <w:p w:rsidR="000B4A91" w:rsidRPr="0009619E" w:rsidRDefault="000B4A91" w:rsidP="006D0CBD">
            <w:pPr>
              <w:spacing w:after="0"/>
              <w:jc w:val="center"/>
              <w:rPr>
                <w:rFonts w:cs="Calibri"/>
                <w:sz w:val="18"/>
                <w:szCs w:val="18"/>
                <w:lang w:val="et-EE"/>
              </w:rPr>
            </w:pPr>
          </w:p>
        </w:tc>
        <w:tc>
          <w:tcPr>
            <w:tcW w:w="1842"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-10% CO</w:t>
            </w:r>
            <w:r w:rsidRPr="0009619E">
              <w:rPr>
                <w:rFonts w:cs="Calibri"/>
                <w:sz w:val="18"/>
                <w:szCs w:val="18"/>
                <w:vertAlign w:val="subscript"/>
                <w:lang w:val="et-EE"/>
              </w:rPr>
              <w:t>2</w:t>
            </w:r>
          </w:p>
        </w:tc>
      </w:tr>
      <w:tr w:rsidR="000B4A91" w:rsidRPr="00AE3766"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 xml:space="preserve">Maanteetasud </w:t>
            </w:r>
          </w:p>
        </w:tc>
        <w:tc>
          <w:tcPr>
            <w:tcW w:w="2410"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 xml:space="preserve">-3% </w:t>
            </w:r>
            <w:proofErr w:type="spellStart"/>
            <w:r w:rsidRPr="0009619E">
              <w:rPr>
                <w:rFonts w:cs="Calibri"/>
                <w:sz w:val="18"/>
                <w:szCs w:val="18"/>
                <w:lang w:val="et-EE"/>
              </w:rPr>
              <w:t>sõiduki-km</w:t>
            </w:r>
            <w:proofErr w:type="spellEnd"/>
          </w:p>
        </w:tc>
        <w:tc>
          <w:tcPr>
            <w:tcW w:w="1843"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-3% CO</w:t>
            </w:r>
            <w:r w:rsidRPr="0009619E">
              <w:rPr>
                <w:rFonts w:cs="Calibri"/>
                <w:sz w:val="18"/>
                <w:szCs w:val="18"/>
                <w:vertAlign w:val="subscript"/>
                <w:lang w:val="et-EE"/>
              </w:rPr>
              <w:t>2</w:t>
            </w:r>
          </w:p>
        </w:tc>
        <w:tc>
          <w:tcPr>
            <w:tcW w:w="1842" w:type="dxa"/>
            <w:shd w:val="clear" w:color="auto" w:fill="F2F2F2"/>
          </w:tcPr>
          <w:p w:rsidR="000B4A91" w:rsidRPr="0009619E" w:rsidRDefault="000B4A91" w:rsidP="006D0CBD">
            <w:pPr>
              <w:spacing w:after="0"/>
              <w:jc w:val="center"/>
              <w:rPr>
                <w:rFonts w:cs="Calibri"/>
                <w:sz w:val="18"/>
                <w:szCs w:val="18"/>
                <w:lang w:val="et-EE"/>
              </w:rPr>
            </w:pPr>
          </w:p>
        </w:tc>
      </w:tr>
      <w:tr w:rsidR="000B4A91" w:rsidRPr="00C45B3B"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Parkimistasud töökohtades</w:t>
            </w:r>
          </w:p>
        </w:tc>
        <w:tc>
          <w:tcPr>
            <w:tcW w:w="2410"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-12% linna autoliiklusest, mis on seotud tööga (20%)</w:t>
            </w:r>
          </w:p>
          <w:p w:rsidR="000B4A91" w:rsidRPr="0009619E" w:rsidRDefault="000B4A91" w:rsidP="006D0CBD">
            <w:pPr>
              <w:spacing w:after="0"/>
              <w:jc w:val="center"/>
              <w:rPr>
                <w:rFonts w:cs="Calibri"/>
                <w:sz w:val="18"/>
                <w:szCs w:val="18"/>
                <w:lang w:val="et-EE"/>
              </w:rPr>
            </w:pPr>
          </w:p>
        </w:tc>
        <w:tc>
          <w:tcPr>
            <w:tcW w:w="1843" w:type="dxa"/>
            <w:shd w:val="clear" w:color="auto" w:fill="F2F2F2"/>
          </w:tcPr>
          <w:p w:rsidR="000B4A91" w:rsidRPr="0009619E" w:rsidRDefault="000B4A91" w:rsidP="006D0CBD">
            <w:pPr>
              <w:spacing w:after="0"/>
              <w:jc w:val="center"/>
              <w:rPr>
                <w:rFonts w:cs="Calibri"/>
                <w:sz w:val="18"/>
                <w:szCs w:val="18"/>
                <w:lang w:val="et-EE"/>
              </w:rPr>
            </w:pPr>
          </w:p>
        </w:tc>
        <w:tc>
          <w:tcPr>
            <w:tcW w:w="1842" w:type="dxa"/>
            <w:shd w:val="clear" w:color="auto" w:fill="F2F2F2"/>
          </w:tcPr>
          <w:p w:rsidR="000B4A91" w:rsidRPr="0009619E" w:rsidRDefault="000B4A91" w:rsidP="006D0CBD">
            <w:pPr>
              <w:spacing w:after="0"/>
              <w:jc w:val="center"/>
              <w:rPr>
                <w:rFonts w:cs="Calibri"/>
                <w:sz w:val="18"/>
                <w:szCs w:val="18"/>
                <w:lang w:val="et-EE"/>
              </w:rPr>
            </w:pPr>
          </w:p>
        </w:tc>
      </w:tr>
      <w:tr w:rsidR="000B4A91" w:rsidRPr="00AE3766"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Kaubandus-, teenindus- ja vabaajakeskustega seotud parkimiskohtade maksustamine</w:t>
            </w:r>
          </w:p>
        </w:tc>
        <w:tc>
          <w:tcPr>
            <w:tcW w:w="2410"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-12% linna autoliiklusest</w:t>
            </w:r>
          </w:p>
        </w:tc>
        <w:tc>
          <w:tcPr>
            <w:tcW w:w="1843" w:type="dxa"/>
            <w:shd w:val="clear" w:color="auto" w:fill="F2F2F2"/>
          </w:tcPr>
          <w:p w:rsidR="000B4A91" w:rsidRPr="0009619E" w:rsidRDefault="000B4A91" w:rsidP="006D0CBD">
            <w:pPr>
              <w:spacing w:after="0"/>
              <w:jc w:val="center"/>
              <w:rPr>
                <w:rFonts w:cs="Calibri"/>
                <w:sz w:val="18"/>
                <w:szCs w:val="18"/>
                <w:lang w:val="et-EE"/>
              </w:rPr>
            </w:pPr>
          </w:p>
        </w:tc>
        <w:tc>
          <w:tcPr>
            <w:tcW w:w="1842" w:type="dxa"/>
            <w:shd w:val="clear" w:color="auto" w:fill="F2F2F2"/>
          </w:tcPr>
          <w:p w:rsidR="000B4A91" w:rsidRPr="0009619E" w:rsidRDefault="000B4A91" w:rsidP="006D0CBD">
            <w:pPr>
              <w:spacing w:after="0"/>
              <w:jc w:val="center"/>
              <w:rPr>
                <w:rFonts w:cs="Calibri"/>
                <w:sz w:val="18"/>
                <w:szCs w:val="18"/>
                <w:lang w:val="et-EE"/>
              </w:rPr>
            </w:pPr>
          </w:p>
        </w:tc>
      </w:tr>
      <w:tr w:rsidR="000B4A91" w:rsidRPr="00C45B3B"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Kütuseaktsiisi tõstmine</w:t>
            </w:r>
          </w:p>
        </w:tc>
        <w:tc>
          <w:tcPr>
            <w:tcW w:w="2410"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1% kütuse hinna kasv vähendab kütuse tarbimist 0,25%</w:t>
            </w:r>
          </w:p>
        </w:tc>
        <w:tc>
          <w:tcPr>
            <w:tcW w:w="1843" w:type="dxa"/>
            <w:shd w:val="clear" w:color="auto" w:fill="F2F2F2"/>
          </w:tcPr>
          <w:p w:rsidR="000B4A91" w:rsidRPr="0009619E" w:rsidRDefault="000B4A91" w:rsidP="006D0CBD">
            <w:pPr>
              <w:spacing w:after="0"/>
              <w:jc w:val="center"/>
              <w:rPr>
                <w:rFonts w:cs="Calibri"/>
                <w:sz w:val="18"/>
                <w:szCs w:val="18"/>
                <w:lang w:val="et-EE"/>
              </w:rPr>
            </w:pPr>
          </w:p>
        </w:tc>
        <w:tc>
          <w:tcPr>
            <w:tcW w:w="1842" w:type="dxa"/>
            <w:shd w:val="clear" w:color="auto" w:fill="F2F2F2"/>
          </w:tcPr>
          <w:p w:rsidR="000B4A91" w:rsidRPr="0009619E" w:rsidRDefault="000B4A91" w:rsidP="006D0CBD">
            <w:pPr>
              <w:spacing w:after="0"/>
              <w:jc w:val="center"/>
              <w:rPr>
                <w:rFonts w:cs="Calibri"/>
                <w:sz w:val="18"/>
                <w:szCs w:val="18"/>
                <w:lang w:val="et-EE"/>
              </w:rPr>
            </w:pPr>
          </w:p>
        </w:tc>
      </w:tr>
      <w:tr w:rsidR="000B4A91" w:rsidRPr="00AE3766"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Ühistranspordi doteerimine, piletite 30% hinnalangus</w:t>
            </w:r>
          </w:p>
        </w:tc>
        <w:tc>
          <w:tcPr>
            <w:tcW w:w="2410" w:type="dxa"/>
            <w:shd w:val="clear" w:color="auto" w:fill="F2F2F2"/>
          </w:tcPr>
          <w:p w:rsidR="000B4A91" w:rsidRPr="0009619E" w:rsidRDefault="000B4A91" w:rsidP="006D0CBD">
            <w:pPr>
              <w:spacing w:after="0"/>
              <w:jc w:val="center"/>
              <w:rPr>
                <w:rFonts w:cs="Calibri"/>
                <w:sz w:val="18"/>
                <w:szCs w:val="18"/>
                <w:lang w:val="et-EE"/>
              </w:rPr>
            </w:pPr>
            <w:r w:rsidRPr="0009619E">
              <w:rPr>
                <w:rFonts w:cs="Calibri"/>
                <w:sz w:val="18"/>
                <w:szCs w:val="18"/>
                <w:lang w:val="et-EE"/>
              </w:rPr>
              <w:t>-2% autode CO</w:t>
            </w:r>
            <w:r w:rsidRPr="0009619E">
              <w:rPr>
                <w:rFonts w:cs="Calibri"/>
                <w:sz w:val="18"/>
                <w:szCs w:val="18"/>
                <w:vertAlign w:val="subscript"/>
                <w:lang w:val="et-EE"/>
              </w:rPr>
              <w:t>2</w:t>
            </w:r>
            <w:r w:rsidRPr="0009619E">
              <w:rPr>
                <w:rFonts w:cs="Calibri"/>
                <w:sz w:val="18"/>
                <w:szCs w:val="18"/>
                <w:lang w:val="et-EE"/>
              </w:rPr>
              <w:t>-heitest</w:t>
            </w:r>
          </w:p>
        </w:tc>
        <w:tc>
          <w:tcPr>
            <w:tcW w:w="1843" w:type="dxa"/>
            <w:shd w:val="clear" w:color="auto" w:fill="F2F2F2"/>
          </w:tcPr>
          <w:p w:rsidR="000B4A91" w:rsidRPr="0009619E" w:rsidRDefault="000B4A91" w:rsidP="006D0CBD">
            <w:pPr>
              <w:spacing w:after="0"/>
              <w:jc w:val="center"/>
              <w:rPr>
                <w:rFonts w:cs="Calibri"/>
                <w:sz w:val="18"/>
                <w:szCs w:val="18"/>
                <w:lang w:val="et-EE"/>
              </w:rPr>
            </w:pPr>
          </w:p>
        </w:tc>
        <w:tc>
          <w:tcPr>
            <w:tcW w:w="1842" w:type="dxa"/>
            <w:shd w:val="clear" w:color="auto" w:fill="F2F2F2"/>
          </w:tcPr>
          <w:p w:rsidR="000B4A91" w:rsidRPr="0009619E" w:rsidRDefault="000B4A91" w:rsidP="006D0CBD">
            <w:pPr>
              <w:spacing w:after="0"/>
              <w:jc w:val="center"/>
              <w:rPr>
                <w:rFonts w:cs="Calibri"/>
                <w:sz w:val="18"/>
                <w:szCs w:val="18"/>
                <w:lang w:val="et-EE"/>
              </w:rPr>
            </w:pPr>
          </w:p>
        </w:tc>
      </w:tr>
      <w:tr w:rsidR="000B4A91" w:rsidRPr="00AE3766" w:rsidTr="006D0CBD">
        <w:tblPrEx>
          <w:tblCellMar>
            <w:left w:w="108" w:type="dxa"/>
            <w:right w:w="108" w:type="dxa"/>
          </w:tblCellMar>
          <w:tblLook w:val="00A0"/>
        </w:tblPrEx>
        <w:tc>
          <w:tcPr>
            <w:tcW w:w="3085" w:type="dxa"/>
            <w:shd w:val="clear" w:color="auto" w:fill="F2F2F2"/>
          </w:tcPr>
          <w:p w:rsidR="000B4A91" w:rsidRPr="0009619E" w:rsidRDefault="000B4A91" w:rsidP="006D0CBD">
            <w:pPr>
              <w:spacing w:after="0"/>
              <w:jc w:val="left"/>
              <w:rPr>
                <w:rFonts w:cs="Calibri"/>
                <w:sz w:val="18"/>
                <w:szCs w:val="18"/>
                <w:lang w:val="et-EE"/>
              </w:rPr>
            </w:pPr>
            <w:r w:rsidRPr="0009619E">
              <w:rPr>
                <w:rFonts w:cs="Calibri"/>
                <w:sz w:val="18"/>
                <w:szCs w:val="18"/>
                <w:lang w:val="et-EE"/>
              </w:rPr>
              <w:t>Kaubavedude modaalne nihe maanteelt raudteele ja laevadele</w:t>
            </w:r>
          </w:p>
        </w:tc>
        <w:tc>
          <w:tcPr>
            <w:tcW w:w="2410" w:type="dxa"/>
            <w:shd w:val="clear" w:color="auto" w:fill="F2F2F2"/>
          </w:tcPr>
          <w:p w:rsidR="000B4A91" w:rsidRPr="0009619E" w:rsidRDefault="000B4A91" w:rsidP="006D0CBD">
            <w:pPr>
              <w:tabs>
                <w:tab w:val="right" w:pos="1913"/>
              </w:tabs>
              <w:spacing w:after="0"/>
              <w:jc w:val="center"/>
              <w:rPr>
                <w:rFonts w:cs="Calibri"/>
                <w:sz w:val="18"/>
                <w:szCs w:val="18"/>
                <w:lang w:val="et-EE"/>
              </w:rPr>
            </w:pPr>
            <w:r w:rsidRPr="0009619E">
              <w:rPr>
                <w:rFonts w:cs="Calibri"/>
                <w:sz w:val="18"/>
                <w:szCs w:val="18"/>
                <w:lang w:val="et-EE"/>
              </w:rPr>
              <w:t>-20% raskeveokite CO</w:t>
            </w:r>
            <w:r w:rsidRPr="0009619E">
              <w:rPr>
                <w:rFonts w:cs="Calibri"/>
                <w:sz w:val="18"/>
                <w:szCs w:val="18"/>
                <w:vertAlign w:val="subscript"/>
                <w:lang w:val="et-EE"/>
              </w:rPr>
              <w:t>2</w:t>
            </w:r>
            <w:r w:rsidRPr="0009619E">
              <w:rPr>
                <w:rFonts w:cs="Calibri"/>
                <w:sz w:val="18"/>
                <w:szCs w:val="18"/>
                <w:lang w:val="et-EE"/>
              </w:rPr>
              <w:t>-heitest</w:t>
            </w:r>
          </w:p>
        </w:tc>
        <w:tc>
          <w:tcPr>
            <w:tcW w:w="1843" w:type="dxa"/>
            <w:shd w:val="clear" w:color="auto" w:fill="F2F2F2"/>
          </w:tcPr>
          <w:p w:rsidR="000B4A91" w:rsidRPr="0009619E" w:rsidRDefault="000B4A91" w:rsidP="006D0CBD">
            <w:pPr>
              <w:spacing w:after="0"/>
              <w:jc w:val="center"/>
              <w:rPr>
                <w:rFonts w:cs="Calibri"/>
                <w:sz w:val="18"/>
                <w:szCs w:val="18"/>
                <w:lang w:val="et-EE"/>
              </w:rPr>
            </w:pPr>
          </w:p>
        </w:tc>
        <w:tc>
          <w:tcPr>
            <w:tcW w:w="1842" w:type="dxa"/>
            <w:shd w:val="clear" w:color="auto" w:fill="F2F2F2"/>
          </w:tcPr>
          <w:p w:rsidR="000B4A91" w:rsidRPr="0009619E" w:rsidRDefault="000B4A91" w:rsidP="006D0CBD">
            <w:pPr>
              <w:spacing w:after="0"/>
              <w:jc w:val="center"/>
              <w:rPr>
                <w:rFonts w:cs="Calibri"/>
                <w:sz w:val="18"/>
                <w:szCs w:val="18"/>
                <w:lang w:val="et-EE"/>
              </w:rPr>
            </w:pPr>
          </w:p>
        </w:tc>
      </w:tr>
    </w:tbl>
    <w:p w:rsidR="003F0C03" w:rsidRDefault="003F0C03"/>
    <w:p w:rsidR="00DB4EFE" w:rsidRPr="00C45B3B" w:rsidRDefault="00DB4EFE" w:rsidP="00DB4EFE">
      <w:pPr>
        <w:rPr>
          <w:lang w:val="fi-FI"/>
        </w:rPr>
      </w:pPr>
      <w:bookmarkStart w:id="4" w:name="_Toc280623883"/>
      <w:r w:rsidRPr="00C45B3B">
        <w:rPr>
          <w:lang w:val="fi-FI"/>
        </w:rPr>
        <w:t xml:space="preserve">Tabel </w:t>
      </w:r>
      <w:r w:rsidR="00FE3A15">
        <w:fldChar w:fldCharType="begin"/>
      </w:r>
      <w:r w:rsidR="00FE3A15" w:rsidRPr="00C45B3B">
        <w:rPr>
          <w:lang w:val="fi-FI"/>
        </w:rPr>
        <w:instrText xml:space="preserve"> STYLEREF 1 \s </w:instrText>
      </w:r>
      <w:r w:rsidR="00FE3A15">
        <w:fldChar w:fldCharType="separate"/>
      </w:r>
      <w:r w:rsidRPr="00C45B3B">
        <w:rPr>
          <w:noProof/>
          <w:lang w:val="fi-FI"/>
        </w:rPr>
        <w:t>5</w:t>
      </w:r>
      <w:r w:rsidR="00FE3A15">
        <w:fldChar w:fldCharType="end"/>
      </w:r>
      <w:r w:rsidRPr="00C45B3B">
        <w:rPr>
          <w:lang w:val="fi-FI"/>
        </w:rPr>
        <w:t>.</w:t>
      </w:r>
      <w:r w:rsidR="00FE3A15">
        <w:fldChar w:fldCharType="begin"/>
      </w:r>
      <w:r w:rsidRPr="00C45B3B">
        <w:rPr>
          <w:lang w:val="fi-FI"/>
        </w:rPr>
        <w:instrText xml:space="preserve"> SEQ Tabel \* ARABIC \s 1 </w:instrText>
      </w:r>
      <w:r w:rsidR="00FE3A15">
        <w:fldChar w:fldCharType="separate"/>
      </w:r>
      <w:r w:rsidRPr="00C45B3B">
        <w:rPr>
          <w:noProof/>
          <w:lang w:val="fi-FI"/>
        </w:rPr>
        <w:t>6</w:t>
      </w:r>
      <w:r w:rsidR="00FE3A15">
        <w:fldChar w:fldCharType="end"/>
      </w:r>
      <w:r w:rsidRPr="00C45B3B">
        <w:rPr>
          <w:lang w:val="fi-FI"/>
        </w:rPr>
        <w:t>. Erinevate meetmete mõju autode läbisõidu vähenemisele 10 a perspektiivis Stockholmi maakonnas</w:t>
      </w:r>
      <w:bookmarkEnd w:id="4"/>
      <w:r w:rsidRPr="00C45B3B">
        <w:rPr>
          <w:lang w:val="fi-FI"/>
        </w:rPr>
        <w:t xml:space="preserve"> </w:t>
      </w:r>
    </w:p>
    <w:p w:rsidR="00DB4EFE" w:rsidRDefault="00DB4EFE" w:rsidP="00DB4EFE">
      <w:r>
        <w:object w:dxaOrig="9347" w:dyaOrig="4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00.25pt" o:ole="">
            <v:imagedata r:id="rId7" o:title=""/>
          </v:shape>
          <o:OLEObject Type="Embed" ProgID="Word.Document.12" ShapeID="_x0000_i1025" DrawAspect="Content" ObjectID="_1431241407" r:id="rId8">
            <o:FieldCodes>\s</o:FieldCodes>
          </o:OLEObject>
        </w:object>
      </w:r>
    </w:p>
    <w:p w:rsidR="00DB4EFE" w:rsidRPr="00DB4EFE" w:rsidRDefault="00DB4EFE" w:rsidP="00DB4EFE">
      <w:pPr>
        <w:jc w:val="left"/>
        <w:rPr>
          <w:sz w:val="20"/>
          <w:lang w:val="et-EE"/>
        </w:rPr>
      </w:pPr>
      <w:r w:rsidRPr="00DB4EFE">
        <w:rPr>
          <w:sz w:val="20"/>
          <w:lang w:val="et-EE"/>
        </w:rPr>
        <w:lastRenderedPageBreak/>
        <w:t xml:space="preserve">Allikas: WSP </w:t>
      </w:r>
      <w:proofErr w:type="spellStart"/>
      <w:r w:rsidRPr="00DB4EFE">
        <w:rPr>
          <w:sz w:val="20"/>
          <w:lang w:val="et-EE"/>
        </w:rPr>
        <w:t>Sweden</w:t>
      </w:r>
      <w:proofErr w:type="spellEnd"/>
      <w:r w:rsidRPr="00DB4EFE">
        <w:rPr>
          <w:sz w:val="20"/>
          <w:lang w:val="et-EE"/>
        </w:rPr>
        <w:t xml:space="preserve"> 2007 </w:t>
      </w:r>
    </w:p>
    <w:p w:rsidR="00AB2C9A" w:rsidRPr="00451893" w:rsidRDefault="00AB2C9A" w:rsidP="00AB2C9A">
      <w:pPr>
        <w:jc w:val="left"/>
        <w:rPr>
          <w:sz w:val="20"/>
        </w:rPr>
      </w:pPr>
    </w:p>
    <w:p w:rsidR="00AB2C9A" w:rsidRDefault="00AB2C9A" w:rsidP="00AB2C9A">
      <w:pPr>
        <w:keepNext/>
        <w:jc w:val="center"/>
      </w:pPr>
    </w:p>
    <w:p w:rsidR="00AB2C9A" w:rsidRPr="00451893" w:rsidRDefault="00AB2C9A" w:rsidP="00AB2C9A">
      <w:pPr>
        <w:keepNext/>
        <w:jc w:val="center"/>
      </w:pPr>
      <w:r>
        <w:rPr>
          <w:noProof/>
          <w:lang w:val="et-EE" w:eastAsia="et-EE"/>
        </w:rPr>
        <w:drawing>
          <wp:inline distT="0" distB="0" distL="0" distR="0">
            <wp:extent cx="4791456" cy="2296287"/>
            <wp:effectExtent l="12192" t="6096" r="6477" b="2667"/>
            <wp:docPr id="4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C9A" w:rsidRDefault="00AB2C9A" w:rsidP="00AB2C9A">
      <w:pPr>
        <w:pStyle w:val="Caption"/>
        <w:jc w:val="left"/>
      </w:pPr>
    </w:p>
    <w:p w:rsidR="00AB2C9A" w:rsidRPr="00451893" w:rsidRDefault="00AB2C9A" w:rsidP="00AB2C9A">
      <w:pPr>
        <w:pStyle w:val="Caption"/>
        <w:jc w:val="left"/>
      </w:pPr>
      <w:bookmarkStart w:id="5" w:name="_Toc280623874"/>
      <w:r w:rsidRPr="00451893">
        <w:t xml:space="preserve">Joonis </w:t>
      </w:r>
      <w:fldSimple w:instr=" STYLEREF 1 \s ">
        <w:r>
          <w:rPr>
            <w:noProof/>
          </w:rPr>
          <w:t>5</w:t>
        </w:r>
      </w:fldSimple>
      <w:r>
        <w:t>.</w:t>
      </w:r>
      <w:fldSimple w:instr=" SEQ Joonis \* ARABIC \s 1 ">
        <w:r>
          <w:rPr>
            <w:noProof/>
          </w:rPr>
          <w:t>17</w:t>
        </w:r>
      </w:fldSimple>
      <w:r w:rsidRPr="00451893">
        <w:t>. EFEKT-stsenaariumi meetme</w:t>
      </w:r>
      <w:r>
        <w:t>te mõju KHG heite (miljonit tonni) vähenemisele 2005-2020</w:t>
      </w:r>
      <w:bookmarkEnd w:id="5"/>
    </w:p>
    <w:p w:rsidR="00AB2C9A" w:rsidRPr="00AB2C9A" w:rsidRDefault="00AB2C9A" w:rsidP="00AB2C9A">
      <w:pPr>
        <w:rPr>
          <w:lang w:val="fi-FI"/>
        </w:rPr>
      </w:pPr>
    </w:p>
    <w:p w:rsidR="00AB2C9A" w:rsidRPr="00451893" w:rsidRDefault="00AB2C9A" w:rsidP="00AB2C9A">
      <w:pPr>
        <w:keepNext/>
        <w:jc w:val="center"/>
      </w:pPr>
      <w:r>
        <w:rPr>
          <w:noProof/>
          <w:lang w:val="et-EE" w:eastAsia="et-EE"/>
        </w:rPr>
        <w:drawing>
          <wp:inline distT="0" distB="0" distL="0" distR="0">
            <wp:extent cx="4370959" cy="2918079"/>
            <wp:effectExtent l="12192" t="6096" r="7874" b="0"/>
            <wp:docPr id="48" name="Picture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2C9A" w:rsidRDefault="00AB2C9A" w:rsidP="00AB2C9A">
      <w:pPr>
        <w:pStyle w:val="Caption"/>
        <w:jc w:val="left"/>
      </w:pPr>
    </w:p>
    <w:p w:rsidR="00AB2C9A" w:rsidRPr="00451893" w:rsidRDefault="00AB2C9A" w:rsidP="00AB2C9A">
      <w:pPr>
        <w:pStyle w:val="Caption"/>
        <w:jc w:val="left"/>
        <w:rPr>
          <w:noProof/>
          <w:lang w:eastAsia="et-EE"/>
        </w:rPr>
      </w:pPr>
      <w:bookmarkStart w:id="6" w:name="_Toc280623875"/>
      <w:r w:rsidRPr="00451893">
        <w:t xml:space="preserve">Joonis </w:t>
      </w:r>
      <w:fldSimple w:instr=" STYLEREF 1 \s ">
        <w:r>
          <w:rPr>
            <w:noProof/>
          </w:rPr>
          <w:t>5</w:t>
        </w:r>
      </w:fldSimple>
      <w:r>
        <w:t>.</w:t>
      </w:r>
      <w:fldSimple w:instr=" SEQ Joonis \* ARABIC \s 1 ">
        <w:r>
          <w:rPr>
            <w:noProof/>
          </w:rPr>
          <w:t>18</w:t>
        </w:r>
      </w:fldSimple>
      <w:r>
        <w:t>. EFEKT-</w:t>
      </w:r>
      <w:r w:rsidRPr="00451893">
        <w:t xml:space="preserve">stsenaariumi meetmete </w:t>
      </w:r>
      <w:r>
        <w:t>mõju sõidukite läbisõidule 2020. a võrreldes</w:t>
      </w:r>
      <w:bookmarkEnd w:id="6"/>
    </w:p>
    <w:p w:rsidR="00AB2C9A" w:rsidRPr="00AB2C9A" w:rsidRDefault="00AB2C9A" w:rsidP="00AB2C9A">
      <w:pPr>
        <w:rPr>
          <w:rFonts w:cs="Calibri"/>
          <w:color w:val="FFFFFF"/>
          <w:sz w:val="20"/>
          <w:szCs w:val="20"/>
          <w:lang w:val="et-EE"/>
        </w:rPr>
      </w:pPr>
      <w:r w:rsidRPr="00AB2C9A">
        <w:rPr>
          <w:noProof/>
          <w:lang w:val="et-EE" w:eastAsia="et-EE"/>
        </w:rPr>
        <w:t>Suurem osa EFEKT-stsenaariumi meetmetest mõjutavad ka sõiduautode ja veoautode läbisõidu kasvu, kuid ei näita konkreetselt ära, kui palju transpordinõudluse kasvust n-ö haihtub, kui palju siirdub bussidele, rongidele, jalgsi ja rattasõidule või autode ühiskasutusse. Seetõttu tuleb põhjalikumalt analüüsida, mida tähendab u 2 miljardi sõiduk-km kasutuse ennetamine ruumilise planeerimise, liikuvus</w:t>
      </w:r>
      <w:r w:rsidRPr="00AB2C9A">
        <w:rPr>
          <w:noProof/>
          <w:lang w:val="et-EE" w:eastAsia="et-EE"/>
        </w:rPr>
        <w:softHyphen/>
        <w:t>korralduse, ühistranspordi, kergliikluse ja autode ühiskasutuse arengule.</w:t>
      </w:r>
      <w:r w:rsidRPr="00AB2C9A">
        <w:rPr>
          <w:rFonts w:cs="Calibri"/>
          <w:color w:val="FFFFFF"/>
          <w:sz w:val="20"/>
          <w:szCs w:val="20"/>
          <w:lang w:val="et-EE"/>
        </w:rPr>
        <w:t>s</w:t>
      </w:r>
    </w:p>
    <w:p w:rsidR="00AB2C9A" w:rsidRPr="00AB2C9A" w:rsidRDefault="00AB2C9A" w:rsidP="00AB2C9A">
      <w:pPr>
        <w:autoSpaceDE w:val="0"/>
        <w:autoSpaceDN w:val="0"/>
        <w:adjustRightInd w:val="0"/>
        <w:rPr>
          <w:lang w:val="fi-FI"/>
        </w:rPr>
      </w:pPr>
      <w:r w:rsidRPr="00AB2C9A">
        <w:rPr>
          <w:lang w:val="fi-FI" w:eastAsia="et-EE"/>
        </w:rPr>
        <w:lastRenderedPageBreak/>
        <w:t>Eestis on viimastel aastatel tõstatatud raskeveokite massi tõstmise ja pikemate autorongide lubamise küsimus (60 tonnile, mis on EL tasandil keelatud, kuid nt Rootsis ja Soomes lubatud). Ühe põhjendusena on muuhulgas ära toodud kütuse kokkuhoid, raskeveokite läbisõidu vähenemine ja liiklusohutuse kasv (Eesti Metsatööstuse Liit 2010). Maanteeameti ülevaates (2010) leiti, et veokite täismassi, pikkuse või kõrguse suurendamine eeldaks Eesti teede ja sildade seniseid projekteerimisnorme ja seisundit silmas pidades lähiaastatel ulatuslikku ümberehitusi ja investeeringuid (ca 3-30 miljardit krooni). Kuidas  raskemate vedude lubamine mõjutab raudtee konkurentsivõimet, transpordi väliskulusid ja maanteevedude nõudlust tervkuna vajab veel põhjalikumaid analüüse. Mitmed säästva transpordi edendamisega tegelevad organisatsioonid (nt Euroopa Transpordi ja Keskkonna Föderatsioon) ja uuringud (nt Umwelt Bundesamt 2007</w:t>
      </w:r>
      <w:r w:rsidRPr="00AB2C9A">
        <w:rPr>
          <w:rFonts w:ascii="Interstate-LightCondensed" w:hAnsi="Interstate-LightCondensed" w:cs="Interstate-LightCondensed"/>
          <w:lang w:val="fi-FI" w:eastAsia="et-EE"/>
        </w:rPr>
        <w:t xml:space="preserve">) </w:t>
      </w:r>
      <w:r w:rsidRPr="00AB2C9A">
        <w:rPr>
          <w:lang w:val="fi-FI" w:eastAsia="et-EE"/>
        </w:rPr>
        <w:t xml:space="preserve">osutavad, et raskemate ja pikemate raskeveokite lubamisest oleks rohkem kahju kui kasu, sest see: </w:t>
      </w:r>
    </w:p>
    <w:p w:rsidR="00AB2C9A" w:rsidRPr="00451893" w:rsidRDefault="00AB2C9A" w:rsidP="00AB2C9A">
      <w:pPr>
        <w:pStyle w:val="ListParagraph"/>
        <w:numPr>
          <w:ilvl w:val="0"/>
          <w:numId w:val="5"/>
        </w:numPr>
        <w:autoSpaceDE w:val="0"/>
        <w:autoSpaceDN w:val="0"/>
        <w:adjustRightInd w:val="0"/>
      </w:pPr>
      <w:r w:rsidRPr="00451893">
        <w:t>eeldab osa</w:t>
      </w:r>
      <w:r>
        <w:t xml:space="preserve"> </w:t>
      </w:r>
      <w:r w:rsidRPr="00451893">
        <w:t>infrastruktuuri ümberehitamist, tee-ehitus</w:t>
      </w:r>
      <w:r>
        <w:t>e</w:t>
      </w:r>
      <w:r w:rsidRPr="00451893">
        <w:t xml:space="preserve"> standardite muutmist, </w:t>
      </w:r>
      <w:r>
        <w:t>tehes</w:t>
      </w:r>
      <w:r w:rsidRPr="00451893">
        <w:t xml:space="preserve"> teehoiu ja </w:t>
      </w:r>
      <w:r>
        <w:t>-</w:t>
      </w:r>
      <w:r w:rsidRPr="00451893">
        <w:t>ehituse kulukamaks</w:t>
      </w:r>
      <w:r>
        <w:t>,</w:t>
      </w:r>
    </w:p>
    <w:p w:rsidR="00AB2C9A" w:rsidRPr="00451893" w:rsidRDefault="00AB2C9A" w:rsidP="00AB2C9A">
      <w:pPr>
        <w:pStyle w:val="ListParagraph"/>
        <w:numPr>
          <w:ilvl w:val="0"/>
          <w:numId w:val="5"/>
        </w:numPr>
      </w:pPr>
      <w:r w:rsidRPr="00451893">
        <w:t>võib viia osa kaubaveost</w:t>
      </w:r>
      <w:r>
        <w:t xml:space="preserve"> raudteelt</w:t>
      </w:r>
      <w:r w:rsidRPr="00451893">
        <w:t xml:space="preserve"> ja mere</w:t>
      </w:r>
      <w:r>
        <w:t>lt</w:t>
      </w:r>
      <w:r w:rsidRPr="00451893">
        <w:t xml:space="preserve"> üle maanteevedudele, tõstes negatiivseid väliskulusid ja maanteede koormust</w:t>
      </w:r>
      <w:r>
        <w:t>,</w:t>
      </w:r>
    </w:p>
    <w:p w:rsidR="00AB2C9A" w:rsidRPr="00451893" w:rsidRDefault="00AB2C9A" w:rsidP="00AB2C9A">
      <w:pPr>
        <w:pStyle w:val="ListParagraph"/>
        <w:numPr>
          <w:ilvl w:val="0"/>
          <w:numId w:val="5"/>
        </w:numPr>
      </w:pPr>
      <w:r w:rsidRPr="00451893">
        <w:t>võib genereerida madalamate otsekulude tõttu uut raskeveokite liiklust</w:t>
      </w:r>
      <w:r>
        <w:t>,</w:t>
      </w:r>
    </w:p>
    <w:p w:rsidR="00AB2C9A" w:rsidRDefault="00AB2C9A" w:rsidP="00AB2C9A">
      <w:pPr>
        <w:pStyle w:val="ListParagraph"/>
        <w:numPr>
          <w:ilvl w:val="0"/>
          <w:numId w:val="5"/>
        </w:numPr>
      </w:pPr>
      <w:r w:rsidRPr="00451893">
        <w:t>võib muuta õnnetuste raskusastet suuremaks.</w:t>
      </w:r>
    </w:p>
    <w:p w:rsidR="00AB2C9A" w:rsidRPr="00451893" w:rsidRDefault="00AB2C9A" w:rsidP="00AB2C9A">
      <w:pPr>
        <w:pStyle w:val="Heading2"/>
        <w:spacing w:line="240" w:lineRule="auto"/>
      </w:pPr>
      <w:bookmarkStart w:id="7" w:name="_Toc280624047"/>
      <w:r w:rsidRPr="00451893">
        <w:t>Uute reisirongide võimalik mõju sõiduautoliikluse kasvu ohjamisele</w:t>
      </w:r>
      <w:bookmarkEnd w:id="7"/>
    </w:p>
    <w:p w:rsidR="00AB2C9A" w:rsidRPr="00AB2C9A" w:rsidRDefault="00AB2C9A" w:rsidP="00AB2C9A">
      <w:pPr>
        <w:rPr>
          <w:noProof/>
          <w:lang w:val="fi-FI" w:eastAsia="et-EE"/>
        </w:rPr>
      </w:pPr>
    </w:p>
    <w:p w:rsidR="00AB2C9A" w:rsidRPr="00AB2C9A" w:rsidRDefault="00AB2C9A" w:rsidP="00AB2C9A">
      <w:pPr>
        <w:rPr>
          <w:noProof/>
          <w:lang w:val="fi-FI" w:eastAsia="et-EE"/>
        </w:rPr>
      </w:pPr>
      <w:r w:rsidRPr="00AB2C9A">
        <w:rPr>
          <w:noProof/>
          <w:lang w:val="fi-FI" w:eastAsia="et-EE"/>
        </w:rPr>
        <w:t xml:space="preserve">EFEKT-stsenaariumi meetmeid toetab uute elektri- ja diiselreisirongide soetamine ja raudtee remont, mis võimaldab reisironge kiiremini ja sagedamini sõitma panna ja teeninduse kvaliteeti tõsta. </w:t>
      </w:r>
    </w:p>
    <w:p w:rsidR="00AB2C9A" w:rsidRPr="00AB2C9A" w:rsidRDefault="00AB2C9A" w:rsidP="00AB2C9A">
      <w:pPr>
        <w:rPr>
          <w:noProof/>
          <w:lang w:val="fi-FI" w:eastAsia="et-EE"/>
        </w:rPr>
      </w:pPr>
    </w:p>
    <w:p w:rsidR="00AB2C9A" w:rsidRDefault="00AB2C9A" w:rsidP="00AB2C9A">
      <w:pPr>
        <w:pStyle w:val="Caption"/>
        <w:jc w:val="left"/>
      </w:pPr>
      <w:bookmarkStart w:id="8" w:name="_Toc280623884"/>
      <w:r w:rsidRPr="00451893">
        <w:t xml:space="preserve">Tabel </w:t>
      </w:r>
      <w:fldSimple w:instr=" STYLEREF 1 \s ">
        <w:r>
          <w:rPr>
            <w:noProof/>
          </w:rPr>
          <w:t>5</w:t>
        </w:r>
      </w:fldSimple>
      <w:r w:rsidRPr="00451893">
        <w:t>.</w:t>
      </w:r>
      <w:fldSimple w:instr=" SEQ Tabel \* ARABIC \s 1 ">
        <w:r>
          <w:rPr>
            <w:noProof/>
          </w:rPr>
          <w:t>7</w:t>
        </w:r>
      </w:fldSimple>
      <w:r>
        <w:t>.</w:t>
      </w:r>
      <w:r w:rsidRPr="00451893">
        <w:t xml:space="preserve"> Nõudluse täiendav kasv uute rongide ostmisel. Uute rongide soetamise tasuvusanalüüsis kasutatud hinnangud</w:t>
      </w:r>
      <w:bookmarkEnd w:id="8"/>
    </w:p>
    <w:p w:rsidR="00AB2C9A" w:rsidRPr="00921FFE" w:rsidRDefault="00AB2C9A" w:rsidP="00AB2C9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850"/>
        <w:gridCol w:w="5954"/>
      </w:tblGrid>
      <w:tr w:rsidR="00AB2C9A" w:rsidRPr="00C45B3B" w:rsidTr="006D0CBD">
        <w:tc>
          <w:tcPr>
            <w:tcW w:w="2093" w:type="dxa"/>
          </w:tcPr>
          <w:p w:rsidR="00AB2C9A" w:rsidRPr="00AB2C9A" w:rsidRDefault="00AB2C9A" w:rsidP="006D0CBD">
            <w:pPr>
              <w:autoSpaceDE w:val="0"/>
              <w:autoSpaceDN w:val="0"/>
              <w:adjustRightInd w:val="0"/>
              <w:jc w:val="left"/>
              <w:rPr>
                <w:noProof/>
                <w:sz w:val="20"/>
                <w:szCs w:val="20"/>
                <w:lang w:val="fi-FI" w:eastAsia="et-EE"/>
              </w:rPr>
            </w:pPr>
            <w:r w:rsidRPr="00AB2C9A">
              <w:rPr>
                <w:noProof/>
                <w:lang w:val="fi-FI" w:eastAsia="et-EE"/>
              </w:rPr>
              <w:t xml:space="preserve">Rongide sageduse ja mugavuse kasv </w:t>
            </w:r>
          </w:p>
        </w:tc>
        <w:tc>
          <w:tcPr>
            <w:tcW w:w="850" w:type="dxa"/>
          </w:tcPr>
          <w:p w:rsidR="00AB2C9A" w:rsidRPr="00A1515C" w:rsidRDefault="00AB2C9A" w:rsidP="006D0CBD">
            <w:pPr>
              <w:autoSpaceDE w:val="0"/>
              <w:autoSpaceDN w:val="0"/>
              <w:adjustRightInd w:val="0"/>
              <w:jc w:val="left"/>
              <w:rPr>
                <w:noProof/>
                <w:sz w:val="20"/>
                <w:szCs w:val="20"/>
                <w:lang w:eastAsia="et-EE"/>
              </w:rPr>
            </w:pPr>
            <w:r w:rsidRPr="00451893">
              <w:rPr>
                <w:noProof/>
                <w:lang w:eastAsia="et-EE"/>
              </w:rPr>
              <w:t>17%</w:t>
            </w:r>
            <w:r>
              <w:rPr>
                <w:noProof/>
                <w:lang w:eastAsia="et-EE"/>
              </w:rPr>
              <w:t xml:space="preserve"> </w:t>
            </w:r>
          </w:p>
          <w:p w:rsidR="00AB2C9A" w:rsidRPr="00A1515C" w:rsidRDefault="00AB2C9A" w:rsidP="006D0CBD">
            <w:pPr>
              <w:autoSpaceDE w:val="0"/>
              <w:autoSpaceDN w:val="0"/>
              <w:adjustRightInd w:val="0"/>
              <w:jc w:val="left"/>
              <w:rPr>
                <w:noProof/>
                <w:sz w:val="20"/>
                <w:szCs w:val="20"/>
                <w:lang w:eastAsia="et-EE"/>
              </w:rPr>
            </w:pPr>
          </w:p>
        </w:tc>
        <w:tc>
          <w:tcPr>
            <w:tcW w:w="5954" w:type="dxa"/>
          </w:tcPr>
          <w:p w:rsidR="00AB2C9A" w:rsidRPr="00AB2C9A" w:rsidRDefault="00AB2C9A" w:rsidP="006D0CBD">
            <w:pPr>
              <w:autoSpaceDE w:val="0"/>
              <w:autoSpaceDN w:val="0"/>
              <w:adjustRightInd w:val="0"/>
              <w:jc w:val="left"/>
              <w:rPr>
                <w:noProof/>
                <w:lang w:val="fi-FI" w:eastAsia="et-EE"/>
              </w:rPr>
            </w:pPr>
            <w:r w:rsidRPr="00451893">
              <w:rPr>
                <w:noProof/>
                <w:lang w:eastAsia="et-EE"/>
              </w:rPr>
              <w:t xml:space="preserve">Sageduse </w:t>
            </w:r>
            <w:r>
              <w:rPr>
                <w:noProof/>
                <w:lang w:eastAsia="et-EE"/>
              </w:rPr>
              <w:t xml:space="preserve">juures </w:t>
            </w:r>
            <w:r w:rsidRPr="00451893">
              <w:rPr>
                <w:noProof/>
                <w:lang w:eastAsia="et-EE"/>
              </w:rPr>
              <w:t>10</w:t>
            </w:r>
            <w:r>
              <w:rPr>
                <w:noProof/>
                <w:lang w:eastAsia="et-EE"/>
              </w:rPr>
              <w:t>–</w:t>
            </w:r>
            <w:r w:rsidRPr="00451893">
              <w:rPr>
                <w:noProof/>
                <w:lang w:eastAsia="et-EE"/>
              </w:rPr>
              <w:t xml:space="preserve">15 rongi </w:t>
            </w:r>
            <w:r>
              <w:rPr>
                <w:noProof/>
                <w:lang w:eastAsia="et-EE"/>
              </w:rPr>
              <w:t>päevas kahe</w:t>
            </w:r>
            <w:r w:rsidRPr="00451893">
              <w:rPr>
                <w:noProof/>
                <w:lang w:eastAsia="et-EE"/>
              </w:rPr>
              <w:t xml:space="preserve"> rongi lisamine suurendab sõitjate arvu 10</w:t>
            </w:r>
            <w:r>
              <w:rPr>
                <w:noProof/>
                <w:lang w:eastAsia="et-EE"/>
              </w:rPr>
              <w:t>–</w:t>
            </w:r>
            <w:r w:rsidRPr="00451893">
              <w:rPr>
                <w:noProof/>
                <w:lang w:eastAsia="et-EE"/>
              </w:rPr>
              <w:t>12%; 20</w:t>
            </w:r>
            <w:r>
              <w:rPr>
                <w:noProof/>
                <w:lang w:eastAsia="et-EE"/>
              </w:rPr>
              <w:t>–</w:t>
            </w:r>
            <w:r w:rsidRPr="00451893">
              <w:rPr>
                <w:noProof/>
                <w:lang w:eastAsia="et-EE"/>
              </w:rPr>
              <w:t>30 rongi puhul 4</w:t>
            </w:r>
            <w:r>
              <w:rPr>
                <w:noProof/>
                <w:lang w:eastAsia="et-EE"/>
              </w:rPr>
              <w:t>–</w:t>
            </w:r>
            <w:r w:rsidRPr="00451893">
              <w:rPr>
                <w:noProof/>
                <w:lang w:eastAsia="et-EE"/>
              </w:rPr>
              <w:t xml:space="preserve">5%. </w:t>
            </w:r>
            <w:r w:rsidRPr="00AB2C9A">
              <w:rPr>
                <w:noProof/>
                <w:lang w:val="fi-FI" w:eastAsia="et-EE"/>
              </w:rPr>
              <w:t>Veeremi ja jaamade mugavuse paranemise mõju võib hinnanguliselt suurendada nõudluse kasvu kuni 15%</w:t>
            </w:r>
          </w:p>
        </w:tc>
      </w:tr>
      <w:tr w:rsidR="00AB2C9A" w:rsidRPr="00C45B3B" w:rsidTr="006D0CBD">
        <w:trPr>
          <w:trHeight w:val="626"/>
        </w:trPr>
        <w:tc>
          <w:tcPr>
            <w:tcW w:w="2093" w:type="dxa"/>
          </w:tcPr>
          <w:p w:rsidR="00AB2C9A" w:rsidRPr="00A1515C" w:rsidRDefault="00AB2C9A" w:rsidP="006D0CBD">
            <w:pPr>
              <w:autoSpaceDE w:val="0"/>
              <w:autoSpaceDN w:val="0"/>
              <w:adjustRightInd w:val="0"/>
              <w:jc w:val="left"/>
              <w:rPr>
                <w:noProof/>
                <w:sz w:val="20"/>
                <w:szCs w:val="20"/>
                <w:lang w:eastAsia="et-EE"/>
              </w:rPr>
            </w:pPr>
            <w:r w:rsidRPr="00451893">
              <w:rPr>
                <w:noProof/>
                <w:lang w:eastAsia="et-EE"/>
              </w:rPr>
              <w:t>Rongide kiiruse kasv</w:t>
            </w:r>
          </w:p>
        </w:tc>
        <w:tc>
          <w:tcPr>
            <w:tcW w:w="850" w:type="dxa"/>
          </w:tcPr>
          <w:p w:rsidR="00AB2C9A" w:rsidRPr="00A1515C" w:rsidRDefault="00AB2C9A" w:rsidP="006D0CBD">
            <w:pPr>
              <w:autoSpaceDE w:val="0"/>
              <w:autoSpaceDN w:val="0"/>
              <w:adjustRightInd w:val="0"/>
              <w:jc w:val="left"/>
              <w:rPr>
                <w:noProof/>
                <w:sz w:val="20"/>
                <w:szCs w:val="20"/>
                <w:lang w:eastAsia="et-EE"/>
              </w:rPr>
            </w:pPr>
            <w:r w:rsidRPr="00451893">
              <w:rPr>
                <w:noProof/>
                <w:lang w:eastAsia="et-EE"/>
              </w:rPr>
              <w:t>7%</w:t>
            </w:r>
          </w:p>
        </w:tc>
        <w:tc>
          <w:tcPr>
            <w:tcW w:w="5954" w:type="dxa"/>
          </w:tcPr>
          <w:p w:rsidR="00AB2C9A" w:rsidRPr="00AB2C9A" w:rsidRDefault="00AB2C9A" w:rsidP="006D0CBD">
            <w:pPr>
              <w:autoSpaceDE w:val="0"/>
              <w:autoSpaceDN w:val="0"/>
              <w:adjustRightInd w:val="0"/>
              <w:jc w:val="left"/>
              <w:rPr>
                <w:noProof/>
                <w:lang w:val="fi-FI" w:eastAsia="et-EE"/>
              </w:rPr>
            </w:pPr>
            <w:r w:rsidRPr="00AB2C9A">
              <w:rPr>
                <w:noProof/>
                <w:lang w:val="fi-FI" w:eastAsia="et-EE"/>
              </w:rPr>
              <w:t xml:space="preserve">Helsingi lähirongiliikluse näitel kiiruse suurenemine või vähenemine 10% vastavalt lisab või vähendab sõitjate arvu </w:t>
            </w:r>
            <w:r w:rsidRPr="00AB2C9A">
              <w:rPr>
                <w:noProof/>
                <w:lang w:val="fi-FI" w:eastAsia="et-EE"/>
              </w:rPr>
              <w:br/>
              <w:t>7–10%</w:t>
            </w:r>
          </w:p>
        </w:tc>
      </w:tr>
      <w:tr w:rsidR="00AB2C9A" w:rsidRPr="00451893" w:rsidTr="006D0CBD">
        <w:tc>
          <w:tcPr>
            <w:tcW w:w="2093" w:type="dxa"/>
          </w:tcPr>
          <w:p w:rsidR="00AB2C9A" w:rsidRPr="00451893" w:rsidRDefault="00AB2C9A" w:rsidP="006D0CBD">
            <w:pPr>
              <w:autoSpaceDE w:val="0"/>
              <w:autoSpaceDN w:val="0"/>
              <w:adjustRightInd w:val="0"/>
              <w:jc w:val="left"/>
              <w:rPr>
                <w:noProof/>
                <w:lang w:eastAsia="et-EE"/>
              </w:rPr>
            </w:pPr>
            <w:r w:rsidRPr="00451893">
              <w:rPr>
                <w:noProof/>
                <w:lang w:eastAsia="et-EE"/>
              </w:rPr>
              <w:t xml:space="preserve">Ühtne piletisüsteem </w:t>
            </w:r>
          </w:p>
          <w:p w:rsidR="00AB2C9A" w:rsidRPr="00A1515C" w:rsidRDefault="00AB2C9A" w:rsidP="006D0CBD">
            <w:pPr>
              <w:autoSpaceDE w:val="0"/>
              <w:autoSpaceDN w:val="0"/>
              <w:adjustRightInd w:val="0"/>
              <w:jc w:val="left"/>
              <w:rPr>
                <w:noProof/>
                <w:sz w:val="20"/>
                <w:szCs w:val="20"/>
                <w:lang w:eastAsia="et-EE"/>
              </w:rPr>
            </w:pPr>
          </w:p>
        </w:tc>
        <w:tc>
          <w:tcPr>
            <w:tcW w:w="850" w:type="dxa"/>
          </w:tcPr>
          <w:p w:rsidR="00AB2C9A" w:rsidRPr="00A1515C" w:rsidRDefault="00AB2C9A" w:rsidP="006D0CBD">
            <w:pPr>
              <w:autoSpaceDE w:val="0"/>
              <w:autoSpaceDN w:val="0"/>
              <w:adjustRightInd w:val="0"/>
              <w:jc w:val="left"/>
              <w:rPr>
                <w:noProof/>
                <w:sz w:val="20"/>
                <w:szCs w:val="20"/>
                <w:lang w:eastAsia="et-EE"/>
              </w:rPr>
            </w:pPr>
            <w:r w:rsidRPr="00451893">
              <w:rPr>
                <w:noProof/>
                <w:lang w:eastAsia="et-EE"/>
              </w:rPr>
              <w:t>5%</w:t>
            </w:r>
          </w:p>
        </w:tc>
        <w:tc>
          <w:tcPr>
            <w:tcW w:w="5954" w:type="dxa"/>
          </w:tcPr>
          <w:p w:rsidR="00AB2C9A" w:rsidRPr="00A1515C" w:rsidRDefault="00AB2C9A" w:rsidP="006D0CBD">
            <w:pPr>
              <w:autoSpaceDE w:val="0"/>
              <w:autoSpaceDN w:val="0"/>
              <w:adjustRightInd w:val="0"/>
              <w:jc w:val="left"/>
              <w:rPr>
                <w:noProof/>
                <w:sz w:val="20"/>
                <w:szCs w:val="20"/>
                <w:lang w:eastAsia="et-EE"/>
              </w:rPr>
            </w:pPr>
          </w:p>
        </w:tc>
      </w:tr>
      <w:tr w:rsidR="00AB2C9A" w:rsidRPr="00451893" w:rsidTr="006D0CBD">
        <w:tc>
          <w:tcPr>
            <w:tcW w:w="2093" w:type="dxa"/>
          </w:tcPr>
          <w:p w:rsidR="00AB2C9A" w:rsidRPr="00A1515C" w:rsidRDefault="00AB2C9A" w:rsidP="006D0CBD">
            <w:pPr>
              <w:autoSpaceDE w:val="0"/>
              <w:autoSpaceDN w:val="0"/>
              <w:adjustRightInd w:val="0"/>
              <w:jc w:val="left"/>
              <w:rPr>
                <w:b/>
                <w:noProof/>
                <w:sz w:val="20"/>
                <w:szCs w:val="20"/>
                <w:lang w:eastAsia="et-EE"/>
              </w:rPr>
            </w:pPr>
            <w:r w:rsidRPr="00A1515C">
              <w:rPr>
                <w:b/>
                <w:noProof/>
                <w:lang w:eastAsia="et-EE"/>
              </w:rPr>
              <w:t xml:space="preserve">Kokku </w:t>
            </w:r>
          </w:p>
        </w:tc>
        <w:tc>
          <w:tcPr>
            <w:tcW w:w="850" w:type="dxa"/>
          </w:tcPr>
          <w:p w:rsidR="00AB2C9A" w:rsidRPr="00D32E14" w:rsidRDefault="00AB2C9A" w:rsidP="006D0CBD">
            <w:pPr>
              <w:autoSpaceDE w:val="0"/>
              <w:autoSpaceDN w:val="0"/>
              <w:adjustRightInd w:val="0"/>
              <w:jc w:val="left"/>
              <w:rPr>
                <w:noProof/>
                <w:lang w:eastAsia="et-EE"/>
              </w:rPr>
            </w:pPr>
            <w:r w:rsidRPr="00451893">
              <w:rPr>
                <w:noProof/>
                <w:lang w:eastAsia="et-EE"/>
              </w:rPr>
              <w:t>29%</w:t>
            </w:r>
          </w:p>
        </w:tc>
        <w:tc>
          <w:tcPr>
            <w:tcW w:w="5954" w:type="dxa"/>
          </w:tcPr>
          <w:p w:rsidR="00AB2C9A" w:rsidRPr="00A1515C" w:rsidRDefault="00AB2C9A" w:rsidP="006D0CBD">
            <w:pPr>
              <w:keepNext/>
              <w:autoSpaceDE w:val="0"/>
              <w:autoSpaceDN w:val="0"/>
              <w:adjustRightInd w:val="0"/>
              <w:jc w:val="left"/>
              <w:rPr>
                <w:noProof/>
                <w:sz w:val="20"/>
                <w:szCs w:val="20"/>
                <w:lang w:eastAsia="et-EE"/>
              </w:rPr>
            </w:pPr>
          </w:p>
        </w:tc>
      </w:tr>
    </w:tbl>
    <w:p w:rsidR="00AB2C9A" w:rsidRPr="007510B6" w:rsidRDefault="00AB2C9A" w:rsidP="00AB2C9A">
      <w:pPr>
        <w:autoSpaceDE w:val="0"/>
        <w:autoSpaceDN w:val="0"/>
        <w:adjustRightInd w:val="0"/>
        <w:rPr>
          <w:sz w:val="20"/>
        </w:rPr>
      </w:pPr>
      <w:proofErr w:type="spellStart"/>
      <w:r w:rsidRPr="00F5363D">
        <w:rPr>
          <w:sz w:val="20"/>
        </w:rPr>
        <w:t>Allikas</w:t>
      </w:r>
      <w:proofErr w:type="spellEnd"/>
      <w:r w:rsidRPr="00F5363D">
        <w:rPr>
          <w:sz w:val="20"/>
        </w:rPr>
        <w:t xml:space="preserve">: CENTAR 2008 </w:t>
      </w:r>
    </w:p>
    <w:p w:rsidR="00AB2C9A" w:rsidRPr="00451893" w:rsidRDefault="00AB2C9A" w:rsidP="00AB2C9A">
      <w:pPr>
        <w:autoSpaceDE w:val="0"/>
        <w:autoSpaceDN w:val="0"/>
        <w:adjustRightInd w:val="0"/>
        <w:rPr>
          <w:rFonts w:cs="Calibri"/>
          <w:i/>
          <w:sz w:val="20"/>
        </w:rPr>
      </w:pPr>
    </w:p>
    <w:p w:rsidR="00AB2C9A" w:rsidRPr="00441F9B" w:rsidRDefault="00AB2C9A" w:rsidP="00441F9B">
      <w:proofErr w:type="spellStart"/>
      <w:r w:rsidRPr="00451893">
        <w:lastRenderedPageBreak/>
        <w:t>Nõudluse</w:t>
      </w:r>
      <w:proofErr w:type="spellEnd"/>
      <w:r w:rsidRPr="00451893">
        <w:t xml:space="preserve"> </w:t>
      </w:r>
      <w:proofErr w:type="spellStart"/>
      <w:r w:rsidRPr="00451893">
        <w:t>kasvu</w:t>
      </w:r>
      <w:proofErr w:type="spellEnd"/>
      <w:r w:rsidRPr="00451893">
        <w:t xml:space="preserve"> </w:t>
      </w:r>
      <w:proofErr w:type="spellStart"/>
      <w:r w:rsidRPr="00451893">
        <w:t>allikad</w:t>
      </w:r>
      <w:proofErr w:type="spellEnd"/>
      <w:r w:rsidRPr="00451893">
        <w:t xml:space="preserve"> </w:t>
      </w:r>
      <w:proofErr w:type="spellStart"/>
      <w:r w:rsidRPr="00451893">
        <w:t>uute</w:t>
      </w:r>
      <w:proofErr w:type="spellEnd"/>
      <w:r w:rsidRPr="00451893">
        <w:t xml:space="preserve"> </w:t>
      </w:r>
      <w:proofErr w:type="spellStart"/>
      <w:r w:rsidRPr="00451893">
        <w:t>rongide</w:t>
      </w:r>
      <w:proofErr w:type="spellEnd"/>
      <w:r w:rsidRPr="00451893">
        <w:t xml:space="preserve"> </w:t>
      </w:r>
      <w:proofErr w:type="gramStart"/>
      <w:r w:rsidRPr="00451893">
        <w:t>ja</w:t>
      </w:r>
      <w:proofErr w:type="gramEnd"/>
      <w:r w:rsidRPr="00451893">
        <w:t xml:space="preserve"> </w:t>
      </w:r>
      <w:proofErr w:type="spellStart"/>
      <w:r w:rsidRPr="00451893">
        <w:t>rongireisijate</w:t>
      </w:r>
      <w:proofErr w:type="spellEnd"/>
      <w:r w:rsidRPr="00451893">
        <w:t xml:space="preserve"> </w:t>
      </w:r>
      <w:proofErr w:type="spellStart"/>
      <w:r w:rsidRPr="00451893">
        <w:t>kasvu</w:t>
      </w:r>
      <w:proofErr w:type="spellEnd"/>
      <w:r>
        <w:t xml:space="preserve"> </w:t>
      </w:r>
      <w:proofErr w:type="spellStart"/>
      <w:r w:rsidRPr="00451893">
        <w:t>puhul</w:t>
      </w:r>
      <w:proofErr w:type="spellEnd"/>
      <w:r w:rsidRPr="00451893">
        <w:t xml:space="preserve"> on </w:t>
      </w:r>
      <w:proofErr w:type="spellStart"/>
      <w:r w:rsidRPr="00451893">
        <w:t>järgmised</w:t>
      </w:r>
      <w:proofErr w:type="spellEnd"/>
      <w:r w:rsidRPr="00451893">
        <w:t xml:space="preserve">: pool </w:t>
      </w:r>
      <w:proofErr w:type="spellStart"/>
      <w:r w:rsidRPr="00451893">
        <w:t>nimetatud</w:t>
      </w:r>
      <w:proofErr w:type="spellEnd"/>
      <w:r w:rsidRPr="00451893">
        <w:t xml:space="preserve"> </w:t>
      </w:r>
      <w:proofErr w:type="spellStart"/>
      <w:r w:rsidRPr="00451893">
        <w:t>kasvust</w:t>
      </w:r>
      <w:proofErr w:type="spellEnd"/>
      <w:r w:rsidRPr="00451893">
        <w:t xml:space="preserve"> </w:t>
      </w:r>
      <w:proofErr w:type="spellStart"/>
      <w:r w:rsidRPr="00451893">
        <w:t>tuleks</w:t>
      </w:r>
      <w:proofErr w:type="spellEnd"/>
      <w:r w:rsidRPr="00451893">
        <w:t xml:space="preserve"> </w:t>
      </w:r>
      <w:proofErr w:type="spellStart"/>
      <w:r w:rsidRPr="00451893">
        <w:t>bussisõitude</w:t>
      </w:r>
      <w:proofErr w:type="spellEnd"/>
      <w:r w:rsidRPr="00451893">
        <w:t xml:space="preserve"> </w:t>
      </w:r>
      <w:proofErr w:type="spellStart"/>
      <w:r w:rsidRPr="00451893">
        <w:t>arvelt</w:t>
      </w:r>
      <w:proofErr w:type="spellEnd"/>
      <w:r w:rsidRPr="00451893">
        <w:t xml:space="preserve">, </w:t>
      </w:r>
      <w:proofErr w:type="spellStart"/>
      <w:r w:rsidRPr="00451893">
        <w:t>ülejäänud</w:t>
      </w:r>
      <w:proofErr w:type="spellEnd"/>
      <w:r w:rsidRPr="00451893">
        <w:t xml:space="preserve"> </w:t>
      </w:r>
      <w:proofErr w:type="spellStart"/>
      <w:r w:rsidRPr="00451893">
        <w:t>poolest</w:t>
      </w:r>
      <w:proofErr w:type="spellEnd"/>
      <w:r w:rsidRPr="00451893">
        <w:t xml:space="preserve"> </w:t>
      </w:r>
      <w:proofErr w:type="spellStart"/>
      <w:r w:rsidRPr="00451893">
        <w:t>kolm-neljandikku</w:t>
      </w:r>
      <w:proofErr w:type="spellEnd"/>
      <w:r w:rsidRPr="00451893">
        <w:t xml:space="preserve"> </w:t>
      </w:r>
      <w:proofErr w:type="spellStart"/>
      <w:r w:rsidRPr="00451893">
        <w:t>auto</w:t>
      </w:r>
      <w:r>
        <w:t>sõitjatest</w:t>
      </w:r>
      <w:proofErr w:type="spellEnd"/>
      <w:r w:rsidRPr="00451893">
        <w:t xml:space="preserve"> </w:t>
      </w:r>
      <w:proofErr w:type="spellStart"/>
      <w:r w:rsidRPr="00451893">
        <w:t>ning</w:t>
      </w:r>
      <w:proofErr w:type="spellEnd"/>
      <w:r w:rsidRPr="00451893">
        <w:t xml:space="preserve"> </w:t>
      </w:r>
      <w:proofErr w:type="spellStart"/>
      <w:r w:rsidRPr="00451893">
        <w:t>üks</w:t>
      </w:r>
      <w:proofErr w:type="spellEnd"/>
      <w:r w:rsidRPr="00451893">
        <w:t xml:space="preserve"> </w:t>
      </w:r>
      <w:proofErr w:type="spellStart"/>
      <w:r w:rsidRPr="00451893">
        <w:t>neljandik</w:t>
      </w:r>
      <w:proofErr w:type="spellEnd"/>
      <w:r w:rsidRPr="00451893">
        <w:t xml:space="preserve"> on n</w:t>
      </w:r>
      <w:r>
        <w:t>-</w:t>
      </w:r>
      <w:r w:rsidRPr="00451893">
        <w:t xml:space="preserve">ö </w:t>
      </w:r>
      <w:proofErr w:type="spellStart"/>
      <w:r w:rsidRPr="00451893">
        <w:t>loodud</w:t>
      </w:r>
      <w:proofErr w:type="spellEnd"/>
      <w:r w:rsidRPr="00451893">
        <w:t xml:space="preserve"> </w:t>
      </w:r>
      <w:proofErr w:type="spellStart"/>
      <w:r w:rsidRPr="00451893">
        <w:t>täiendav</w:t>
      </w:r>
      <w:proofErr w:type="spellEnd"/>
      <w:r w:rsidRPr="00451893">
        <w:t xml:space="preserve"> </w:t>
      </w:r>
      <w:proofErr w:type="spellStart"/>
      <w:r w:rsidRPr="00451893">
        <w:t>nõudlus</w:t>
      </w:r>
      <w:proofErr w:type="spellEnd"/>
      <w:r w:rsidRPr="00451893">
        <w:t xml:space="preserve">, </w:t>
      </w:r>
      <w:proofErr w:type="spellStart"/>
      <w:r w:rsidRPr="00451893">
        <w:t>mis</w:t>
      </w:r>
      <w:proofErr w:type="spellEnd"/>
      <w:r w:rsidRPr="00451893">
        <w:t xml:space="preserve"> </w:t>
      </w:r>
      <w:proofErr w:type="spellStart"/>
      <w:r w:rsidRPr="00451893">
        <w:t>uute</w:t>
      </w:r>
      <w:proofErr w:type="spellEnd"/>
      <w:r w:rsidRPr="00451893">
        <w:t xml:space="preserve"> </w:t>
      </w:r>
      <w:proofErr w:type="spellStart"/>
      <w:r w:rsidRPr="00451893">
        <w:t>rongide</w:t>
      </w:r>
      <w:proofErr w:type="spellEnd"/>
      <w:r w:rsidRPr="00451893">
        <w:t xml:space="preserve"> </w:t>
      </w:r>
      <w:proofErr w:type="spellStart"/>
      <w:r w:rsidRPr="00451893">
        <w:t>soetam</w:t>
      </w:r>
      <w:r>
        <w:t>ise</w:t>
      </w:r>
      <w:r w:rsidRPr="00451893">
        <w:t>ta</w:t>
      </w:r>
      <w:proofErr w:type="spellEnd"/>
      <w:r w:rsidRPr="00451893">
        <w:t xml:space="preserve"> </w:t>
      </w:r>
      <w:proofErr w:type="spellStart"/>
      <w:r w:rsidRPr="00451893">
        <w:t>poleks</w:t>
      </w:r>
      <w:proofErr w:type="spellEnd"/>
      <w:r w:rsidRPr="00451893">
        <w:t xml:space="preserve"> </w:t>
      </w:r>
      <w:proofErr w:type="spellStart"/>
      <w:r w:rsidRPr="00451893">
        <w:t>teostunud</w:t>
      </w:r>
      <w:proofErr w:type="spellEnd"/>
      <w:r w:rsidRPr="00451893">
        <w:t xml:space="preserve">. </w:t>
      </w:r>
      <w:proofErr w:type="spellStart"/>
      <w:r w:rsidRPr="00451893">
        <w:t>Uute</w:t>
      </w:r>
      <w:proofErr w:type="spellEnd"/>
      <w:r w:rsidRPr="00451893">
        <w:t xml:space="preserve"> </w:t>
      </w:r>
      <w:proofErr w:type="spellStart"/>
      <w:r w:rsidRPr="00451893">
        <w:t>rongide</w:t>
      </w:r>
      <w:proofErr w:type="spellEnd"/>
      <w:r w:rsidRPr="00451893">
        <w:t xml:space="preserve"> </w:t>
      </w:r>
      <w:proofErr w:type="spellStart"/>
      <w:r w:rsidRPr="00451893">
        <w:t>soetamise</w:t>
      </w:r>
      <w:proofErr w:type="spellEnd"/>
      <w:r w:rsidRPr="00451893">
        <w:t xml:space="preserve"> </w:t>
      </w:r>
      <w:proofErr w:type="spellStart"/>
      <w:r w:rsidRPr="00451893">
        <w:t>sotsiaal-majanduslikuks</w:t>
      </w:r>
      <w:proofErr w:type="spellEnd"/>
      <w:r w:rsidRPr="00451893">
        <w:t xml:space="preserve"> </w:t>
      </w:r>
      <w:proofErr w:type="spellStart"/>
      <w:r w:rsidRPr="00451893">
        <w:t>säästuks</w:t>
      </w:r>
      <w:proofErr w:type="spellEnd"/>
      <w:r w:rsidRPr="00451893">
        <w:t xml:space="preserve"> </w:t>
      </w:r>
      <w:proofErr w:type="spellStart"/>
      <w:r w:rsidRPr="00451893">
        <w:t>saadi</w:t>
      </w:r>
      <w:proofErr w:type="spellEnd"/>
      <w:r w:rsidRPr="00451893">
        <w:t xml:space="preserve"> CENTAR</w:t>
      </w:r>
      <w:r>
        <w:t>-</w:t>
      </w:r>
      <w:proofErr w:type="spellStart"/>
      <w:r w:rsidRPr="00451893">
        <w:t>i</w:t>
      </w:r>
      <w:proofErr w:type="spellEnd"/>
      <w:r w:rsidRPr="00451893">
        <w:t xml:space="preserve"> </w:t>
      </w:r>
      <w:proofErr w:type="spellStart"/>
      <w:r w:rsidRPr="00451893">
        <w:t>raportis</w:t>
      </w:r>
      <w:proofErr w:type="spellEnd"/>
      <w:r w:rsidRPr="00451893">
        <w:t xml:space="preserve"> </w:t>
      </w:r>
      <w:proofErr w:type="spellStart"/>
      <w:r w:rsidRPr="00451893">
        <w:t>väliskulude</w:t>
      </w:r>
      <w:proofErr w:type="spellEnd"/>
      <w:r w:rsidRPr="00451893">
        <w:t xml:space="preserve">, </w:t>
      </w:r>
      <w:proofErr w:type="spellStart"/>
      <w:r w:rsidRPr="00451893">
        <w:t>ajakulu</w:t>
      </w:r>
      <w:proofErr w:type="spellEnd"/>
      <w:r w:rsidRPr="00451893">
        <w:t xml:space="preserve"> </w:t>
      </w:r>
      <w:proofErr w:type="spellStart"/>
      <w:r w:rsidRPr="00451893">
        <w:t>ning</w:t>
      </w:r>
      <w:proofErr w:type="spellEnd"/>
      <w:r w:rsidRPr="00451893">
        <w:t xml:space="preserve"> </w:t>
      </w:r>
      <w:proofErr w:type="spellStart"/>
      <w:r w:rsidRPr="00451893">
        <w:t>tegevuskulude</w:t>
      </w:r>
      <w:proofErr w:type="spellEnd"/>
      <w:r w:rsidRPr="00451893">
        <w:t xml:space="preserve"> </w:t>
      </w:r>
      <w:proofErr w:type="spellStart"/>
      <w:r w:rsidRPr="00451893">
        <w:t>säästu</w:t>
      </w:r>
      <w:proofErr w:type="spellEnd"/>
      <w:r w:rsidRPr="00451893">
        <w:t xml:space="preserve"> </w:t>
      </w:r>
      <w:proofErr w:type="spellStart"/>
      <w:r w:rsidRPr="00451893">
        <w:t>tulemusel</w:t>
      </w:r>
      <w:proofErr w:type="spellEnd"/>
      <w:r w:rsidRPr="00451893">
        <w:t xml:space="preserve"> </w:t>
      </w:r>
      <w:proofErr w:type="spellStart"/>
      <w:r w:rsidRPr="00451893">
        <w:t>aastaks</w:t>
      </w:r>
      <w:proofErr w:type="spellEnd"/>
      <w:r w:rsidRPr="00451893">
        <w:t xml:space="preserve"> 2020 </w:t>
      </w:r>
      <w:proofErr w:type="spellStart"/>
      <w:r w:rsidRPr="00451893">
        <w:t>keskmiselt</w:t>
      </w:r>
      <w:proofErr w:type="spellEnd"/>
      <w:r w:rsidRPr="00451893">
        <w:t xml:space="preserve"> 300</w:t>
      </w:r>
      <w:r>
        <w:t>–</w:t>
      </w:r>
      <w:r w:rsidRPr="00451893">
        <w:t xml:space="preserve">350 </w:t>
      </w:r>
      <w:proofErr w:type="spellStart"/>
      <w:r w:rsidRPr="00451893">
        <w:t>miljonit</w:t>
      </w:r>
      <w:proofErr w:type="spellEnd"/>
      <w:r w:rsidRPr="00451893">
        <w:t xml:space="preserve"> </w:t>
      </w:r>
      <w:proofErr w:type="spellStart"/>
      <w:r w:rsidRPr="00451893">
        <w:t>krooni</w:t>
      </w:r>
      <w:proofErr w:type="spellEnd"/>
      <w:r w:rsidRPr="00451893">
        <w:t xml:space="preserve"> </w:t>
      </w:r>
      <w:proofErr w:type="spellStart"/>
      <w:r w:rsidRPr="00451893">
        <w:t>aastas</w:t>
      </w:r>
      <w:proofErr w:type="spellEnd"/>
      <w:r w:rsidRPr="00451893">
        <w:t xml:space="preserve"> (CENTAR 2008). </w:t>
      </w:r>
      <w:proofErr w:type="spellStart"/>
      <w:r w:rsidRPr="00441F9B">
        <w:t>Arvestades</w:t>
      </w:r>
      <w:proofErr w:type="spellEnd"/>
      <w:r w:rsidRPr="00441F9B">
        <w:t xml:space="preserve">, et </w:t>
      </w:r>
      <w:proofErr w:type="spellStart"/>
      <w:r w:rsidRPr="00441F9B">
        <w:t>viimastel</w:t>
      </w:r>
      <w:proofErr w:type="spellEnd"/>
      <w:r w:rsidRPr="00441F9B">
        <w:t xml:space="preserve"> </w:t>
      </w:r>
      <w:proofErr w:type="spellStart"/>
      <w:r w:rsidRPr="00441F9B">
        <w:t>aastatel</w:t>
      </w:r>
      <w:proofErr w:type="spellEnd"/>
      <w:r w:rsidRPr="00441F9B">
        <w:t xml:space="preserve"> on </w:t>
      </w:r>
      <w:proofErr w:type="spellStart"/>
      <w:r w:rsidRPr="00441F9B">
        <w:t>rongireisijate</w:t>
      </w:r>
      <w:proofErr w:type="spellEnd"/>
      <w:r w:rsidRPr="00441F9B">
        <w:t xml:space="preserve"> </w:t>
      </w:r>
      <w:proofErr w:type="spellStart"/>
      <w:r w:rsidRPr="00441F9B">
        <w:t>sõitjakäive</w:t>
      </w:r>
      <w:proofErr w:type="spellEnd"/>
      <w:r w:rsidRPr="00441F9B">
        <w:t xml:space="preserve"> </w:t>
      </w:r>
      <w:proofErr w:type="spellStart"/>
      <w:r w:rsidRPr="00441F9B">
        <w:t>olnud</w:t>
      </w:r>
      <w:proofErr w:type="spellEnd"/>
      <w:r w:rsidRPr="00441F9B">
        <w:t xml:space="preserve"> 0,27 </w:t>
      </w:r>
      <w:proofErr w:type="spellStart"/>
      <w:r w:rsidRPr="00441F9B">
        <w:t>miljardit</w:t>
      </w:r>
      <w:proofErr w:type="spellEnd"/>
      <w:r w:rsidRPr="00441F9B">
        <w:t xml:space="preserve"> </w:t>
      </w:r>
      <w:proofErr w:type="spellStart"/>
      <w:r w:rsidRPr="00441F9B">
        <w:t>sõitja</w:t>
      </w:r>
      <w:proofErr w:type="spellEnd"/>
      <w:r w:rsidRPr="00441F9B">
        <w:t>-km (</w:t>
      </w:r>
      <w:proofErr w:type="spellStart"/>
      <w:r w:rsidR="00FE3A15">
        <w:fldChar w:fldCharType="begin"/>
      </w:r>
      <w:r w:rsidRPr="00441F9B">
        <w:instrText xml:space="preserve"> REF _Ref278493309 \h  \* MERGEFORMAT </w:instrText>
      </w:r>
      <w:r w:rsidR="00FE3A15">
        <w:fldChar w:fldCharType="separate"/>
      </w:r>
      <w:r w:rsidRPr="00451893">
        <w:rPr>
          <w:noProof/>
        </w:rPr>
        <w:t>Joonis</w:t>
      </w:r>
      <w:proofErr w:type="spellEnd"/>
      <w:r w:rsidRPr="00451893">
        <w:rPr>
          <w:noProof/>
        </w:rPr>
        <w:t xml:space="preserve"> </w:t>
      </w:r>
      <w:r>
        <w:rPr>
          <w:noProof/>
        </w:rPr>
        <w:t>2.1</w:t>
      </w:r>
      <w:r w:rsidR="00FE3A15">
        <w:fldChar w:fldCharType="end"/>
      </w:r>
      <w:r w:rsidRPr="00451893">
        <w:t xml:space="preserve">), </w:t>
      </w:r>
      <w:proofErr w:type="spellStart"/>
      <w:r w:rsidRPr="00451893">
        <w:t>siis</w:t>
      </w:r>
      <w:proofErr w:type="spellEnd"/>
      <w:r w:rsidRPr="00451893">
        <w:t xml:space="preserve"> </w:t>
      </w:r>
      <w:proofErr w:type="spellStart"/>
      <w:r w:rsidRPr="00451893">
        <w:t>tabelis</w:t>
      </w:r>
      <w:proofErr w:type="spellEnd"/>
      <w:r w:rsidRPr="00451893">
        <w:t xml:space="preserve"> </w:t>
      </w:r>
      <w:proofErr w:type="spellStart"/>
      <w:r w:rsidRPr="00451893">
        <w:t>toodud</w:t>
      </w:r>
      <w:proofErr w:type="spellEnd"/>
      <w:r w:rsidRPr="00451893">
        <w:t xml:space="preserve"> </w:t>
      </w:r>
      <w:proofErr w:type="spellStart"/>
      <w:r w:rsidRPr="00451893">
        <w:t>võimalik</w:t>
      </w:r>
      <w:proofErr w:type="spellEnd"/>
      <w:r w:rsidRPr="00451893">
        <w:t xml:space="preserve"> 30% rongikasutajate </w:t>
      </w:r>
      <w:r>
        <w:t xml:space="preserve">arvu </w:t>
      </w:r>
      <w:r w:rsidRPr="00451893">
        <w:t xml:space="preserve">kasv võiks EFEKT-stsenaariumi eesmärke ehk sõiduautokasutuse kasvu nõudlust </w:t>
      </w:r>
      <w:proofErr w:type="spellStart"/>
      <w:r w:rsidRPr="00451893">
        <w:t>vähendada</w:t>
      </w:r>
      <w:proofErr w:type="spellEnd"/>
      <w:r w:rsidRPr="00451893">
        <w:t xml:space="preserve"> </w:t>
      </w:r>
      <w:r>
        <w:t>u</w:t>
      </w:r>
      <w:r w:rsidRPr="00451893">
        <w:t xml:space="preserve"> 0,15 </w:t>
      </w:r>
      <w:proofErr w:type="spellStart"/>
      <w:r w:rsidRPr="00451893">
        <w:t>miljardi</w:t>
      </w:r>
      <w:proofErr w:type="spellEnd"/>
      <w:r w:rsidRPr="00451893">
        <w:t xml:space="preserve"> </w:t>
      </w:r>
      <w:proofErr w:type="spellStart"/>
      <w:r w:rsidRPr="00451893">
        <w:t>sõitja</w:t>
      </w:r>
      <w:proofErr w:type="spellEnd"/>
      <w:r w:rsidRPr="00451893">
        <w:t xml:space="preserve">-km </w:t>
      </w:r>
      <w:proofErr w:type="spellStart"/>
      <w:r w:rsidRPr="00451893">
        <w:t>võrra</w:t>
      </w:r>
      <w:proofErr w:type="spellEnd"/>
    </w:p>
    <w:p w:rsidR="00E31835" w:rsidRPr="00DB4EFE" w:rsidRDefault="00E31835">
      <w:pPr>
        <w:rPr>
          <w:lang w:val="et-EE"/>
        </w:rPr>
      </w:pPr>
    </w:p>
    <w:p w:rsidR="00441F9B" w:rsidRPr="00441F9B" w:rsidRDefault="00441F9B" w:rsidP="00441F9B">
      <w:pPr>
        <w:rPr>
          <w:lang w:val="fi-FI"/>
        </w:rPr>
      </w:pPr>
      <w:r w:rsidRPr="00441F9B">
        <w:rPr>
          <w:lang w:val="fi-FI"/>
        </w:rPr>
        <w:t>Eeltoodud meetmete mõju maanteetranspordi KHG-heite vähendamisele on näidatud alloleval joonisel (Joonis 5.11).</w:t>
      </w:r>
    </w:p>
    <w:p w:rsidR="00441F9B" w:rsidRPr="00451893" w:rsidRDefault="00441F9B" w:rsidP="00441F9B">
      <w:pPr>
        <w:jc w:val="center"/>
      </w:pPr>
      <w:r>
        <w:rPr>
          <w:noProof/>
          <w:lang w:val="et-EE" w:eastAsia="et-EE"/>
        </w:rPr>
        <w:drawing>
          <wp:inline distT="0" distB="0" distL="0" distR="0">
            <wp:extent cx="4373880" cy="2335911"/>
            <wp:effectExtent l="12192" t="6096" r="4953" b="1143"/>
            <wp:docPr id="40" name="Picture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1F9B" w:rsidRDefault="00441F9B" w:rsidP="00441F9B">
      <w:pPr>
        <w:pStyle w:val="Caption"/>
        <w:jc w:val="left"/>
      </w:pPr>
      <w:bookmarkStart w:id="9" w:name="_Ref278545014"/>
    </w:p>
    <w:p w:rsidR="00441F9B" w:rsidRPr="00451893" w:rsidRDefault="00441F9B" w:rsidP="00441F9B">
      <w:pPr>
        <w:pStyle w:val="Caption"/>
        <w:jc w:val="left"/>
        <w:rPr>
          <w:noProof/>
          <w:lang w:eastAsia="et-EE"/>
        </w:rPr>
      </w:pPr>
      <w:bookmarkStart w:id="10" w:name="_Toc280623868"/>
      <w:r w:rsidRPr="00451893">
        <w:t xml:space="preserve">Joonis </w:t>
      </w:r>
      <w:fldSimple w:instr=" STYLEREF 1 \s ">
        <w:r>
          <w:rPr>
            <w:noProof/>
          </w:rPr>
          <w:t>5</w:t>
        </w:r>
      </w:fldSimple>
      <w:r>
        <w:t>.</w:t>
      </w:r>
      <w:fldSimple w:instr=" SEQ Joonis \* ARABIC \s 1 ">
        <w:r>
          <w:rPr>
            <w:noProof/>
          </w:rPr>
          <w:t>11</w:t>
        </w:r>
      </w:fldSimple>
      <w:bookmarkEnd w:id="9"/>
      <w:r w:rsidRPr="00451893">
        <w:t xml:space="preserve">. </w:t>
      </w:r>
      <w:r>
        <w:t>TEHNO-stsenaariumi meetmete mõju KHG heite (miljonit tonni) vähenemisele 2010-2020</w:t>
      </w:r>
      <w:bookmarkEnd w:id="10"/>
    </w:p>
    <w:p w:rsidR="00441F9B" w:rsidRPr="00441F9B" w:rsidRDefault="00441F9B" w:rsidP="00441F9B">
      <w:pPr>
        <w:rPr>
          <w:noProof/>
          <w:lang w:val="fi-FI"/>
        </w:rPr>
      </w:pPr>
      <w:r w:rsidRPr="00C45B3B">
        <w:rPr>
          <w:lang w:val="et-EE"/>
        </w:rPr>
        <w:t>Kui kasvuhoonegaaside tase peaks aastal 2020 olema 2,23 miljardit tonni, nagu EL sihtmärk Eesti jaoks on, siis peaks sõiduautode keskmine CO</w:t>
      </w:r>
      <w:r w:rsidRPr="00C45B3B">
        <w:rPr>
          <w:vertAlign w:val="subscript"/>
          <w:lang w:val="et-EE"/>
        </w:rPr>
        <w:t>2</w:t>
      </w:r>
      <w:r w:rsidRPr="00C45B3B">
        <w:rPr>
          <w:lang w:val="et-EE"/>
        </w:rPr>
        <w:t xml:space="preserve">-heide olema aastal 2020 143 </w:t>
      </w:r>
      <w:proofErr w:type="spellStart"/>
      <w:r w:rsidRPr="00C45B3B">
        <w:rPr>
          <w:lang w:val="et-EE"/>
        </w:rPr>
        <w:t>g/sõiduk-km</w:t>
      </w:r>
      <w:proofErr w:type="spellEnd"/>
      <w:r w:rsidRPr="00C45B3B">
        <w:rPr>
          <w:lang w:val="et-EE"/>
        </w:rPr>
        <w:t xml:space="preserve"> (Joonis 5.12). </w:t>
      </w:r>
      <w:r w:rsidRPr="00441F9B">
        <w:rPr>
          <w:lang w:val="fi-FI"/>
        </w:rPr>
        <w:t>Selleks, et saavutada aastaks 2020 143 g/sõiduk-km, peab sõidukipargi keskmine CO</w:t>
      </w:r>
      <w:r w:rsidRPr="00441F9B">
        <w:rPr>
          <w:vertAlign w:val="subscript"/>
          <w:lang w:val="fi-FI"/>
        </w:rPr>
        <w:t>2</w:t>
      </w:r>
      <w:r w:rsidRPr="00441F9B">
        <w:rPr>
          <w:lang w:val="fi-FI"/>
        </w:rPr>
        <w:t>-heide kilomeetri kohta paranema 3% aastas ehk üle kolme korra kiiremini kui BAAS-stsenaariumis saadud trendi puhul (Joonis 5.11). See eeldab ühtlasi seda, et aastal 2020 tehakse 70% sõiduautode läbisõidust selliste autodega, mille CO</w:t>
      </w:r>
      <w:r w:rsidRPr="00441F9B">
        <w:rPr>
          <w:vertAlign w:val="subscript"/>
          <w:lang w:val="fi-FI"/>
        </w:rPr>
        <w:t>2</w:t>
      </w:r>
      <w:r w:rsidRPr="00441F9B">
        <w:rPr>
          <w:lang w:val="fi-FI"/>
        </w:rPr>
        <w:t>-heide on keskmiselt 130 g/sõiduk-km ning samal määral ka väikekaubikutega, mille CO</w:t>
      </w:r>
      <w:r w:rsidRPr="00441F9B">
        <w:rPr>
          <w:vertAlign w:val="subscript"/>
          <w:lang w:val="fi-FI"/>
        </w:rPr>
        <w:t>2</w:t>
      </w:r>
      <w:r w:rsidRPr="00441F9B">
        <w:rPr>
          <w:lang w:val="fi-FI"/>
        </w:rPr>
        <w:t xml:space="preserve">-heide on 175 g/sõiduk-km. </w:t>
      </w:r>
    </w:p>
    <w:p w:rsidR="00441F9B" w:rsidRPr="00441F9B" w:rsidRDefault="00441F9B" w:rsidP="00441F9B">
      <w:pPr>
        <w:keepNext/>
        <w:tabs>
          <w:tab w:val="left" w:pos="7320"/>
        </w:tabs>
        <w:jc w:val="center"/>
        <w:rPr>
          <w:lang w:val="fi-FI"/>
        </w:rPr>
      </w:pPr>
    </w:p>
    <w:p w:rsidR="00441F9B" w:rsidRPr="00451893" w:rsidRDefault="00441F9B" w:rsidP="00441F9B">
      <w:pPr>
        <w:keepNext/>
        <w:tabs>
          <w:tab w:val="left" w:pos="7320"/>
        </w:tabs>
        <w:jc w:val="center"/>
      </w:pPr>
      <w:r>
        <w:rPr>
          <w:noProof/>
          <w:lang w:val="et-EE" w:eastAsia="et-EE"/>
        </w:rPr>
        <w:drawing>
          <wp:inline distT="0" distB="0" distL="0" distR="0">
            <wp:extent cx="3499104" cy="1679829"/>
            <wp:effectExtent l="12192" t="6096" r="3429" b="0"/>
            <wp:docPr id="41" name="Picture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1F9B" w:rsidRDefault="00441F9B" w:rsidP="00441F9B">
      <w:pPr>
        <w:pStyle w:val="Caption"/>
        <w:jc w:val="left"/>
      </w:pPr>
      <w:bookmarkStart w:id="11" w:name="_Ref278545035"/>
    </w:p>
    <w:p w:rsidR="00441F9B" w:rsidRPr="00451893" w:rsidRDefault="00441F9B" w:rsidP="00441F9B">
      <w:pPr>
        <w:pStyle w:val="Caption"/>
        <w:jc w:val="left"/>
        <w:rPr>
          <w:noProof/>
          <w:lang w:eastAsia="et-EE"/>
        </w:rPr>
      </w:pPr>
      <w:bookmarkStart w:id="12" w:name="_Toc280623869"/>
      <w:r w:rsidRPr="00451893">
        <w:t xml:space="preserve">Joonis </w:t>
      </w:r>
      <w:fldSimple w:instr=" STYLEREF 1 \s ">
        <w:r>
          <w:rPr>
            <w:noProof/>
          </w:rPr>
          <w:t>5</w:t>
        </w:r>
      </w:fldSimple>
      <w:r>
        <w:t>.</w:t>
      </w:r>
      <w:fldSimple w:instr=" SEQ Joonis \* ARABIC \s 1 ">
        <w:r>
          <w:rPr>
            <w:noProof/>
          </w:rPr>
          <w:t>12</w:t>
        </w:r>
      </w:fldSimple>
      <w:bookmarkEnd w:id="11"/>
      <w:r w:rsidRPr="00451893">
        <w:t>. Sõiduautode keskmine CO</w:t>
      </w:r>
      <w:r w:rsidRPr="00451893">
        <w:rPr>
          <w:vertAlign w:val="subscript"/>
        </w:rPr>
        <w:t>2</w:t>
      </w:r>
      <w:r>
        <w:t>-</w:t>
      </w:r>
      <w:r w:rsidRPr="00451893">
        <w:t xml:space="preserve">heide BAAS- ja </w:t>
      </w:r>
      <w:r>
        <w:t>TEHNO-</w:t>
      </w:r>
      <w:r w:rsidRPr="00451893">
        <w:t>stsenaariumi puhul</w:t>
      </w:r>
      <w:r>
        <w:t xml:space="preserve"> (</w:t>
      </w:r>
      <w:proofErr w:type="spellStart"/>
      <w:r w:rsidRPr="00451893">
        <w:t>g/sõiduk-km</w:t>
      </w:r>
      <w:proofErr w:type="spellEnd"/>
      <w:r>
        <w:t>)</w:t>
      </w:r>
      <w:bookmarkEnd w:id="12"/>
    </w:p>
    <w:p w:rsidR="00DB4EFE" w:rsidRDefault="00DB4EFE">
      <w:pPr>
        <w:rPr>
          <w:lang w:val="et-EE"/>
        </w:rPr>
      </w:pPr>
    </w:p>
    <w:p w:rsidR="00441F9B" w:rsidRDefault="00441F9B">
      <w:pPr>
        <w:rPr>
          <w:lang w:val="et-EE"/>
        </w:rPr>
      </w:pPr>
      <w:r>
        <w:rPr>
          <w:lang w:val="et-EE"/>
        </w:rPr>
        <w:t>Ökonoomsemad autod – automaksud</w:t>
      </w:r>
    </w:p>
    <w:p w:rsidR="00441F9B" w:rsidRPr="00441F9B" w:rsidRDefault="00441F9B" w:rsidP="00441F9B">
      <w:pPr>
        <w:rPr>
          <w:lang w:val="fi-FI"/>
        </w:rPr>
      </w:pPr>
      <w:r w:rsidRPr="00441F9B">
        <w:rPr>
          <w:lang w:val="et-EE"/>
        </w:rPr>
        <w:t>COWI (2002) tehtud uuring sõiduautode energiakulu ja CO</w:t>
      </w:r>
      <w:r w:rsidRPr="00441F9B">
        <w:rPr>
          <w:rFonts w:cs="Leitura Roman 1"/>
          <w:color w:val="000000"/>
          <w:szCs w:val="20"/>
          <w:vertAlign w:val="subscript"/>
          <w:lang w:val="et-EE"/>
        </w:rPr>
        <w:t>2</w:t>
      </w:r>
      <w:r w:rsidRPr="00441F9B">
        <w:rPr>
          <w:lang w:val="et-EE"/>
        </w:rPr>
        <w:t xml:space="preserve"> vähendamise fiskaalsetest meetmetest osutas, et sõiduautodega seotud maksud peaksid kõik olema sõiduki energiakulu või CO</w:t>
      </w:r>
      <w:r w:rsidRPr="00441F9B">
        <w:rPr>
          <w:rFonts w:cs="Leitura Roman 1"/>
          <w:color w:val="000000"/>
          <w:szCs w:val="20"/>
          <w:vertAlign w:val="subscript"/>
          <w:lang w:val="et-EE"/>
        </w:rPr>
        <w:t>2</w:t>
      </w:r>
      <w:r w:rsidRPr="00441F9B">
        <w:rPr>
          <w:lang w:val="et-EE"/>
        </w:rPr>
        <w:t>-heite põhised. CO</w:t>
      </w:r>
      <w:r w:rsidRPr="00441F9B">
        <w:rPr>
          <w:rFonts w:cs="Leitura Roman 1"/>
          <w:color w:val="000000"/>
          <w:szCs w:val="20"/>
          <w:vertAlign w:val="subscript"/>
          <w:lang w:val="et-EE"/>
        </w:rPr>
        <w:t>2</w:t>
      </w:r>
      <w:r w:rsidRPr="00441F9B">
        <w:rPr>
          <w:lang w:val="et-EE"/>
        </w:rPr>
        <w:t xml:space="preserve"> vähendamise potentsiaal ei sõltu otseselt maksu liigist, vaid diferentseerimise tasemest. Võrreldes automaksudega on kütuseaktsiisi tõstmisel suhteliselt väike mõju uute autode ökonoomsusele. COWI töös leiti, et 25% kütuseaktsiisi tõus vähendab uute autode keskmist CO</w:t>
      </w:r>
      <w:r w:rsidRPr="00441F9B">
        <w:rPr>
          <w:rFonts w:cs="Leitura Roman 1"/>
          <w:color w:val="000000"/>
          <w:szCs w:val="20"/>
          <w:vertAlign w:val="subscript"/>
          <w:lang w:val="et-EE"/>
        </w:rPr>
        <w:t>2</w:t>
      </w:r>
      <w:r w:rsidRPr="00441F9B">
        <w:rPr>
          <w:lang w:val="et-EE"/>
        </w:rPr>
        <w:t>-heidet vähem kui 1% ja riikides, kus on juba autode registreerimis- ja aastamaksud olemas, annab maksude diferentseerimine CO</w:t>
      </w:r>
      <w:r w:rsidRPr="00441F9B">
        <w:rPr>
          <w:rFonts w:cs="Leitura Roman 1"/>
          <w:color w:val="000000"/>
          <w:szCs w:val="20"/>
          <w:vertAlign w:val="subscript"/>
          <w:lang w:val="et-EE"/>
        </w:rPr>
        <w:t>2</w:t>
      </w:r>
      <w:r w:rsidRPr="00441F9B">
        <w:rPr>
          <w:lang w:val="et-EE"/>
        </w:rPr>
        <w:t xml:space="preserve"> heitetaseme põhjal võimaluse vähendada uute autode CO</w:t>
      </w:r>
      <w:r w:rsidRPr="00441F9B">
        <w:rPr>
          <w:rFonts w:cs="Leitura Roman 1"/>
          <w:color w:val="000000"/>
          <w:szCs w:val="20"/>
          <w:vertAlign w:val="subscript"/>
          <w:lang w:val="et-EE"/>
        </w:rPr>
        <w:t>2</w:t>
      </w:r>
      <w:r w:rsidRPr="00441F9B">
        <w:rPr>
          <w:lang w:val="et-EE"/>
        </w:rPr>
        <w:t xml:space="preserve">-heidet 3,3–8,5%. </w:t>
      </w:r>
      <w:r w:rsidRPr="00441F9B">
        <w:rPr>
          <w:lang w:val="fi-FI"/>
        </w:rPr>
        <w:t>Kuna Eesti uute autode ökonoomsus jääb EL viimase kolme riigi hulka, siis käesoleva töö autorite hinnangul on mootorsõidukiaktsiisi ja/või automaksu kehtestamisel Eestis uute autode CO</w:t>
      </w:r>
      <w:r w:rsidRPr="00441F9B">
        <w:rPr>
          <w:rFonts w:cs="Leitura Roman 1"/>
          <w:color w:val="000000"/>
          <w:szCs w:val="20"/>
          <w:vertAlign w:val="subscript"/>
          <w:lang w:val="fi-FI"/>
        </w:rPr>
        <w:t>2</w:t>
      </w:r>
      <w:r w:rsidRPr="00441F9B">
        <w:rPr>
          <w:lang w:val="fi-FI"/>
        </w:rPr>
        <w:t xml:space="preserve"> vähendamine võimalik järgmise 10 aasta jooksul 10–17%. Sellele lisanduks 1–4% CO</w:t>
      </w:r>
      <w:r w:rsidRPr="00441F9B">
        <w:rPr>
          <w:vertAlign w:val="subscript"/>
          <w:lang w:val="fi-FI"/>
        </w:rPr>
        <w:t>2</w:t>
      </w:r>
      <w:r w:rsidRPr="00441F9B">
        <w:rPr>
          <w:lang w:val="fi-FI"/>
        </w:rPr>
        <w:t xml:space="preserve">-heite vähenemist aastas, mis toimub praegu n-ö loomulikul teel Euroopas müüdavate autode üldise ökonoomsuse paranemise tõttu. </w:t>
      </w:r>
    </w:p>
    <w:p w:rsidR="00441F9B" w:rsidRPr="00441F9B" w:rsidRDefault="00441F9B" w:rsidP="00441F9B">
      <w:pPr>
        <w:rPr>
          <w:lang w:val="fi-FI"/>
        </w:rPr>
      </w:pPr>
      <w:r w:rsidRPr="00441F9B">
        <w:rPr>
          <w:lang w:val="fi-FI"/>
        </w:rPr>
        <w:t>COWI hinnangul on 25% kütusesäästuga autode tootmise hind 5% kallim, lisades auto hinnale 1000–2000 eurot. Euroopas on aga ka täheldatud, et kütuse</w:t>
      </w:r>
      <w:r w:rsidRPr="00441F9B">
        <w:rPr>
          <w:lang w:val="fi-FI"/>
        </w:rPr>
        <w:softHyphen/>
        <w:t xml:space="preserve">säästlikumate tehnoloogiate kasutamine uutes autodes on käivitanud </w:t>
      </w:r>
      <w:r w:rsidRPr="00441F9B">
        <w:rPr>
          <w:i/>
          <w:lang w:val="fi-FI"/>
        </w:rPr>
        <w:t xml:space="preserve">rebound </w:t>
      </w:r>
      <w:r w:rsidRPr="00441F9B">
        <w:rPr>
          <w:lang w:val="fi-FI"/>
        </w:rPr>
        <w:t>efekti – ökonoomsemate autode asemel kiputakse ostma varasemast suuremaid ja võimsamaid autosid, mille kütusekulu on lõpp</w:t>
      </w:r>
      <w:r w:rsidRPr="00441F9B">
        <w:rPr>
          <w:lang w:val="fi-FI"/>
        </w:rPr>
        <w:softHyphen/>
        <w:t xml:space="preserve">kokkuvõttes sama kui vanematel autodel. </w:t>
      </w:r>
    </w:p>
    <w:p w:rsidR="00441F9B" w:rsidRDefault="00441F9B" w:rsidP="00441F9B">
      <w:pPr>
        <w:rPr>
          <w:lang w:val="fi-FI"/>
        </w:rPr>
      </w:pPr>
      <w:r w:rsidRPr="00441F9B">
        <w:rPr>
          <w:lang w:val="fi-FI"/>
        </w:rPr>
        <w:t>Ametiautod on reeglina 8–10% ebaökonoomsemad kui eraisikute sõiduautod (COWI 2002) ja tööandja sõiduautode maksustamissüsteemi muutmine CO</w:t>
      </w:r>
      <w:r w:rsidRPr="00441F9B">
        <w:rPr>
          <w:rFonts w:cs="Leitura Roman 1"/>
          <w:color w:val="000000"/>
          <w:szCs w:val="20"/>
          <w:vertAlign w:val="subscript"/>
          <w:lang w:val="fi-FI"/>
        </w:rPr>
        <w:t>2</w:t>
      </w:r>
      <w:r w:rsidRPr="00441F9B">
        <w:rPr>
          <w:lang w:val="fi-FI"/>
        </w:rPr>
        <w:t>-st, kütusekulust ja läbisõidust sõltuvaks aitab oluliselt vähendada ametiautode CO</w:t>
      </w:r>
      <w:r w:rsidRPr="00441F9B">
        <w:rPr>
          <w:rFonts w:cs="Leitura Roman 1"/>
          <w:color w:val="000000"/>
          <w:szCs w:val="20"/>
          <w:vertAlign w:val="subscript"/>
          <w:lang w:val="fi-FI"/>
        </w:rPr>
        <w:t>2</w:t>
      </w:r>
      <w:r w:rsidRPr="00441F9B">
        <w:rPr>
          <w:lang w:val="fi-FI"/>
        </w:rPr>
        <w:t>-heidet. Copenhagen Economics’i uuringus EL liikmesriikide ametiautode maksustamisest järeldati, et ametiautod (</w:t>
      </w:r>
      <w:r w:rsidRPr="00441F9B">
        <w:rPr>
          <w:i/>
          <w:lang w:val="fi-FI"/>
        </w:rPr>
        <w:t>company cars</w:t>
      </w:r>
      <w:r w:rsidRPr="00441F9B">
        <w:rPr>
          <w:lang w:val="fi-FI"/>
        </w:rPr>
        <w:t>) on enamikus riikides alamaksustatud, põhjustades mitmeid turumoonutusi ja 0,5% tulubaasi vähenemise EL SKT-st (u 54 miljardit eurot), ning soodustades suurema kütusekuluga sõidu</w:t>
      </w:r>
      <w:r w:rsidRPr="00441F9B">
        <w:rPr>
          <w:lang w:val="fi-FI"/>
        </w:rPr>
        <w:softHyphen/>
        <w:t>autode soetamist. Ametiautode maksustamise sidumine auto hinna, CO</w:t>
      </w:r>
      <w:r w:rsidRPr="00441F9B">
        <w:rPr>
          <w:rFonts w:cs="Leitura Roman 1"/>
          <w:color w:val="000000"/>
          <w:szCs w:val="20"/>
          <w:vertAlign w:val="subscript"/>
          <w:lang w:val="fi-FI"/>
        </w:rPr>
        <w:t>2</w:t>
      </w:r>
      <w:r w:rsidRPr="00441F9B">
        <w:rPr>
          <w:lang w:val="fi-FI"/>
        </w:rPr>
        <w:t xml:space="preserve">-heite ja läbisõiduga aitaks muuta kiiremini ka sõidukiparki ökonoomsemaks ja keskkonnasõbralikumaks (Copenhagen Economics 2010). </w:t>
      </w:r>
    </w:p>
    <w:p w:rsidR="00183831" w:rsidRPr="00441F9B" w:rsidRDefault="00183831" w:rsidP="00183831">
      <w:pPr>
        <w:pStyle w:val="Heading1"/>
      </w:pPr>
      <w:r>
        <w:lastRenderedPageBreak/>
        <w:t>Madalsüsiniku konkurentsivõimeline majandus 2050 – taustauuring Keskkonnaministeeriumie 2013 (SEI, RAKES, ELF) avaldamata</w:t>
      </w:r>
    </w:p>
    <w:p w:rsidR="00441F9B" w:rsidRPr="00441F9B" w:rsidRDefault="00441F9B">
      <w:pPr>
        <w:rPr>
          <w:lang w:val="fi-FI"/>
        </w:rPr>
      </w:pPr>
    </w:p>
    <w:p w:rsidR="00183831" w:rsidRPr="00AE3766" w:rsidRDefault="00183831" w:rsidP="00183831">
      <w:pPr>
        <w:pStyle w:val="Caption"/>
        <w:contextualSpacing w:val="0"/>
      </w:pPr>
      <w:bookmarkStart w:id="13" w:name="_Toc328397703"/>
      <w:r w:rsidRPr="00AE3766">
        <w:rPr>
          <w:b/>
        </w:rPr>
        <w:t xml:space="preserve">Tabel </w:t>
      </w:r>
      <w:r w:rsidRPr="00AE3766">
        <w:rPr>
          <w:b/>
        </w:rPr>
        <w:fldChar w:fldCharType="begin"/>
      </w:r>
      <w:r w:rsidRPr="00AE3766">
        <w:rPr>
          <w:b/>
        </w:rPr>
        <w:instrText xml:space="preserve"> SEQ Tabel \* ARABIC </w:instrText>
      </w:r>
      <w:r w:rsidRPr="00AE3766">
        <w:rPr>
          <w:b/>
        </w:rPr>
        <w:fldChar w:fldCharType="separate"/>
      </w:r>
      <w:r>
        <w:rPr>
          <w:b/>
          <w:noProof/>
        </w:rPr>
        <w:t>31</w:t>
      </w:r>
      <w:r w:rsidRPr="00AE3766">
        <w:rPr>
          <w:b/>
        </w:rPr>
        <w:fldChar w:fldCharType="end"/>
      </w:r>
      <w:r w:rsidRPr="00AE3766">
        <w:rPr>
          <w:b/>
        </w:rPr>
        <w:t>.</w:t>
      </w:r>
      <w:r w:rsidRPr="00AE3766">
        <w:t xml:space="preserve"> Transpordis kasvuhoonegaasi heidet vähendavate meetmete kuluefektiivsus. Allikas: INFRAS 2006, OECD 2012, </w:t>
      </w:r>
      <w:proofErr w:type="spellStart"/>
      <w:r w:rsidRPr="00AE3766">
        <w:t>Ajanovic</w:t>
      </w:r>
      <w:proofErr w:type="spellEnd"/>
      <w:r w:rsidRPr="00AE3766">
        <w:t xml:space="preserve"> 2011.</w:t>
      </w:r>
    </w:p>
    <w:tbl>
      <w:tblPr>
        <w:tblW w:w="8538" w:type="dxa"/>
        <w:tblInd w:w="5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4A0"/>
      </w:tblPr>
      <w:tblGrid>
        <w:gridCol w:w="4268"/>
        <w:gridCol w:w="1984"/>
        <w:gridCol w:w="2286"/>
      </w:tblGrid>
      <w:tr w:rsidR="00183831" w:rsidRPr="00AE3766" w:rsidTr="00BC614F">
        <w:trPr>
          <w:trHeight w:val="494"/>
          <w:tblHeader/>
        </w:trPr>
        <w:tc>
          <w:tcPr>
            <w:tcW w:w="4268" w:type="dxa"/>
            <w:shd w:val="clear" w:color="auto" w:fill="808080"/>
            <w:noWrap/>
            <w:vAlign w:val="center"/>
            <w:hideMark/>
          </w:tcPr>
          <w:p w:rsidR="00183831" w:rsidRPr="0009619E" w:rsidRDefault="00183831" w:rsidP="00BC614F">
            <w:pPr>
              <w:spacing w:after="0"/>
              <w:jc w:val="left"/>
              <w:rPr>
                <w:rFonts w:eastAsia="Times New Roman" w:cs="Arial"/>
                <w:b/>
                <w:bCs/>
                <w:color w:val="FFFFFF"/>
                <w:sz w:val="18"/>
                <w:szCs w:val="18"/>
                <w:lang w:val="et-EE" w:eastAsia="et-EE"/>
              </w:rPr>
            </w:pPr>
            <w:r w:rsidRPr="0009619E">
              <w:rPr>
                <w:rFonts w:eastAsia="Times New Roman" w:cs="Arial"/>
                <w:b/>
                <w:bCs/>
                <w:color w:val="FFFFFF"/>
                <w:sz w:val="18"/>
                <w:szCs w:val="18"/>
                <w:lang w:val="et-EE" w:eastAsia="et-EE"/>
              </w:rPr>
              <w:t>Meede</w:t>
            </w:r>
          </w:p>
        </w:tc>
        <w:tc>
          <w:tcPr>
            <w:tcW w:w="1984" w:type="dxa"/>
            <w:shd w:val="clear" w:color="auto" w:fill="808080"/>
            <w:noWrap/>
            <w:vAlign w:val="center"/>
            <w:hideMark/>
          </w:tcPr>
          <w:p w:rsidR="00183831" w:rsidRPr="0009619E" w:rsidRDefault="00183831" w:rsidP="00BC614F">
            <w:pPr>
              <w:spacing w:after="0"/>
              <w:jc w:val="center"/>
              <w:rPr>
                <w:rFonts w:eastAsia="Times New Roman" w:cs="Arial"/>
                <w:b/>
                <w:bCs/>
                <w:color w:val="FFFFFF"/>
                <w:sz w:val="18"/>
                <w:szCs w:val="18"/>
                <w:lang w:val="et-EE" w:eastAsia="et-EE"/>
              </w:rPr>
            </w:pPr>
            <w:r w:rsidRPr="0009619E">
              <w:rPr>
                <w:rFonts w:eastAsia="Times New Roman" w:cs="Arial"/>
                <w:b/>
                <w:bCs/>
                <w:color w:val="FFFFFF"/>
                <w:sz w:val="18"/>
                <w:szCs w:val="18"/>
                <w:lang w:val="et-EE" w:eastAsia="et-EE"/>
              </w:rPr>
              <w:t xml:space="preserve">Meetme mõju suurus </w:t>
            </w:r>
            <w:r w:rsidRPr="0009619E">
              <w:rPr>
                <w:rFonts w:eastAsia="Times New Roman" w:cs="Arial"/>
                <w:b/>
                <w:bCs/>
                <w:color w:val="FFFFFF"/>
                <w:sz w:val="18"/>
                <w:szCs w:val="18"/>
                <w:lang w:val="et-EE" w:eastAsia="et-EE"/>
              </w:rPr>
              <w:br/>
              <w:t>(1–5)</w:t>
            </w:r>
          </w:p>
        </w:tc>
        <w:tc>
          <w:tcPr>
            <w:tcW w:w="2286" w:type="dxa"/>
            <w:shd w:val="clear" w:color="auto" w:fill="808080"/>
            <w:noWrap/>
            <w:vAlign w:val="center"/>
            <w:hideMark/>
          </w:tcPr>
          <w:p w:rsidR="00183831" w:rsidRPr="0009619E" w:rsidRDefault="00183831" w:rsidP="00BC614F">
            <w:pPr>
              <w:spacing w:after="0"/>
              <w:jc w:val="center"/>
              <w:rPr>
                <w:rFonts w:eastAsia="Times New Roman" w:cs="Arial"/>
                <w:b/>
                <w:bCs/>
                <w:color w:val="FFFFFF"/>
                <w:sz w:val="18"/>
                <w:szCs w:val="18"/>
                <w:lang w:val="et-EE" w:eastAsia="et-EE"/>
              </w:rPr>
            </w:pPr>
            <w:r w:rsidRPr="0009619E">
              <w:rPr>
                <w:rFonts w:eastAsia="Times New Roman" w:cs="Arial"/>
                <w:b/>
                <w:bCs/>
                <w:color w:val="FFFFFF"/>
                <w:sz w:val="18"/>
                <w:szCs w:val="18"/>
                <w:lang w:val="et-EE" w:eastAsia="et-EE"/>
              </w:rPr>
              <w:t xml:space="preserve">Meetme kuluefektiivsus </w:t>
            </w:r>
            <w:proofErr w:type="spellStart"/>
            <w:r w:rsidRPr="0009619E">
              <w:rPr>
                <w:rFonts w:eastAsia="Times New Roman" w:cs="Arial"/>
                <w:b/>
                <w:bCs/>
                <w:color w:val="FFFFFF"/>
                <w:sz w:val="18"/>
                <w:szCs w:val="18"/>
                <w:lang w:val="et-EE" w:eastAsia="et-EE"/>
              </w:rPr>
              <w:t>€/tonn</w:t>
            </w:r>
            <w:proofErr w:type="spellEnd"/>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Ühistranspordile ja kergliiklusele orienteeritud arendustegevus/planeeringud</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5</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-115</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 xml:space="preserve">Säästlik sõiduviis </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1</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-30</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Rehvirõhu järelvalve</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1</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-20</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 xml:space="preserve">Tööandjate liikuvuskavad </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3</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23</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Sõiduautode ja kütuste CO</w:t>
            </w:r>
            <w:r w:rsidRPr="0009619E">
              <w:rPr>
                <w:rFonts w:eastAsia="Times New Roman" w:cs="Calibri"/>
                <w:color w:val="000000"/>
                <w:sz w:val="18"/>
                <w:szCs w:val="18"/>
                <w:vertAlign w:val="subscript"/>
                <w:lang w:val="et-EE" w:eastAsia="et-EE"/>
              </w:rPr>
              <w:t>2</w:t>
            </w:r>
            <w:r w:rsidRPr="0009619E">
              <w:rPr>
                <w:rFonts w:eastAsia="Times New Roman" w:cs="Calibri"/>
                <w:color w:val="000000"/>
                <w:sz w:val="18"/>
                <w:szCs w:val="18"/>
                <w:lang w:val="et-EE" w:eastAsia="et-EE"/>
              </w:rPr>
              <w:t xml:space="preserve">  põhine maksustamine</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5</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40</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Autode jagamine (</w:t>
            </w:r>
            <w:proofErr w:type="spellStart"/>
            <w:r w:rsidRPr="0009619E">
              <w:rPr>
                <w:rFonts w:eastAsia="Times New Roman" w:cs="Calibri"/>
                <w:i/>
                <w:color w:val="000000"/>
                <w:sz w:val="18"/>
                <w:szCs w:val="18"/>
                <w:lang w:val="et-EE" w:eastAsia="et-EE"/>
              </w:rPr>
              <w:t>carpool</w:t>
            </w:r>
            <w:r>
              <w:rPr>
                <w:rFonts w:eastAsia="Times New Roman" w:cs="Calibri"/>
                <w:i/>
                <w:color w:val="000000"/>
                <w:sz w:val="18"/>
                <w:szCs w:val="18"/>
                <w:lang w:val="et-EE" w:eastAsia="et-EE"/>
              </w:rPr>
              <w:t>ing</w:t>
            </w:r>
            <w:proofErr w:type="spellEnd"/>
            <w:r w:rsidRPr="0009619E">
              <w:rPr>
                <w:rFonts w:eastAsia="Times New Roman" w:cs="Calibri"/>
                <w:color w:val="000000"/>
                <w:sz w:val="18"/>
                <w:szCs w:val="18"/>
                <w:lang w:val="et-EE" w:eastAsia="et-EE"/>
              </w:rPr>
              <w:t>)</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3</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50</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Biokütused</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2</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250</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 xml:space="preserve">Töötajate </w:t>
            </w:r>
            <w:proofErr w:type="spellStart"/>
            <w:r w:rsidRPr="0009619E">
              <w:rPr>
                <w:rFonts w:eastAsia="Times New Roman" w:cs="Calibri"/>
                <w:color w:val="000000"/>
                <w:sz w:val="18"/>
                <w:szCs w:val="18"/>
                <w:lang w:val="et-EE" w:eastAsia="et-EE"/>
              </w:rPr>
              <w:t>ühistransp</w:t>
            </w:r>
            <w:proofErr w:type="spellEnd"/>
            <w:r w:rsidRPr="0009619E">
              <w:rPr>
                <w:rFonts w:eastAsia="Times New Roman" w:cs="Calibri"/>
                <w:color w:val="000000"/>
                <w:sz w:val="18"/>
                <w:szCs w:val="18"/>
                <w:lang w:val="et-EE" w:eastAsia="et-EE"/>
              </w:rPr>
              <w:t>. kuukaardi kompenseerimine</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2</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300</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 xml:space="preserve">Jalgratta ja ühistranspordi integreerimine </w:t>
            </w:r>
            <w:proofErr w:type="spellStart"/>
            <w:r w:rsidRPr="0009619E">
              <w:rPr>
                <w:rFonts w:eastAsia="Times New Roman" w:cs="Calibri"/>
                <w:color w:val="000000"/>
                <w:sz w:val="18"/>
                <w:szCs w:val="18"/>
                <w:lang w:val="et-EE" w:eastAsia="et-EE"/>
              </w:rPr>
              <w:t>Bike+Ride</w:t>
            </w:r>
            <w:proofErr w:type="spellEnd"/>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1</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615</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Jalgrattateede võrk</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1</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1000</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Ökonoomsemad sõidukid, hübriidid</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2</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1250</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Trammi ja reisirongi uued liinid</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2</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1400</w:t>
            </w:r>
          </w:p>
        </w:tc>
      </w:tr>
      <w:tr w:rsidR="00183831" w:rsidRPr="00AE3766" w:rsidTr="00BC614F">
        <w:trPr>
          <w:trHeight w:val="299"/>
        </w:trPr>
        <w:tc>
          <w:tcPr>
            <w:tcW w:w="4268" w:type="dxa"/>
            <w:shd w:val="clear" w:color="auto" w:fill="F2F2F2"/>
            <w:noWrap/>
            <w:vAlign w:val="bottom"/>
            <w:hideMark/>
          </w:tcPr>
          <w:p w:rsidR="00183831" w:rsidRPr="0009619E" w:rsidRDefault="00183831" w:rsidP="00BC614F">
            <w:pPr>
              <w:spacing w:after="0"/>
              <w:jc w:val="left"/>
              <w:rPr>
                <w:rFonts w:eastAsia="Times New Roman" w:cs="Calibri"/>
                <w:color w:val="000000"/>
                <w:sz w:val="18"/>
                <w:szCs w:val="18"/>
                <w:lang w:val="et-EE" w:eastAsia="et-EE"/>
              </w:rPr>
            </w:pPr>
            <w:r w:rsidRPr="0009619E">
              <w:rPr>
                <w:rFonts w:eastAsia="Times New Roman" w:cs="Calibri"/>
                <w:color w:val="000000"/>
                <w:sz w:val="18"/>
                <w:szCs w:val="18"/>
                <w:lang w:val="et-EE" w:eastAsia="et-EE"/>
              </w:rPr>
              <w:t>Elektriautod, vesinikautod</w:t>
            </w:r>
          </w:p>
        </w:tc>
        <w:tc>
          <w:tcPr>
            <w:tcW w:w="1984"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3</w:t>
            </w:r>
          </w:p>
        </w:tc>
        <w:tc>
          <w:tcPr>
            <w:tcW w:w="2286" w:type="dxa"/>
            <w:shd w:val="clear" w:color="auto" w:fill="F2F2F2"/>
            <w:noWrap/>
            <w:vAlign w:val="center"/>
            <w:hideMark/>
          </w:tcPr>
          <w:p w:rsidR="00183831" w:rsidRPr="0009619E" w:rsidRDefault="00183831" w:rsidP="00BC614F">
            <w:pPr>
              <w:spacing w:after="0"/>
              <w:jc w:val="center"/>
              <w:rPr>
                <w:rFonts w:eastAsia="Times New Roman" w:cs="Calibri"/>
                <w:color w:val="000000"/>
                <w:sz w:val="18"/>
                <w:szCs w:val="18"/>
                <w:lang w:val="et-EE" w:eastAsia="et-EE"/>
              </w:rPr>
            </w:pPr>
            <w:r w:rsidRPr="0009619E">
              <w:rPr>
                <w:rFonts w:eastAsia="Times New Roman" w:cs="Calibri"/>
                <w:color w:val="000000"/>
                <w:sz w:val="18"/>
                <w:szCs w:val="18"/>
                <w:lang w:val="et-EE" w:eastAsia="et-EE"/>
              </w:rPr>
              <w:t>2000</w:t>
            </w:r>
          </w:p>
        </w:tc>
      </w:tr>
    </w:tbl>
    <w:p w:rsidR="00183831" w:rsidRDefault="00183831" w:rsidP="00183831">
      <w:pPr>
        <w:pStyle w:val="Heading1"/>
        <w:numPr>
          <w:ilvl w:val="0"/>
          <w:numId w:val="0"/>
        </w:numPr>
        <w:rPr>
          <w:shd w:val="clear" w:color="auto" w:fill="FFFFFF"/>
        </w:rPr>
      </w:pPr>
    </w:p>
    <w:p w:rsidR="00E31835" w:rsidRPr="00183831" w:rsidRDefault="00E31835" w:rsidP="00183831">
      <w:pPr>
        <w:pStyle w:val="Heading1"/>
        <w:rPr>
          <w:shd w:val="clear" w:color="auto" w:fill="FFFFFF"/>
        </w:rPr>
      </w:pPr>
      <w:proofErr w:type="spellStart"/>
      <w:r w:rsidRPr="00183831">
        <w:rPr>
          <w:shd w:val="clear" w:color="auto" w:fill="FFFFFF"/>
        </w:rPr>
        <w:t>Kasvuhoonegaaside</w:t>
      </w:r>
      <w:proofErr w:type="spellEnd"/>
      <w:r w:rsidRPr="00183831">
        <w:rPr>
          <w:shd w:val="clear" w:color="auto" w:fill="FFFFFF"/>
        </w:rPr>
        <w:t xml:space="preserve"> </w:t>
      </w:r>
      <w:proofErr w:type="spellStart"/>
      <w:r w:rsidRPr="00183831">
        <w:rPr>
          <w:shd w:val="clear" w:color="auto" w:fill="FFFFFF"/>
        </w:rPr>
        <w:t>vähendamise</w:t>
      </w:r>
      <w:proofErr w:type="spellEnd"/>
      <w:r w:rsidRPr="00183831">
        <w:rPr>
          <w:shd w:val="clear" w:color="auto" w:fill="FFFFFF"/>
        </w:rPr>
        <w:t xml:space="preserve"> hind </w:t>
      </w:r>
      <w:proofErr w:type="spellStart"/>
      <w:r w:rsidRPr="00183831">
        <w:rPr>
          <w:shd w:val="clear" w:color="auto" w:fill="FFFFFF"/>
        </w:rPr>
        <w:t>erinevate</w:t>
      </w:r>
      <w:proofErr w:type="spellEnd"/>
      <w:r w:rsidRPr="00183831">
        <w:rPr>
          <w:shd w:val="clear" w:color="auto" w:fill="FFFFFF"/>
        </w:rPr>
        <w:t xml:space="preserve"> bussitehnoloogiate puhul</w:t>
      </w:r>
      <w:bookmarkEnd w:id="13"/>
    </w:p>
    <w:p w:rsidR="00E31835" w:rsidRDefault="00E31835" w:rsidP="00E31835">
      <w:pPr>
        <w:spacing w:after="0" w:line="240" w:lineRule="auto"/>
        <w:rPr>
          <w:rFonts w:ascii="Arial" w:hAnsi="Arial" w:cs="Arial"/>
          <w:color w:val="202020"/>
          <w:sz w:val="21"/>
          <w:szCs w:val="21"/>
          <w:shd w:val="clear" w:color="auto" w:fill="FFFFFF"/>
          <w:lang w:val="et-EE"/>
        </w:rPr>
      </w:pPr>
    </w:p>
    <w:p w:rsidR="00B926CE" w:rsidRPr="00B926CE" w:rsidRDefault="00B926CE" w:rsidP="00B926CE">
      <w:pPr>
        <w:autoSpaceDN w:val="0"/>
        <w:adjustRightInd w:val="0"/>
        <w:rPr>
          <w:rFonts w:ascii="Arial" w:hAnsi="Arial" w:cs="Arial"/>
          <w:sz w:val="18"/>
          <w:szCs w:val="18"/>
          <w:lang w:val="fi-FI"/>
        </w:rPr>
      </w:pPr>
      <w:r w:rsidRPr="00B926CE">
        <w:rPr>
          <w:rFonts w:ascii="Arial" w:hAnsi="Arial" w:cs="Arial"/>
          <w:sz w:val="18"/>
          <w:szCs w:val="18"/>
          <w:lang w:val="fi-FI"/>
        </w:rPr>
        <w:t>Jüssi, M., Poltimäe, H., Aru, B. 2012. Tallinna Autobussikoondise alternatiivkütustele ülemineku asjaolude selgitamine. Säästva Eesti Instituut, AS Tallinna Autobussikoondis</w:t>
      </w:r>
    </w:p>
    <w:p w:rsidR="00E31835" w:rsidRPr="00FA0765" w:rsidRDefault="00E31835" w:rsidP="00E31835">
      <w:pPr>
        <w:rPr>
          <w:shd w:val="clear" w:color="auto" w:fill="FFFFFF"/>
          <w:lang w:val="et-EE"/>
        </w:rPr>
      </w:pPr>
      <w:r w:rsidRPr="00FA0765">
        <w:rPr>
          <w:shd w:val="clear" w:color="auto" w:fill="FFFFFF"/>
          <w:lang w:val="et-EE"/>
        </w:rPr>
        <w:t>Sissejuhatavas peatükis tõime ära need Tallinna ja Eesti keskkonnaalased eesmärgid, mis on seotud transpordikütuste kasutamisega. Kasvuhoonegaaside heitkoguste vähendamise meetmete tõhususe hindamisel on üheks indikaatoriks ühe tonni CO</w:t>
      </w:r>
      <w:r w:rsidRPr="00BC7BCC">
        <w:rPr>
          <w:shd w:val="clear" w:color="auto" w:fill="FFFFFF"/>
          <w:vertAlign w:val="subscript"/>
          <w:lang w:val="et-EE"/>
        </w:rPr>
        <w:t>2</w:t>
      </w:r>
      <w:r w:rsidRPr="00FA0765">
        <w:rPr>
          <w:shd w:val="clear" w:color="auto" w:fill="FFFFFF"/>
          <w:lang w:val="et-EE"/>
        </w:rPr>
        <w:t xml:space="preserve"> vähendamise hind. Selleks hinnatakse meetme rakendamise kulu ja selle tulemusel saavutatud CO</w:t>
      </w:r>
      <w:r w:rsidRPr="00BC7BCC">
        <w:rPr>
          <w:shd w:val="clear" w:color="auto" w:fill="FFFFFF"/>
          <w:vertAlign w:val="subscript"/>
          <w:lang w:val="et-EE"/>
        </w:rPr>
        <w:t>2</w:t>
      </w:r>
      <w:r w:rsidRPr="00FA0765">
        <w:rPr>
          <w:shd w:val="clear" w:color="auto" w:fill="FFFFFF"/>
          <w:lang w:val="et-EE"/>
        </w:rPr>
        <w:t xml:space="preserve"> vähenemist. Peatükis 4 hindasime erinevate stsenaariumite mõju CO</w:t>
      </w:r>
      <w:r w:rsidRPr="00BC7BCC">
        <w:rPr>
          <w:shd w:val="clear" w:color="auto" w:fill="FFFFFF"/>
          <w:vertAlign w:val="subscript"/>
          <w:lang w:val="et-EE"/>
        </w:rPr>
        <w:t>2</w:t>
      </w:r>
      <w:r w:rsidRPr="00FA0765">
        <w:rPr>
          <w:shd w:val="clear" w:color="auto" w:fill="FFFFFF"/>
          <w:lang w:val="et-EE"/>
        </w:rPr>
        <w:t xml:space="preserve"> vähenemisele, ning eelmises peatükis erinevate alternatiivide rakendamise kulu normaalbussi keskmise kasutusaja jooksul. Tabelis 6.4 on ära toodud CO</w:t>
      </w:r>
      <w:r w:rsidRPr="00BC7BCC">
        <w:rPr>
          <w:shd w:val="clear" w:color="auto" w:fill="FFFFFF"/>
          <w:vertAlign w:val="subscript"/>
          <w:lang w:val="et-EE"/>
        </w:rPr>
        <w:t>2</w:t>
      </w:r>
      <w:r w:rsidRPr="00FA0765">
        <w:rPr>
          <w:shd w:val="clear" w:color="auto" w:fill="FFFFFF"/>
          <w:lang w:val="et-EE"/>
        </w:rPr>
        <w:t xml:space="preserve"> tonni vähendamise hind kolme vaadeldud alternatiivi puhul.</w:t>
      </w:r>
      <w:r>
        <w:rPr>
          <w:shd w:val="clear" w:color="auto" w:fill="FFFFFF"/>
          <w:lang w:val="et-EE"/>
        </w:rPr>
        <w:t xml:space="preserve"> </w:t>
      </w:r>
    </w:p>
    <w:p w:rsidR="00E31835" w:rsidRPr="00A96D68" w:rsidRDefault="00E31835" w:rsidP="00E31835">
      <w:pPr>
        <w:pStyle w:val="Caption"/>
        <w:keepNext/>
      </w:pPr>
      <w:r w:rsidRPr="00A96D68">
        <w:lastRenderedPageBreak/>
        <w:t xml:space="preserve">Tabel </w:t>
      </w:r>
      <w:fldSimple w:instr=" STYLEREF 1 \s ">
        <w:r>
          <w:rPr>
            <w:noProof/>
          </w:rPr>
          <w:t>6</w:t>
        </w:r>
      </w:fldSimple>
      <w:r>
        <w:t>.</w:t>
      </w:r>
      <w:fldSimple w:instr=" SEQ Tabel \* ARABIC \s 1 ">
        <w:r>
          <w:rPr>
            <w:noProof/>
          </w:rPr>
          <w:t>4</w:t>
        </w:r>
      </w:fldSimple>
      <w:r>
        <w:t>.</w:t>
      </w:r>
      <w:r w:rsidRPr="00A96D68">
        <w:rPr>
          <w:rFonts w:ascii="Arial" w:hAnsi="Arial" w:cs="Arial"/>
          <w:color w:val="202020"/>
          <w:sz w:val="21"/>
          <w:shd w:val="clear" w:color="auto" w:fill="FFFFFF"/>
        </w:rPr>
        <w:t xml:space="preserve"> </w:t>
      </w:r>
      <w:r w:rsidRPr="00A96D68">
        <w:rPr>
          <w:rFonts w:eastAsia="Times New Roman" w:cs="Calibri"/>
          <w:bCs w:val="0"/>
          <w:lang w:eastAsia="et-EE"/>
        </w:rPr>
        <w:t xml:space="preserve">700 </w:t>
      </w:r>
      <w:r w:rsidRPr="00301E8E">
        <w:rPr>
          <w:rFonts w:eastAsia="Times New Roman" w:cs="Calibri"/>
          <w:szCs w:val="22"/>
          <w:lang w:eastAsia="et-EE"/>
        </w:rPr>
        <w:t>000 km läbisõiduga normaalbussi CO</w:t>
      </w:r>
      <w:r w:rsidRPr="00BC7BCC">
        <w:rPr>
          <w:rFonts w:eastAsia="Times New Roman" w:cs="Calibri"/>
          <w:szCs w:val="22"/>
          <w:vertAlign w:val="subscript"/>
          <w:lang w:eastAsia="et-EE"/>
        </w:rPr>
        <w:t>2</w:t>
      </w:r>
      <w:r w:rsidRPr="00301E8E">
        <w:rPr>
          <w:rFonts w:eastAsia="Times New Roman" w:cs="Calibri"/>
          <w:szCs w:val="22"/>
          <w:lang w:eastAsia="et-EE"/>
        </w:rPr>
        <w:t xml:space="preserve"> vähendamise potentsiaal ja CO</w:t>
      </w:r>
      <w:r w:rsidRPr="00BC7BCC">
        <w:rPr>
          <w:rFonts w:eastAsia="Times New Roman" w:cs="Calibri"/>
          <w:szCs w:val="22"/>
          <w:vertAlign w:val="subscript"/>
          <w:lang w:eastAsia="et-EE"/>
        </w:rPr>
        <w:t>2</w:t>
      </w:r>
      <w:r w:rsidRPr="00301E8E">
        <w:rPr>
          <w:rFonts w:eastAsia="Times New Roman" w:cs="Calibri"/>
          <w:szCs w:val="22"/>
          <w:lang w:eastAsia="et-EE"/>
        </w:rPr>
        <w:t xml:space="preserve"> vähendamise hind erinevate tehnoloogiate puhul</w:t>
      </w:r>
    </w:p>
    <w:tbl>
      <w:tblPr>
        <w:tblW w:w="9022" w:type="dxa"/>
        <w:tblInd w:w="70" w:type="dxa"/>
        <w:tblCellMar>
          <w:left w:w="70" w:type="dxa"/>
          <w:right w:w="70" w:type="dxa"/>
        </w:tblCellMar>
        <w:tblLook w:val="04A0"/>
      </w:tblPr>
      <w:tblGrid>
        <w:gridCol w:w="1955"/>
        <w:gridCol w:w="1504"/>
        <w:gridCol w:w="1654"/>
        <w:gridCol w:w="1955"/>
        <w:gridCol w:w="1954"/>
      </w:tblGrid>
      <w:tr w:rsidR="00E31835" w:rsidRPr="00A96D68" w:rsidTr="006D0CBD">
        <w:trPr>
          <w:trHeight w:val="1001"/>
        </w:trPr>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835" w:rsidRPr="00301E8E" w:rsidRDefault="00E31835" w:rsidP="006D0CBD">
            <w:pPr>
              <w:spacing w:after="0" w:line="240" w:lineRule="auto"/>
              <w:jc w:val="center"/>
              <w:rPr>
                <w:rFonts w:eastAsia="Times New Roman" w:cs="Calibri"/>
                <w:lang w:val="et-EE" w:eastAsia="et-EE"/>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835" w:rsidRPr="00A96D68" w:rsidRDefault="00E31835" w:rsidP="006D0CBD">
            <w:pPr>
              <w:spacing w:after="0" w:line="240" w:lineRule="auto"/>
              <w:jc w:val="center"/>
              <w:rPr>
                <w:rFonts w:eastAsia="Times New Roman" w:cs="Calibri"/>
                <w:b/>
                <w:bCs/>
                <w:lang w:val="et-EE" w:eastAsia="et-EE"/>
              </w:rPr>
            </w:pPr>
            <w:r w:rsidRPr="00A96D68">
              <w:rPr>
                <w:rFonts w:eastAsia="Times New Roman" w:cs="Calibri"/>
                <w:b/>
                <w:bCs/>
                <w:lang w:val="et-EE" w:eastAsia="et-EE"/>
              </w:rPr>
              <w:t>Kulu*</w:t>
            </w:r>
          </w:p>
          <w:p w:rsidR="00E31835" w:rsidRPr="00301E8E" w:rsidRDefault="00E31835" w:rsidP="006D0CBD">
            <w:pPr>
              <w:spacing w:after="0" w:line="240" w:lineRule="auto"/>
              <w:jc w:val="center"/>
              <w:rPr>
                <w:rFonts w:eastAsia="Times New Roman" w:cs="Calibri"/>
                <w:b/>
                <w:bCs/>
                <w:lang w:val="et-EE" w:eastAsia="et-EE"/>
              </w:rPr>
            </w:pPr>
            <w:r w:rsidRPr="00A96D68">
              <w:rPr>
                <w:rFonts w:eastAsia="Times New Roman" w:cs="Calibri"/>
                <w:b/>
                <w:bCs/>
                <w:lang w:val="et-EE" w:eastAsia="et-EE"/>
              </w:rPr>
              <w:t>€</w:t>
            </w:r>
            <w:r w:rsidRPr="00301E8E">
              <w:rPr>
                <w:rFonts w:eastAsia="Times New Roman" w:cs="Calibri"/>
                <w:b/>
                <w:bCs/>
                <w:lang w:val="et-EE" w:eastAsia="et-EE"/>
              </w:rPr>
              <w:t>/700 000 km</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835" w:rsidRPr="00301E8E" w:rsidRDefault="00E31835" w:rsidP="006D0CBD">
            <w:pPr>
              <w:spacing w:after="0" w:line="240" w:lineRule="auto"/>
              <w:jc w:val="center"/>
              <w:rPr>
                <w:rFonts w:eastAsia="Times New Roman" w:cs="Calibri"/>
                <w:b/>
                <w:bCs/>
                <w:lang w:val="et-EE" w:eastAsia="et-EE"/>
              </w:rPr>
            </w:pPr>
            <w:r w:rsidRPr="00A96D68">
              <w:rPr>
                <w:rFonts w:eastAsia="Times New Roman" w:cs="Calibri"/>
                <w:b/>
                <w:bCs/>
                <w:lang w:val="et-EE" w:eastAsia="et-EE"/>
              </w:rPr>
              <w:t>Kulu vahe (€</w:t>
            </w:r>
            <w:r w:rsidRPr="00301E8E">
              <w:rPr>
                <w:rFonts w:eastAsia="Times New Roman" w:cs="Calibri"/>
                <w:b/>
                <w:bCs/>
                <w:lang w:val="et-EE" w:eastAsia="et-EE"/>
              </w:rPr>
              <w:t>)</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835" w:rsidRPr="00301E8E" w:rsidRDefault="00E31835" w:rsidP="006D0CBD">
            <w:pPr>
              <w:spacing w:after="0" w:line="240" w:lineRule="auto"/>
              <w:jc w:val="center"/>
              <w:rPr>
                <w:rFonts w:eastAsia="Times New Roman" w:cs="Calibri"/>
                <w:b/>
                <w:bCs/>
                <w:lang w:val="et-EE" w:eastAsia="et-EE"/>
              </w:rPr>
            </w:pPr>
            <w:r w:rsidRPr="00301E8E">
              <w:rPr>
                <w:rFonts w:eastAsia="Times New Roman" w:cs="Calibri"/>
                <w:b/>
                <w:bCs/>
                <w:lang w:val="et-EE" w:eastAsia="et-EE"/>
              </w:rPr>
              <w:t>CO</w:t>
            </w:r>
            <w:r w:rsidRPr="00BC7BCC">
              <w:rPr>
                <w:rFonts w:eastAsia="Times New Roman" w:cs="Calibri"/>
                <w:b/>
                <w:bCs/>
                <w:vertAlign w:val="subscript"/>
                <w:lang w:val="et-EE" w:eastAsia="et-EE"/>
              </w:rPr>
              <w:t>2</w:t>
            </w:r>
            <w:r>
              <w:rPr>
                <w:rFonts w:eastAsia="Times New Roman" w:cs="Calibri"/>
                <w:b/>
                <w:bCs/>
                <w:lang w:val="et-EE" w:eastAsia="et-EE"/>
              </w:rPr>
              <w:t xml:space="preserve"> vähene</w:t>
            </w:r>
            <w:r w:rsidRPr="00301E8E">
              <w:rPr>
                <w:rFonts w:eastAsia="Times New Roman" w:cs="Calibri"/>
                <w:b/>
                <w:bCs/>
                <w:lang w:val="et-EE" w:eastAsia="et-EE"/>
              </w:rPr>
              <w:t>mine (t)</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835" w:rsidRPr="00301E8E" w:rsidRDefault="00E31835" w:rsidP="006D0CBD">
            <w:pPr>
              <w:spacing w:after="0" w:line="240" w:lineRule="auto"/>
              <w:jc w:val="center"/>
              <w:rPr>
                <w:rFonts w:eastAsia="Times New Roman" w:cs="Calibri"/>
                <w:b/>
                <w:bCs/>
                <w:lang w:val="et-EE" w:eastAsia="et-EE"/>
              </w:rPr>
            </w:pPr>
            <w:r w:rsidRPr="00A96D68">
              <w:rPr>
                <w:rFonts w:eastAsia="Times New Roman" w:cs="Calibri"/>
                <w:b/>
                <w:bCs/>
                <w:lang w:val="et-EE" w:eastAsia="et-EE"/>
              </w:rPr>
              <w:t>CO</w:t>
            </w:r>
            <w:r w:rsidRPr="00BC7BCC">
              <w:rPr>
                <w:rFonts w:eastAsia="Times New Roman" w:cs="Calibri"/>
                <w:b/>
                <w:bCs/>
                <w:vertAlign w:val="subscript"/>
                <w:lang w:val="et-EE" w:eastAsia="et-EE"/>
              </w:rPr>
              <w:t>2</w:t>
            </w:r>
            <w:r w:rsidRPr="00A96D68">
              <w:rPr>
                <w:rFonts w:eastAsia="Times New Roman" w:cs="Calibri"/>
                <w:b/>
                <w:bCs/>
                <w:lang w:val="et-EE" w:eastAsia="et-EE"/>
              </w:rPr>
              <w:t xml:space="preserve"> vähendamise hind</w:t>
            </w:r>
            <w:r>
              <w:rPr>
                <w:rFonts w:eastAsia="Times New Roman" w:cs="Calibri"/>
                <w:b/>
                <w:bCs/>
                <w:lang w:val="et-EE" w:eastAsia="et-EE"/>
              </w:rPr>
              <w:t xml:space="preserve"> </w:t>
            </w:r>
            <w:proofErr w:type="spellStart"/>
            <w:r>
              <w:rPr>
                <w:rFonts w:eastAsia="Times New Roman" w:cs="Calibri"/>
                <w:b/>
                <w:bCs/>
                <w:lang w:val="et-EE" w:eastAsia="et-EE"/>
              </w:rPr>
              <w:t>€</w:t>
            </w:r>
            <w:r w:rsidRPr="00301E8E">
              <w:rPr>
                <w:rFonts w:eastAsia="Times New Roman" w:cs="Calibri"/>
                <w:b/>
                <w:bCs/>
                <w:lang w:val="et-EE" w:eastAsia="et-EE"/>
              </w:rPr>
              <w:t>/tonn</w:t>
            </w:r>
            <w:proofErr w:type="spellEnd"/>
          </w:p>
        </w:tc>
      </w:tr>
      <w:tr w:rsidR="00E31835" w:rsidRPr="00A96D68" w:rsidTr="006D0CBD">
        <w:trPr>
          <w:trHeight w:val="306"/>
        </w:trPr>
        <w:tc>
          <w:tcPr>
            <w:tcW w:w="19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31835" w:rsidRPr="00301E8E" w:rsidRDefault="00E31835" w:rsidP="006D0CBD">
            <w:pPr>
              <w:spacing w:after="0" w:line="240" w:lineRule="auto"/>
              <w:rPr>
                <w:rFonts w:eastAsia="Times New Roman" w:cs="Calibri"/>
                <w:b/>
                <w:bCs/>
                <w:lang w:val="et-EE" w:eastAsia="et-EE"/>
              </w:rPr>
            </w:pPr>
            <w:r w:rsidRPr="00301E8E">
              <w:rPr>
                <w:rFonts w:eastAsia="Times New Roman" w:cs="Calibri"/>
                <w:b/>
                <w:bCs/>
                <w:lang w:val="et-EE" w:eastAsia="et-EE"/>
              </w:rPr>
              <w:t>Diisel</w:t>
            </w:r>
          </w:p>
        </w:tc>
        <w:tc>
          <w:tcPr>
            <w:tcW w:w="150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599</w:t>
            </w:r>
            <w:r w:rsidRPr="00A96D68">
              <w:rPr>
                <w:rFonts w:eastAsia="Times New Roman" w:cs="Calibri"/>
                <w:lang w:val="et-EE" w:eastAsia="et-EE"/>
              </w:rPr>
              <w:t xml:space="preserve"> </w:t>
            </w:r>
            <w:r w:rsidRPr="00301E8E">
              <w:rPr>
                <w:rFonts w:eastAsia="Times New Roman" w:cs="Calibri"/>
                <w:lang w:val="et-EE" w:eastAsia="et-EE"/>
              </w:rPr>
              <w:t>200</w:t>
            </w:r>
          </w:p>
        </w:tc>
        <w:tc>
          <w:tcPr>
            <w:tcW w:w="16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31835" w:rsidRPr="00301E8E" w:rsidRDefault="00E31835" w:rsidP="006D0CBD">
            <w:pPr>
              <w:spacing w:after="0" w:line="240" w:lineRule="auto"/>
              <w:jc w:val="center"/>
              <w:rPr>
                <w:rFonts w:eastAsia="Times New Roman" w:cs="Calibri"/>
                <w:lang w:val="et-EE" w:eastAsia="et-EE"/>
              </w:rPr>
            </w:pPr>
          </w:p>
        </w:tc>
        <w:tc>
          <w:tcPr>
            <w:tcW w:w="195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31835" w:rsidRPr="00301E8E" w:rsidRDefault="00E31835" w:rsidP="006D0CBD">
            <w:pPr>
              <w:spacing w:after="0" w:line="240" w:lineRule="auto"/>
              <w:jc w:val="center"/>
              <w:rPr>
                <w:rFonts w:eastAsia="Times New Roman" w:cs="Calibri"/>
                <w:lang w:val="et-EE" w:eastAsia="et-EE"/>
              </w:rPr>
            </w:pPr>
          </w:p>
        </w:tc>
        <w:tc>
          <w:tcPr>
            <w:tcW w:w="19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31835" w:rsidRPr="00301E8E" w:rsidRDefault="00E31835" w:rsidP="006D0CBD">
            <w:pPr>
              <w:spacing w:after="0" w:line="240" w:lineRule="auto"/>
              <w:jc w:val="center"/>
              <w:rPr>
                <w:rFonts w:eastAsia="Times New Roman" w:cs="Calibri"/>
                <w:lang w:val="et-EE" w:eastAsia="et-EE"/>
              </w:rPr>
            </w:pPr>
          </w:p>
        </w:tc>
      </w:tr>
      <w:tr w:rsidR="00E31835" w:rsidRPr="00A96D68" w:rsidTr="006D0CBD">
        <w:trPr>
          <w:trHeight w:val="306"/>
        </w:trPr>
        <w:tc>
          <w:tcPr>
            <w:tcW w:w="195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31835" w:rsidRPr="00301E8E" w:rsidRDefault="00E31835" w:rsidP="006D0CBD">
            <w:pPr>
              <w:spacing w:after="0" w:line="240" w:lineRule="auto"/>
              <w:rPr>
                <w:rFonts w:eastAsia="Times New Roman" w:cs="Calibri"/>
                <w:b/>
                <w:bCs/>
                <w:lang w:val="et-EE" w:eastAsia="et-EE"/>
              </w:rPr>
            </w:pPr>
            <w:r w:rsidRPr="00301E8E">
              <w:rPr>
                <w:rFonts w:eastAsia="Times New Roman" w:cs="Calibri"/>
                <w:b/>
                <w:bCs/>
                <w:lang w:val="et-EE" w:eastAsia="et-EE"/>
              </w:rPr>
              <w:t>Etanool</w:t>
            </w:r>
          </w:p>
        </w:tc>
        <w:tc>
          <w:tcPr>
            <w:tcW w:w="150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919</w:t>
            </w:r>
            <w:r w:rsidRPr="00A96D68">
              <w:rPr>
                <w:rFonts w:eastAsia="Times New Roman" w:cs="Calibri"/>
                <w:lang w:val="et-EE" w:eastAsia="et-EE"/>
              </w:rPr>
              <w:t xml:space="preserve"> </w:t>
            </w:r>
            <w:r w:rsidRPr="00301E8E">
              <w:rPr>
                <w:rFonts w:eastAsia="Times New Roman" w:cs="Calibri"/>
                <w:lang w:val="et-EE" w:eastAsia="et-EE"/>
              </w:rPr>
              <w:t>800</w:t>
            </w:r>
          </w:p>
        </w:tc>
        <w:tc>
          <w:tcPr>
            <w:tcW w:w="165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320</w:t>
            </w:r>
            <w:r w:rsidRPr="00A96D68">
              <w:rPr>
                <w:rFonts w:eastAsia="Times New Roman" w:cs="Calibri"/>
                <w:lang w:val="et-EE" w:eastAsia="et-EE"/>
              </w:rPr>
              <w:t xml:space="preserve"> </w:t>
            </w:r>
            <w:r w:rsidRPr="00301E8E">
              <w:rPr>
                <w:rFonts w:eastAsia="Times New Roman" w:cs="Calibri"/>
                <w:lang w:val="et-EE" w:eastAsia="et-EE"/>
              </w:rPr>
              <w:t>600</w:t>
            </w:r>
          </w:p>
        </w:tc>
        <w:tc>
          <w:tcPr>
            <w:tcW w:w="195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721</w:t>
            </w:r>
          </w:p>
        </w:tc>
        <w:tc>
          <w:tcPr>
            <w:tcW w:w="1954"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445</w:t>
            </w:r>
          </w:p>
        </w:tc>
      </w:tr>
      <w:tr w:rsidR="00E31835" w:rsidRPr="00A96D68" w:rsidTr="006D0CBD">
        <w:trPr>
          <w:trHeight w:val="306"/>
        </w:trPr>
        <w:tc>
          <w:tcPr>
            <w:tcW w:w="1955"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E31835" w:rsidRPr="00301E8E" w:rsidRDefault="00E31835" w:rsidP="006D0CBD">
            <w:pPr>
              <w:spacing w:after="0" w:line="240" w:lineRule="auto"/>
              <w:rPr>
                <w:rFonts w:eastAsia="Times New Roman" w:cs="Calibri"/>
                <w:b/>
                <w:bCs/>
                <w:lang w:val="et-EE" w:eastAsia="et-EE"/>
              </w:rPr>
            </w:pPr>
            <w:r w:rsidRPr="00301E8E">
              <w:rPr>
                <w:rFonts w:eastAsia="Times New Roman" w:cs="Calibri"/>
                <w:b/>
                <w:bCs/>
                <w:lang w:val="et-EE" w:eastAsia="et-EE"/>
              </w:rPr>
              <w:t>Biodiisel</w:t>
            </w:r>
          </w:p>
        </w:tc>
        <w:tc>
          <w:tcPr>
            <w:tcW w:w="1504"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842</w:t>
            </w:r>
            <w:r w:rsidRPr="00A96D68">
              <w:rPr>
                <w:rFonts w:eastAsia="Times New Roman" w:cs="Calibri"/>
                <w:lang w:val="et-EE" w:eastAsia="et-EE"/>
              </w:rPr>
              <w:t xml:space="preserve"> </w:t>
            </w:r>
            <w:r w:rsidRPr="00301E8E">
              <w:rPr>
                <w:rFonts w:eastAsia="Times New Roman" w:cs="Calibri"/>
                <w:lang w:val="et-EE" w:eastAsia="et-EE"/>
              </w:rPr>
              <w:t>800</w:t>
            </w:r>
          </w:p>
        </w:tc>
        <w:tc>
          <w:tcPr>
            <w:tcW w:w="1654"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243</w:t>
            </w:r>
            <w:r w:rsidRPr="00A96D68">
              <w:rPr>
                <w:rFonts w:eastAsia="Times New Roman" w:cs="Calibri"/>
                <w:lang w:val="et-EE" w:eastAsia="et-EE"/>
              </w:rPr>
              <w:t xml:space="preserve"> </w:t>
            </w:r>
            <w:r w:rsidRPr="00301E8E">
              <w:rPr>
                <w:rFonts w:eastAsia="Times New Roman" w:cs="Calibri"/>
                <w:lang w:val="et-EE" w:eastAsia="et-EE"/>
              </w:rPr>
              <w:t>600</w:t>
            </w:r>
          </w:p>
        </w:tc>
        <w:tc>
          <w:tcPr>
            <w:tcW w:w="1955"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784</w:t>
            </w:r>
          </w:p>
        </w:tc>
        <w:tc>
          <w:tcPr>
            <w:tcW w:w="1954"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311</w:t>
            </w:r>
          </w:p>
        </w:tc>
      </w:tr>
      <w:tr w:rsidR="00E31835" w:rsidRPr="00A96D68" w:rsidTr="006D0CBD">
        <w:trPr>
          <w:trHeight w:val="321"/>
        </w:trPr>
        <w:tc>
          <w:tcPr>
            <w:tcW w:w="1955"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E31835" w:rsidRPr="00301E8E" w:rsidRDefault="00E31835" w:rsidP="006D0CBD">
            <w:pPr>
              <w:spacing w:after="0" w:line="240" w:lineRule="auto"/>
              <w:rPr>
                <w:rFonts w:eastAsia="Times New Roman" w:cs="Calibri"/>
                <w:b/>
                <w:bCs/>
                <w:lang w:val="et-EE" w:eastAsia="et-EE"/>
              </w:rPr>
            </w:pPr>
            <w:r>
              <w:rPr>
                <w:rFonts w:eastAsia="Times New Roman" w:cs="Calibri"/>
                <w:b/>
                <w:bCs/>
                <w:lang w:val="et-EE" w:eastAsia="et-EE"/>
              </w:rPr>
              <w:t>H</w:t>
            </w:r>
            <w:r w:rsidRPr="00301E8E">
              <w:rPr>
                <w:rFonts w:eastAsia="Times New Roman" w:cs="Calibri"/>
                <w:b/>
                <w:bCs/>
                <w:lang w:val="et-EE" w:eastAsia="et-EE"/>
              </w:rPr>
              <w:t>übriid</w:t>
            </w:r>
          </w:p>
        </w:tc>
        <w:tc>
          <w:tcPr>
            <w:tcW w:w="1504"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644</w:t>
            </w:r>
            <w:r w:rsidRPr="00A96D68">
              <w:rPr>
                <w:rFonts w:eastAsia="Times New Roman" w:cs="Calibri"/>
                <w:lang w:val="et-EE" w:eastAsia="et-EE"/>
              </w:rPr>
              <w:t xml:space="preserve"> </w:t>
            </w:r>
            <w:r w:rsidRPr="00301E8E">
              <w:rPr>
                <w:rFonts w:eastAsia="Times New Roman" w:cs="Calibri"/>
                <w:lang w:val="et-EE" w:eastAsia="et-EE"/>
              </w:rPr>
              <w:t>000</w:t>
            </w:r>
          </w:p>
        </w:tc>
        <w:tc>
          <w:tcPr>
            <w:tcW w:w="1654"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44</w:t>
            </w:r>
            <w:r w:rsidRPr="00A96D68">
              <w:rPr>
                <w:rFonts w:eastAsia="Times New Roman" w:cs="Calibri"/>
                <w:lang w:val="et-EE" w:eastAsia="et-EE"/>
              </w:rPr>
              <w:t xml:space="preserve"> </w:t>
            </w:r>
            <w:r w:rsidRPr="00301E8E">
              <w:rPr>
                <w:rFonts w:eastAsia="Times New Roman" w:cs="Calibri"/>
                <w:lang w:val="et-EE" w:eastAsia="et-EE"/>
              </w:rPr>
              <w:t>800</w:t>
            </w:r>
          </w:p>
        </w:tc>
        <w:tc>
          <w:tcPr>
            <w:tcW w:w="1955"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217</w:t>
            </w:r>
          </w:p>
        </w:tc>
        <w:tc>
          <w:tcPr>
            <w:tcW w:w="1954"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E31835" w:rsidRPr="00301E8E" w:rsidRDefault="00E31835" w:rsidP="006D0CBD">
            <w:pPr>
              <w:spacing w:after="0" w:line="240" w:lineRule="auto"/>
              <w:jc w:val="center"/>
              <w:rPr>
                <w:rFonts w:eastAsia="Times New Roman" w:cs="Calibri"/>
                <w:lang w:val="et-EE" w:eastAsia="et-EE"/>
              </w:rPr>
            </w:pPr>
            <w:r w:rsidRPr="00301E8E">
              <w:rPr>
                <w:rFonts w:eastAsia="Times New Roman" w:cs="Calibri"/>
                <w:lang w:val="et-EE" w:eastAsia="et-EE"/>
              </w:rPr>
              <w:t>206</w:t>
            </w:r>
          </w:p>
        </w:tc>
      </w:tr>
    </w:tbl>
    <w:p w:rsidR="00E31835" w:rsidRPr="00E2367A" w:rsidRDefault="00E31835" w:rsidP="00E31835">
      <w:pPr>
        <w:jc w:val="left"/>
        <w:rPr>
          <w:sz w:val="18"/>
          <w:shd w:val="clear" w:color="auto" w:fill="FFFFFF"/>
          <w:lang w:val="et-EE"/>
        </w:rPr>
      </w:pPr>
      <w:r w:rsidRPr="00E2367A">
        <w:rPr>
          <w:sz w:val="18"/>
          <w:shd w:val="clear" w:color="auto" w:fill="FFFFFF"/>
          <w:lang w:val="et-EE"/>
        </w:rPr>
        <w:t xml:space="preserve">*Bussi soetamis-, kütuse- ning hoolduskuludega seostatavad muutuvkulud </w:t>
      </w:r>
      <w:r w:rsidRPr="00E2367A">
        <w:rPr>
          <w:sz w:val="18"/>
          <w:shd w:val="clear" w:color="auto" w:fill="FFFFFF"/>
          <w:lang w:val="et-EE"/>
        </w:rPr>
        <w:br/>
        <w:t>(ei sisalda palga- ega püsikulusid, eeldusel, et need on erinevate tehnoloogiate lõikes samad)</w:t>
      </w:r>
    </w:p>
    <w:p w:rsidR="00E31835" w:rsidRPr="00B43857" w:rsidRDefault="00E31835" w:rsidP="00E31835">
      <w:pPr>
        <w:rPr>
          <w:rFonts w:cstheme="minorHAnsi"/>
          <w:shd w:val="clear" w:color="auto" w:fill="FFFFFF"/>
          <w:lang w:val="et-EE"/>
        </w:rPr>
      </w:pPr>
      <w:r w:rsidRPr="00A96D68">
        <w:rPr>
          <w:shd w:val="clear" w:color="auto" w:fill="FFFFFF"/>
          <w:lang w:val="et-EE"/>
        </w:rPr>
        <w:t xml:space="preserve">ECMT aruandes </w:t>
      </w:r>
      <w:r w:rsidRPr="00AC3BAA">
        <w:rPr>
          <w:shd w:val="clear" w:color="auto" w:fill="FFFFFF"/>
          <w:lang w:val="et-EE"/>
        </w:rPr>
        <w:t>„</w:t>
      </w:r>
      <w:proofErr w:type="spellStart"/>
      <w:r w:rsidRPr="00BC7BCC">
        <w:rPr>
          <w:lang w:val="et-EE"/>
        </w:rPr>
        <w:t>Cutting</w:t>
      </w:r>
      <w:proofErr w:type="spellEnd"/>
      <w:r w:rsidRPr="00BC7BCC">
        <w:rPr>
          <w:lang w:val="et-EE"/>
        </w:rPr>
        <w:t xml:space="preserve"> Transport </w:t>
      </w:r>
      <w:r w:rsidRPr="00AC1055">
        <w:rPr>
          <w:szCs w:val="20"/>
          <w:lang w:val="et-EE"/>
        </w:rPr>
        <w:t>CO</w:t>
      </w:r>
      <w:r w:rsidRPr="00AC1055">
        <w:rPr>
          <w:szCs w:val="20"/>
          <w:vertAlign w:val="subscript"/>
          <w:lang w:val="et-EE"/>
        </w:rPr>
        <w:t>2</w:t>
      </w:r>
      <w:r w:rsidRPr="00BC7BCC">
        <w:rPr>
          <w:lang w:val="et-EE"/>
        </w:rPr>
        <w:t xml:space="preserve"> </w:t>
      </w:r>
      <w:proofErr w:type="spellStart"/>
      <w:r w:rsidRPr="00BC7BCC">
        <w:rPr>
          <w:lang w:val="et-EE"/>
        </w:rPr>
        <w:t>emissions</w:t>
      </w:r>
      <w:proofErr w:type="spellEnd"/>
      <w:r w:rsidRPr="00BC7BCC">
        <w:rPr>
          <w:lang w:val="et-EE"/>
        </w:rPr>
        <w:t>“</w:t>
      </w:r>
      <w:r>
        <w:rPr>
          <w:i/>
          <w:lang w:val="et-EE"/>
        </w:rPr>
        <w:t xml:space="preserve"> </w:t>
      </w:r>
      <w:r w:rsidRPr="00A96D68">
        <w:rPr>
          <w:shd w:val="clear" w:color="auto" w:fill="FFFFFF"/>
          <w:lang w:val="et-EE"/>
        </w:rPr>
        <w:t>on ära toodud mitmete transpordi CO</w:t>
      </w:r>
      <w:r w:rsidRPr="00BC7BCC">
        <w:rPr>
          <w:shd w:val="clear" w:color="auto" w:fill="FFFFFF"/>
          <w:vertAlign w:val="subscript"/>
          <w:lang w:val="et-EE"/>
        </w:rPr>
        <w:t>2</w:t>
      </w:r>
      <w:r>
        <w:rPr>
          <w:shd w:val="clear" w:color="auto" w:fill="FFFFFF"/>
          <w:lang w:val="et-EE"/>
        </w:rPr>
        <w:t>-</w:t>
      </w:r>
      <w:r w:rsidRPr="00A96D68">
        <w:rPr>
          <w:shd w:val="clear" w:color="auto" w:fill="FFFFFF"/>
          <w:lang w:val="et-EE"/>
        </w:rPr>
        <w:t>heite vähendamismeetmete hind. Näiteks sõiduautode ökonoomsuse ja CO</w:t>
      </w:r>
      <w:r w:rsidRPr="00BC7BCC">
        <w:rPr>
          <w:shd w:val="clear" w:color="auto" w:fill="FFFFFF"/>
          <w:vertAlign w:val="subscript"/>
          <w:lang w:val="et-EE"/>
        </w:rPr>
        <w:t>2</w:t>
      </w:r>
      <w:r>
        <w:rPr>
          <w:shd w:val="clear" w:color="auto" w:fill="FFFFFF"/>
          <w:lang w:val="et-EE"/>
        </w:rPr>
        <w:t>-</w:t>
      </w:r>
      <w:r w:rsidRPr="00A96D68">
        <w:rPr>
          <w:shd w:val="clear" w:color="auto" w:fill="FFFFFF"/>
          <w:lang w:val="et-EE"/>
        </w:rPr>
        <w:t>heite parandamisel loetakse kuluefektiivsust suhteliselt heaks</w:t>
      </w:r>
      <w:r>
        <w:rPr>
          <w:shd w:val="clear" w:color="auto" w:fill="FFFFFF"/>
          <w:lang w:val="et-EE"/>
        </w:rPr>
        <w:t>,</w:t>
      </w:r>
      <w:r w:rsidRPr="00A96D68">
        <w:rPr>
          <w:shd w:val="clear" w:color="auto" w:fill="FFFFFF"/>
          <w:lang w:val="et-EE"/>
        </w:rPr>
        <w:t xml:space="preserve"> kui ühe tonni CO</w:t>
      </w:r>
      <w:r w:rsidRPr="00BC7BCC">
        <w:rPr>
          <w:shd w:val="clear" w:color="auto" w:fill="FFFFFF"/>
          <w:vertAlign w:val="subscript"/>
          <w:lang w:val="et-EE"/>
        </w:rPr>
        <w:t>2</w:t>
      </w:r>
      <w:r w:rsidRPr="00A96D68">
        <w:rPr>
          <w:shd w:val="clear" w:color="auto" w:fill="FFFFFF"/>
          <w:lang w:val="et-EE"/>
        </w:rPr>
        <w:t xml:space="preserve"> vähendamise hind on 34</w:t>
      </w:r>
      <w:r>
        <w:rPr>
          <w:shd w:val="clear" w:color="auto" w:fill="FFFFFF"/>
          <w:lang w:val="et-EE"/>
        </w:rPr>
        <w:t>–</w:t>
      </w:r>
      <w:r w:rsidRPr="00A96D68">
        <w:rPr>
          <w:shd w:val="clear" w:color="auto" w:fill="FFFFFF"/>
          <w:lang w:val="et-EE"/>
        </w:rPr>
        <w:t xml:space="preserve">71 </w:t>
      </w:r>
      <w:proofErr w:type="spellStart"/>
      <w:r>
        <w:rPr>
          <w:rFonts w:cstheme="minorHAnsi"/>
          <w:shd w:val="clear" w:color="auto" w:fill="FFFFFF"/>
          <w:lang w:val="et-EE"/>
        </w:rPr>
        <w:t>€</w:t>
      </w:r>
      <w:r w:rsidRPr="00A96D68">
        <w:rPr>
          <w:shd w:val="clear" w:color="auto" w:fill="FFFFFF"/>
          <w:lang w:val="et-EE"/>
        </w:rPr>
        <w:t>/tonn</w:t>
      </w:r>
      <w:proofErr w:type="spellEnd"/>
      <w:r w:rsidRPr="00A96D68">
        <w:rPr>
          <w:shd w:val="clear" w:color="auto" w:fill="FFFFFF"/>
          <w:lang w:val="et-EE"/>
        </w:rPr>
        <w:t>.</w:t>
      </w:r>
      <w:r>
        <w:rPr>
          <w:shd w:val="clear" w:color="auto" w:fill="FFFFFF"/>
          <w:lang w:val="et-EE"/>
        </w:rPr>
        <w:t xml:space="preserve"> </w:t>
      </w:r>
      <w:r w:rsidRPr="00A96D68">
        <w:rPr>
          <w:shd w:val="clear" w:color="auto" w:fill="FFFFFF"/>
          <w:lang w:val="et-EE"/>
        </w:rPr>
        <w:t>ECMT toob ära, et sõiduautode 20% CO</w:t>
      </w:r>
      <w:r w:rsidRPr="00BC7BCC">
        <w:rPr>
          <w:shd w:val="clear" w:color="auto" w:fill="FFFFFF"/>
          <w:vertAlign w:val="subscript"/>
          <w:lang w:val="et-EE"/>
        </w:rPr>
        <w:t>2</w:t>
      </w:r>
      <w:r>
        <w:rPr>
          <w:shd w:val="clear" w:color="auto" w:fill="FFFFFF"/>
          <w:lang w:val="et-EE"/>
        </w:rPr>
        <w:t xml:space="preserve">-heite </w:t>
      </w:r>
      <w:r w:rsidRPr="00A96D68">
        <w:rPr>
          <w:shd w:val="clear" w:color="auto" w:fill="FFFFFF"/>
          <w:lang w:val="et-EE"/>
        </w:rPr>
        <w:t>vähenemise puhul võib CO</w:t>
      </w:r>
      <w:r w:rsidRPr="00BC7BCC">
        <w:rPr>
          <w:shd w:val="clear" w:color="auto" w:fill="FFFFFF"/>
          <w:vertAlign w:val="subscript"/>
          <w:lang w:val="et-EE"/>
        </w:rPr>
        <w:t>2</w:t>
      </w:r>
      <w:r w:rsidRPr="00A96D68">
        <w:rPr>
          <w:shd w:val="clear" w:color="auto" w:fill="FFFFFF"/>
          <w:lang w:val="et-EE"/>
        </w:rPr>
        <w:t xml:space="preserve"> hind isegi olla ainult 15 </w:t>
      </w:r>
      <w:proofErr w:type="spellStart"/>
      <w:r>
        <w:rPr>
          <w:rFonts w:cstheme="minorHAnsi"/>
          <w:shd w:val="clear" w:color="auto" w:fill="FFFFFF"/>
          <w:lang w:val="et-EE"/>
        </w:rPr>
        <w:t>€</w:t>
      </w:r>
      <w:r w:rsidRPr="00A96D68">
        <w:rPr>
          <w:shd w:val="clear" w:color="auto" w:fill="FFFFFF"/>
          <w:lang w:val="et-EE"/>
        </w:rPr>
        <w:t>/tonn</w:t>
      </w:r>
      <w:proofErr w:type="spellEnd"/>
      <w:r w:rsidRPr="00A96D68">
        <w:rPr>
          <w:shd w:val="clear" w:color="auto" w:fill="FFFFFF"/>
          <w:lang w:val="et-EE"/>
        </w:rPr>
        <w:t>. Mida kõrgemale CO</w:t>
      </w:r>
      <w:r w:rsidRPr="00BC7BCC">
        <w:rPr>
          <w:shd w:val="clear" w:color="auto" w:fill="FFFFFF"/>
          <w:vertAlign w:val="subscript"/>
          <w:lang w:val="et-EE"/>
        </w:rPr>
        <w:t>2</w:t>
      </w:r>
      <w:r>
        <w:rPr>
          <w:shd w:val="clear" w:color="auto" w:fill="FFFFFF"/>
          <w:lang w:val="et-EE"/>
        </w:rPr>
        <w:t xml:space="preserve">-heite </w:t>
      </w:r>
      <w:r w:rsidRPr="00A96D68">
        <w:rPr>
          <w:shd w:val="clear" w:color="auto" w:fill="FFFFFF"/>
          <w:lang w:val="et-EE"/>
        </w:rPr>
        <w:t>vähendamise eesmärki seada, seda kallimaks võib CO</w:t>
      </w:r>
      <w:r w:rsidRPr="00BC7BCC">
        <w:rPr>
          <w:shd w:val="clear" w:color="auto" w:fill="FFFFFF"/>
          <w:vertAlign w:val="subscript"/>
          <w:lang w:val="et-EE"/>
        </w:rPr>
        <w:t>2</w:t>
      </w:r>
      <w:r w:rsidRPr="00A96D68">
        <w:rPr>
          <w:shd w:val="clear" w:color="auto" w:fill="FFFFFF"/>
          <w:lang w:val="et-EE"/>
        </w:rPr>
        <w:t xml:space="preserve"> vähendamise hind kujuneda, kuid üle 200 </w:t>
      </w:r>
      <w:proofErr w:type="spellStart"/>
      <w:r>
        <w:rPr>
          <w:rFonts w:cstheme="minorHAnsi"/>
          <w:shd w:val="clear" w:color="auto" w:fill="FFFFFF"/>
          <w:lang w:val="et-EE"/>
        </w:rPr>
        <w:t>€</w:t>
      </w:r>
      <w:r w:rsidRPr="00A96D68">
        <w:rPr>
          <w:shd w:val="clear" w:color="auto" w:fill="FFFFFF"/>
          <w:lang w:val="et-EE"/>
        </w:rPr>
        <w:t>/tonni</w:t>
      </w:r>
      <w:proofErr w:type="spellEnd"/>
      <w:r w:rsidRPr="00A96D68">
        <w:rPr>
          <w:shd w:val="clear" w:color="auto" w:fill="FFFFFF"/>
          <w:lang w:val="et-EE"/>
        </w:rPr>
        <w:t xml:space="preserve"> kohta peetakse kalliks (ECMT 2007). Samas raportis on tõdetud, et praeguste biokütuste kaudu on CO</w:t>
      </w:r>
      <w:r w:rsidRPr="00BC7BCC">
        <w:rPr>
          <w:shd w:val="clear" w:color="auto" w:fill="FFFFFF"/>
          <w:vertAlign w:val="subscript"/>
          <w:lang w:val="et-EE"/>
        </w:rPr>
        <w:t>2</w:t>
      </w:r>
      <w:r w:rsidRPr="00A96D68">
        <w:rPr>
          <w:shd w:val="clear" w:color="auto" w:fill="FFFFFF"/>
          <w:lang w:val="et-EE"/>
        </w:rPr>
        <w:t xml:space="preserve"> vähendamine kulukas, </w:t>
      </w:r>
      <w:r>
        <w:rPr>
          <w:shd w:val="clear" w:color="auto" w:fill="FFFFFF"/>
          <w:lang w:val="et-EE"/>
        </w:rPr>
        <w:t xml:space="preserve">vahemikus </w:t>
      </w:r>
      <w:r w:rsidRPr="00A96D68">
        <w:rPr>
          <w:shd w:val="clear" w:color="auto" w:fill="FFFFFF"/>
          <w:lang w:val="et-EE"/>
        </w:rPr>
        <w:t>200</w:t>
      </w:r>
      <w:r>
        <w:rPr>
          <w:shd w:val="clear" w:color="auto" w:fill="FFFFFF"/>
          <w:lang w:val="et-EE"/>
        </w:rPr>
        <w:t>–</w:t>
      </w:r>
      <w:r w:rsidRPr="00A96D68">
        <w:rPr>
          <w:shd w:val="clear" w:color="auto" w:fill="FFFFFF"/>
          <w:lang w:val="et-EE"/>
        </w:rPr>
        <w:t xml:space="preserve">500 </w:t>
      </w:r>
      <w:proofErr w:type="spellStart"/>
      <w:r>
        <w:rPr>
          <w:rFonts w:cstheme="minorHAnsi"/>
          <w:shd w:val="clear" w:color="auto" w:fill="FFFFFF"/>
          <w:lang w:val="et-EE"/>
        </w:rPr>
        <w:t>€</w:t>
      </w:r>
      <w:r w:rsidRPr="00A96D68">
        <w:rPr>
          <w:shd w:val="clear" w:color="auto" w:fill="FFFFFF"/>
          <w:lang w:val="et-EE"/>
        </w:rPr>
        <w:t>/tonn</w:t>
      </w:r>
      <w:proofErr w:type="spellEnd"/>
      <w:r w:rsidRPr="00A96D68">
        <w:rPr>
          <w:shd w:val="clear" w:color="auto" w:fill="FFFFFF"/>
          <w:lang w:val="et-EE"/>
        </w:rPr>
        <w:t xml:space="preserve"> (ECMT 2007), kuid on ka tõdetud, et uuema põlvkonna biokütuste puhul võib see kuluefektiivsemaks muutuda. </w:t>
      </w:r>
      <w:r>
        <w:rPr>
          <w:shd w:val="clear" w:color="auto" w:fill="FFFFFF"/>
          <w:lang w:val="et-EE"/>
        </w:rPr>
        <w:t xml:space="preserve">Tõhusateks meetmeteks peetakse näiteks sõidukite </w:t>
      </w:r>
      <w:r w:rsidRPr="00B43857">
        <w:rPr>
          <w:rFonts w:cstheme="minorHAnsi"/>
          <w:shd w:val="clear" w:color="auto" w:fill="FFFFFF"/>
          <w:lang w:val="et-EE"/>
        </w:rPr>
        <w:t>CO</w:t>
      </w:r>
      <w:r w:rsidRPr="00B43857">
        <w:rPr>
          <w:rFonts w:cstheme="minorHAnsi"/>
          <w:shd w:val="clear" w:color="auto" w:fill="FFFFFF"/>
          <w:vertAlign w:val="subscript"/>
          <w:lang w:val="et-EE"/>
        </w:rPr>
        <w:t>2</w:t>
      </w:r>
      <w:r w:rsidRPr="00B43857">
        <w:rPr>
          <w:rFonts w:cstheme="minorHAnsi"/>
          <w:shd w:val="clear" w:color="auto" w:fill="FFFFFF"/>
          <w:lang w:val="et-EE"/>
        </w:rPr>
        <w:t xml:space="preserve"> </w:t>
      </w:r>
      <w:r>
        <w:rPr>
          <w:shd w:val="clear" w:color="auto" w:fill="FFFFFF"/>
          <w:lang w:val="et-EE"/>
        </w:rPr>
        <w:t xml:space="preserve">määra järgi diferentseeritud maksustamist, ummikumakse ja meetmeid, mis vähendavad sõiduautokasutust (ühistranspordi ja kergliikluse arendamine, liikuvuskorraldus, tõhus maakasutus jne) </w:t>
      </w:r>
    </w:p>
    <w:p w:rsidR="00E31835" w:rsidRDefault="00E31835">
      <w:pPr>
        <w:rPr>
          <w:lang w:val="et-EE"/>
        </w:rPr>
      </w:pPr>
    </w:p>
    <w:p w:rsidR="00B926CE" w:rsidRDefault="00B926CE" w:rsidP="00B926CE">
      <w:pPr>
        <w:pStyle w:val="Heading1"/>
        <w:rPr>
          <w:lang w:val="et-EE"/>
        </w:rPr>
      </w:pPr>
      <w:r w:rsidRPr="00B926CE">
        <w:t>Kommunaalteenustega seotud veokite keskkonnamõju vähendamine Tallinnas</w:t>
      </w:r>
    </w:p>
    <w:p w:rsidR="00B926CE" w:rsidRDefault="00B926CE">
      <w:pPr>
        <w:rPr>
          <w:rFonts w:ascii="Arial" w:hAnsi="Arial" w:cs="Arial"/>
          <w:sz w:val="18"/>
          <w:szCs w:val="18"/>
        </w:rPr>
      </w:pPr>
      <w:r w:rsidRPr="00B926CE">
        <w:rPr>
          <w:rFonts w:ascii="Arial" w:hAnsi="Arial" w:cs="Arial"/>
          <w:sz w:val="18"/>
          <w:szCs w:val="18"/>
          <w:lang w:val="fi-FI"/>
        </w:rPr>
        <w:t xml:space="preserve">Jüssi, M., Poltimäe, H. 2011. Kommunaalteenustega seotud veokite keskkonnamõju vähendamine Tallinnas. </w:t>
      </w:r>
      <w:proofErr w:type="spellStart"/>
      <w:r w:rsidRPr="007B4E69">
        <w:rPr>
          <w:rFonts w:ascii="Arial" w:hAnsi="Arial" w:cs="Arial"/>
          <w:sz w:val="18"/>
          <w:szCs w:val="18"/>
        </w:rPr>
        <w:t>Uuringuaruanne</w:t>
      </w:r>
      <w:proofErr w:type="spellEnd"/>
      <w:r w:rsidRPr="007B4E69">
        <w:rPr>
          <w:rFonts w:ascii="Arial" w:hAnsi="Arial" w:cs="Arial"/>
          <w:sz w:val="18"/>
          <w:szCs w:val="18"/>
        </w:rPr>
        <w:t xml:space="preserve"> Tallinna </w:t>
      </w:r>
      <w:proofErr w:type="spellStart"/>
      <w:r w:rsidRPr="007B4E69">
        <w:rPr>
          <w:rFonts w:ascii="Arial" w:hAnsi="Arial" w:cs="Arial"/>
          <w:sz w:val="18"/>
          <w:szCs w:val="18"/>
        </w:rPr>
        <w:t>Keskkonnaametile</w:t>
      </w:r>
      <w:proofErr w:type="spellEnd"/>
      <w:r w:rsidRPr="007B4E69">
        <w:rPr>
          <w:rFonts w:ascii="Arial" w:hAnsi="Arial" w:cs="Arial"/>
          <w:sz w:val="18"/>
          <w:szCs w:val="18"/>
        </w:rPr>
        <w:t xml:space="preserve">. </w:t>
      </w:r>
      <w:proofErr w:type="spellStart"/>
      <w:r w:rsidRPr="007B4E69">
        <w:rPr>
          <w:rFonts w:ascii="Arial" w:hAnsi="Arial" w:cs="Arial"/>
          <w:sz w:val="18"/>
          <w:szCs w:val="18"/>
        </w:rPr>
        <w:t>Säästva</w:t>
      </w:r>
      <w:proofErr w:type="spellEnd"/>
      <w:r w:rsidRPr="007B4E69">
        <w:rPr>
          <w:rFonts w:ascii="Arial" w:hAnsi="Arial" w:cs="Arial"/>
          <w:sz w:val="18"/>
          <w:szCs w:val="18"/>
        </w:rPr>
        <w:t xml:space="preserve"> Eesti </w:t>
      </w:r>
      <w:proofErr w:type="spellStart"/>
      <w:r w:rsidRPr="007B4E69">
        <w:rPr>
          <w:rFonts w:ascii="Arial" w:hAnsi="Arial" w:cs="Arial"/>
          <w:sz w:val="18"/>
          <w:szCs w:val="18"/>
        </w:rPr>
        <w:t>Instituut</w:t>
      </w:r>
      <w:proofErr w:type="spellEnd"/>
      <w:r w:rsidRPr="007B4E69">
        <w:rPr>
          <w:rFonts w:ascii="Arial" w:hAnsi="Arial" w:cs="Arial"/>
          <w:sz w:val="18"/>
          <w:szCs w:val="18"/>
        </w:rPr>
        <w:t>, Tallinn</w:t>
      </w:r>
    </w:p>
    <w:p w:rsidR="00D825A3" w:rsidRDefault="00D825A3">
      <w:pPr>
        <w:rPr>
          <w:rFonts w:ascii="Arial" w:hAnsi="Arial" w:cs="Arial"/>
          <w:sz w:val="18"/>
          <w:szCs w:val="18"/>
        </w:rPr>
      </w:pPr>
    </w:p>
    <w:p w:rsidR="00D825A3" w:rsidRPr="00D825A3" w:rsidRDefault="00D825A3" w:rsidP="00D825A3">
      <w:pPr>
        <w:rPr>
          <w:lang w:val="fi-FI" w:eastAsia="et-EE"/>
        </w:rPr>
      </w:pPr>
      <w:r w:rsidRPr="00D825A3">
        <w:rPr>
          <w:lang w:val="fi-FI" w:eastAsia="et-EE"/>
        </w:rPr>
        <w:t>Milano linna teemaksu skeem on vähendanud CO</w:t>
      </w:r>
      <w:r w:rsidRPr="00D825A3">
        <w:rPr>
          <w:vertAlign w:val="subscript"/>
          <w:lang w:val="fi-FI" w:eastAsia="et-EE"/>
        </w:rPr>
        <w:t>2</w:t>
      </w:r>
      <w:r w:rsidRPr="00D825A3">
        <w:rPr>
          <w:lang w:val="fi-FI" w:eastAsia="et-EE"/>
        </w:rPr>
        <w:t xml:space="preserve"> 15%. Sarnased tulemused on saadud ka Londoni ja Stockholmi teemaksu skeemide puhul: Londonis vastavalt 6%, 8% ja 16%, ning Stockholmis 13%, 8,5% ja 14% (Rotaris jt 2009, Eliasson jt 2009, Transport for London 2008). Curacao projektiaruandes on välja leitud, et linnateede maksustamine võib vähendada CO</w:t>
      </w:r>
      <w:r w:rsidRPr="00D825A3">
        <w:rPr>
          <w:vertAlign w:val="subscript"/>
          <w:lang w:val="fi-FI" w:eastAsia="et-EE"/>
        </w:rPr>
        <w:t>2</w:t>
      </w:r>
      <w:r w:rsidRPr="00D825A3">
        <w:rPr>
          <w:lang w:val="fi-FI" w:eastAsia="et-EE"/>
        </w:rPr>
        <w:t xml:space="preserve"> emissioone 13-21% (Curacao 2009).</w:t>
      </w:r>
    </w:p>
    <w:p w:rsidR="00D825A3" w:rsidRDefault="00D825A3">
      <w:pPr>
        <w:rPr>
          <w:lang w:val="fi-FI"/>
        </w:rPr>
      </w:pPr>
    </w:p>
    <w:p w:rsidR="00D825A3" w:rsidRDefault="00D825A3">
      <w:r w:rsidRPr="00D825A3">
        <w:rPr>
          <w:lang w:val="fi-FI"/>
        </w:rPr>
        <w:t>10% kaubasaadetiste tõstmine öisele ajale vähendab kütusekulu 6% ning CO</w:t>
      </w:r>
      <w:r w:rsidRPr="00D825A3">
        <w:rPr>
          <w:vertAlign w:val="subscript"/>
          <w:lang w:val="fi-FI"/>
        </w:rPr>
        <w:t>2</w:t>
      </w:r>
      <w:r w:rsidRPr="00D825A3">
        <w:rPr>
          <w:lang w:val="fi-FI"/>
        </w:rPr>
        <w:t xml:space="preserve"> heidet 5% („Green lessons...“ </w:t>
      </w:r>
      <w:r w:rsidRPr="00D0605B">
        <w:t>2008).</w:t>
      </w:r>
    </w:p>
    <w:p w:rsidR="00D825A3" w:rsidRPr="007210EF" w:rsidRDefault="00D825A3" w:rsidP="00D825A3">
      <w:pPr>
        <w:rPr>
          <w:lang w:val="fi-FI"/>
        </w:rPr>
      </w:pPr>
      <w:r w:rsidRPr="00D825A3">
        <w:rPr>
          <w:lang w:val="fi-FI"/>
        </w:rPr>
        <w:t xml:space="preserve">Õige rehvivaliku puhul on võimalik energiat kokku hoidu 4-5%. Viimase kolmekümne aasta jooksul on rehve puudutava arendustöö tulemusel vähendatud rehvidest tingitud veeretakistust 30% võrra. </w:t>
      </w:r>
      <w:r w:rsidRPr="007210EF">
        <w:rPr>
          <w:lang w:val="fi-FI"/>
        </w:rPr>
        <w:t>(IEA 2010)</w:t>
      </w:r>
    </w:p>
    <w:p w:rsidR="007210EF" w:rsidRPr="007210EF" w:rsidRDefault="007210EF" w:rsidP="007210EF">
      <w:pPr>
        <w:spacing w:after="0" w:line="240" w:lineRule="auto"/>
        <w:rPr>
          <w:lang w:val="fi-FI"/>
        </w:rPr>
      </w:pPr>
      <w:r w:rsidRPr="007210EF">
        <w:rPr>
          <w:lang w:val="fi-FI"/>
        </w:rPr>
        <w:lastRenderedPageBreak/>
        <w:t xml:space="preserve">Säästliku sõiduviis ehk </w:t>
      </w:r>
      <w:r w:rsidRPr="007210EF">
        <w:rPr>
          <w:i/>
          <w:lang w:val="fi-FI"/>
        </w:rPr>
        <w:t>Eco-driving</w:t>
      </w:r>
      <w:r w:rsidRPr="007210EF">
        <w:rPr>
          <w:lang w:val="fi-FI"/>
        </w:rPr>
        <w:t xml:space="preserve"> aitab säästa kütust, vähendada mürataset, heitgaase, õnnetusi, stressi ning kulutusi veoki remondile. Paljudes riikides kasutatakse säästliku sõiduviisi koolitusi liiklusohutuse programmides, sest see vähendab liiklusõnnetusi kuni 40%. Säästlikku sõiduviisi saab kujundada õige käigu ja kiiruse valikuga, järskude pidurduste ning kiirenduste vältimise ning liigse koorma eemaldamise abil. Koolitustulemused on näidanud, et vahetult peale koolituse läbimist väheneb sõiduauto ja veokijuhtide autode kütusekulu keskmiselt 5-15%. Pikemaajaliselt püsib kütusekulu vähenemine keskmiselt 5% juures (Vägverket 2004). Kuna kokkuhoiuvõimalused on säästliku sõiduviisi juures üsna suured ja see ei ole suuri investeeringuid, siis on paljud ettevõtted ka ilma eriliste riiklike meetmeteta rakendanud. Oluline eelis säästliku sõiduviisi puhul on see, et seda saab juurutada kõikide veokitüüpide juures, olenemata veoki vanusest, sest sõiduviis oleneb otseselt veokijuhi oskustest ja koolitusest. Püsivate tulemuste saavutamiseks on vaja juhtide kütusekulu pidevalt jälgida ja iga-aastaste koolitustega säästlike sõiduvõtteid meelde tuletada. (IEA 2010)</w:t>
      </w:r>
    </w:p>
    <w:p w:rsidR="007210EF" w:rsidRPr="007210EF" w:rsidRDefault="007210EF" w:rsidP="007210EF">
      <w:pPr>
        <w:rPr>
          <w:lang w:val="fi-FI"/>
        </w:rPr>
      </w:pPr>
      <w:r w:rsidRPr="007210EF">
        <w:rPr>
          <w:lang w:val="fi-FI"/>
        </w:rPr>
        <w:br/>
        <w:t xml:space="preserve">Civitas Smile koostööprojekti raames arendati Malmö linnas transporditeenuseid pakkuva ettevõtte Malmö LBC veokijuhtide jaoks eraldi </w:t>
      </w:r>
      <w:r w:rsidRPr="007210EF">
        <w:rPr>
          <w:i/>
          <w:lang w:val="fi-FI"/>
        </w:rPr>
        <w:t>HeavyEcoDriving</w:t>
      </w:r>
      <w:r w:rsidRPr="007210EF">
        <w:rPr>
          <w:lang w:val="fi-FI"/>
        </w:rPr>
        <w:t xml:space="preserve"> koolitusprogramm ja viidi läbi koolitus 139-le veokijuhile, mille maksumus oli kokku 145 148 eurot ja säästeti 314227 eurot. (CIVITAS SMILE 2011)</w:t>
      </w:r>
    </w:p>
    <w:p w:rsidR="007210EF" w:rsidRPr="007210EF" w:rsidRDefault="007210EF" w:rsidP="007210EF">
      <w:pPr>
        <w:rPr>
          <w:lang w:val="fi-FI"/>
        </w:rPr>
      </w:pPr>
      <w:r w:rsidRPr="007210EF">
        <w:rPr>
          <w:lang w:val="fi-FI"/>
        </w:rPr>
        <w:t xml:space="preserve">Eestis on aktiivseid EcoDriving koolitajaid 27 ja CIVITAS Mimosa projekti raames koolitatakse juba Tallinna Autobussikoondise bussijuhte. TAK bussijuhtide koolituse tulemusel vähenes kütusekulu keskmiselt 5,3-7,6% (SEECA info-seminari ettekanded). </w:t>
      </w:r>
    </w:p>
    <w:p w:rsidR="007210EF" w:rsidRDefault="007210EF" w:rsidP="007210EF">
      <w:pPr>
        <w:pStyle w:val="Heading2"/>
        <w:numPr>
          <w:ilvl w:val="1"/>
          <w:numId w:val="7"/>
        </w:numPr>
        <w:jc w:val="left"/>
      </w:pPr>
      <w:bookmarkStart w:id="14" w:name="_Toc304803778"/>
      <w:r>
        <w:t>CO</w:t>
      </w:r>
      <w:r w:rsidRPr="00EC502B">
        <w:rPr>
          <w:vertAlign w:val="subscript"/>
        </w:rPr>
        <w:t>2</w:t>
      </w:r>
      <w:r>
        <w:t>e ja kütuse säästupotentsiaal Tallinna kommunaalvaldkonna ettevõtetes säästva sõidu</w:t>
      </w:r>
      <w:r w:rsidRPr="00092452">
        <w:t>viis</w:t>
      </w:r>
      <w:r>
        <w:t>i rakendamise abil</w:t>
      </w:r>
      <w:bookmarkEnd w:id="14"/>
    </w:p>
    <w:p w:rsidR="007210EF" w:rsidRPr="007210EF" w:rsidRDefault="007210EF" w:rsidP="007210EF">
      <w:pPr>
        <w:rPr>
          <w:lang w:val="fi-FI"/>
        </w:rPr>
      </w:pPr>
    </w:p>
    <w:p w:rsidR="007210EF" w:rsidRPr="007210EF" w:rsidRDefault="007210EF" w:rsidP="007210EF">
      <w:pPr>
        <w:rPr>
          <w:lang w:val="fi-FI"/>
        </w:rPr>
      </w:pPr>
      <w:r w:rsidRPr="007210EF">
        <w:rPr>
          <w:lang w:val="fi-FI"/>
        </w:rPr>
        <w:t>Järgnevalt vaatlesime küsitlustulemusi ja raskeveokite säästva sõiduviisi koolituste kogemusi arvestades, milline on CO</w:t>
      </w:r>
      <w:r w:rsidRPr="007210EF">
        <w:rPr>
          <w:vertAlign w:val="subscript"/>
          <w:lang w:val="fi-FI"/>
        </w:rPr>
        <w:t>2</w:t>
      </w:r>
      <w:r w:rsidRPr="007210EF">
        <w:rPr>
          <w:lang w:val="fi-FI"/>
        </w:rPr>
        <w:t>e ja kütuse kokkuhoiu potentsiaal aasta lõikes. Arvestades, et säästva sõiduviisi pikaaegne kütusesääst on ca 5%, kuid osa ettevõtetest on juba oma veokijuhte koolitanud ja kommunaalvaldkonna puhul on Scania koolitaja sõnul säästupotentsiaal mõnevõrra väiksem, siis on ära toodud CO</w:t>
      </w:r>
      <w:r w:rsidRPr="007210EF">
        <w:rPr>
          <w:vertAlign w:val="subscript"/>
          <w:lang w:val="fi-FI"/>
        </w:rPr>
        <w:t>2</w:t>
      </w:r>
      <w:r w:rsidRPr="007210EF">
        <w:rPr>
          <w:lang w:val="fi-FI"/>
        </w:rPr>
        <w:t xml:space="preserve">e ja kütusekulu vähenemine nii 2,5% kui 5% vähenemispotentsiaali puhul (vt tabel 4.2). </w:t>
      </w:r>
    </w:p>
    <w:tbl>
      <w:tblPr>
        <w:tblW w:w="8931" w:type="dxa"/>
        <w:tblInd w:w="70" w:type="dxa"/>
        <w:tblLayout w:type="fixed"/>
        <w:tblCellMar>
          <w:left w:w="70" w:type="dxa"/>
          <w:right w:w="70" w:type="dxa"/>
        </w:tblCellMar>
        <w:tblLook w:val="04A0"/>
      </w:tblPr>
      <w:tblGrid>
        <w:gridCol w:w="1560"/>
        <w:gridCol w:w="850"/>
        <w:gridCol w:w="992"/>
        <w:gridCol w:w="993"/>
        <w:gridCol w:w="850"/>
        <w:gridCol w:w="851"/>
        <w:gridCol w:w="992"/>
        <w:gridCol w:w="850"/>
        <w:gridCol w:w="993"/>
      </w:tblGrid>
      <w:tr w:rsidR="007210EF" w:rsidRPr="00283FD9" w:rsidTr="00BC614F">
        <w:trPr>
          <w:trHeight w:val="720"/>
        </w:trPr>
        <w:tc>
          <w:tcPr>
            <w:tcW w:w="1560" w:type="dxa"/>
            <w:tcBorders>
              <w:top w:val="nil"/>
              <w:left w:val="nil"/>
              <w:bottom w:val="nil"/>
              <w:right w:val="nil"/>
            </w:tcBorders>
            <w:shd w:val="clear" w:color="auto" w:fill="auto"/>
            <w:noWrap/>
            <w:vAlign w:val="bottom"/>
            <w:hideMark/>
          </w:tcPr>
          <w:p w:rsidR="007210EF" w:rsidRPr="007210EF" w:rsidRDefault="007210EF" w:rsidP="00BC614F">
            <w:pPr>
              <w:spacing w:after="0" w:line="240" w:lineRule="auto"/>
              <w:jc w:val="left"/>
              <w:rPr>
                <w:rFonts w:eastAsia="Times New Roman" w:cs="Calibri"/>
                <w:color w:val="000000"/>
                <w:sz w:val="20"/>
                <w:lang w:val="fi-FI" w:eastAsia="et-EE"/>
              </w:rPr>
            </w:pPr>
          </w:p>
        </w:tc>
        <w:tc>
          <w:tcPr>
            <w:tcW w:w="850" w:type="dxa"/>
            <w:tcBorders>
              <w:top w:val="nil"/>
              <w:left w:val="nil"/>
              <w:bottom w:val="nil"/>
              <w:right w:val="nil"/>
            </w:tcBorders>
            <w:shd w:val="clear" w:color="auto" w:fill="auto"/>
            <w:noWrap/>
            <w:vAlign w:val="bottom"/>
            <w:hideMark/>
          </w:tcPr>
          <w:p w:rsidR="007210EF" w:rsidRPr="007210EF" w:rsidRDefault="007210EF" w:rsidP="00BC614F">
            <w:pPr>
              <w:spacing w:after="0" w:line="240" w:lineRule="auto"/>
              <w:jc w:val="left"/>
              <w:rPr>
                <w:rFonts w:eastAsia="Times New Roman" w:cs="Calibri"/>
                <w:color w:val="000000"/>
                <w:sz w:val="20"/>
                <w:lang w:val="fi-FI" w:eastAsia="et-EE"/>
              </w:rPr>
            </w:pPr>
          </w:p>
        </w:tc>
        <w:tc>
          <w:tcPr>
            <w:tcW w:w="992" w:type="dxa"/>
            <w:tcBorders>
              <w:top w:val="nil"/>
              <w:left w:val="nil"/>
              <w:bottom w:val="nil"/>
              <w:right w:val="nil"/>
            </w:tcBorders>
            <w:shd w:val="clear" w:color="auto" w:fill="auto"/>
            <w:noWrap/>
            <w:vAlign w:val="bottom"/>
            <w:hideMark/>
          </w:tcPr>
          <w:p w:rsidR="007210EF" w:rsidRPr="007210EF" w:rsidRDefault="007210EF" w:rsidP="00BC614F">
            <w:pPr>
              <w:spacing w:after="0" w:line="240" w:lineRule="auto"/>
              <w:jc w:val="left"/>
              <w:rPr>
                <w:rFonts w:eastAsia="Times New Roman" w:cs="Calibri"/>
                <w:color w:val="000000"/>
                <w:sz w:val="20"/>
                <w:lang w:val="fi-FI" w:eastAsia="et-EE"/>
              </w:rPr>
            </w:pPr>
          </w:p>
        </w:tc>
        <w:tc>
          <w:tcPr>
            <w:tcW w:w="993" w:type="dxa"/>
            <w:tcBorders>
              <w:top w:val="nil"/>
              <w:left w:val="nil"/>
              <w:bottom w:val="nil"/>
              <w:right w:val="nil"/>
            </w:tcBorders>
            <w:shd w:val="clear" w:color="auto" w:fill="auto"/>
            <w:noWrap/>
            <w:vAlign w:val="bottom"/>
            <w:hideMark/>
          </w:tcPr>
          <w:p w:rsidR="007210EF" w:rsidRPr="007210EF" w:rsidRDefault="007210EF" w:rsidP="00BC614F">
            <w:pPr>
              <w:spacing w:after="0" w:line="240" w:lineRule="auto"/>
              <w:jc w:val="left"/>
              <w:rPr>
                <w:rFonts w:eastAsia="Times New Roman" w:cs="Calibri"/>
                <w:color w:val="000000"/>
                <w:sz w:val="20"/>
                <w:lang w:val="fi-FI" w:eastAsia="et-EE"/>
              </w:rPr>
            </w:pPr>
          </w:p>
        </w:tc>
        <w:tc>
          <w:tcPr>
            <w:tcW w:w="850" w:type="dxa"/>
            <w:tcBorders>
              <w:top w:val="nil"/>
              <w:left w:val="nil"/>
              <w:bottom w:val="nil"/>
              <w:right w:val="nil"/>
            </w:tcBorders>
            <w:shd w:val="clear" w:color="auto" w:fill="auto"/>
            <w:noWrap/>
            <w:vAlign w:val="bottom"/>
            <w:hideMark/>
          </w:tcPr>
          <w:p w:rsidR="007210EF" w:rsidRPr="007210EF" w:rsidRDefault="007210EF" w:rsidP="00BC614F">
            <w:pPr>
              <w:spacing w:after="0" w:line="240" w:lineRule="auto"/>
              <w:jc w:val="left"/>
              <w:rPr>
                <w:rFonts w:eastAsia="Times New Roman" w:cs="Calibri"/>
                <w:color w:val="000000"/>
                <w:sz w:val="20"/>
                <w:lang w:val="fi-FI" w:eastAsia="et-EE"/>
              </w:rPr>
            </w:pP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210EF" w:rsidRPr="00283FD9" w:rsidRDefault="007210EF" w:rsidP="00BC614F">
            <w:pPr>
              <w:spacing w:after="0" w:line="240" w:lineRule="auto"/>
              <w:jc w:val="center"/>
              <w:rPr>
                <w:rFonts w:eastAsia="Times New Roman" w:cs="Calibri"/>
                <w:b/>
                <w:bCs/>
                <w:color w:val="000000"/>
                <w:sz w:val="20"/>
                <w:lang w:eastAsia="et-EE"/>
              </w:rPr>
            </w:pPr>
            <w:proofErr w:type="spellStart"/>
            <w:r>
              <w:rPr>
                <w:rFonts w:eastAsia="Times New Roman" w:cs="Calibri"/>
                <w:b/>
                <w:bCs/>
                <w:color w:val="000000"/>
                <w:sz w:val="20"/>
                <w:lang w:eastAsia="et-EE"/>
              </w:rPr>
              <w:t>Säästva</w:t>
            </w:r>
            <w:proofErr w:type="spellEnd"/>
            <w:r>
              <w:rPr>
                <w:rFonts w:eastAsia="Times New Roman" w:cs="Calibri"/>
                <w:b/>
                <w:bCs/>
                <w:color w:val="000000"/>
                <w:sz w:val="20"/>
                <w:lang w:eastAsia="et-EE"/>
              </w:rPr>
              <w:t xml:space="preserve"> </w:t>
            </w:r>
            <w:proofErr w:type="spellStart"/>
            <w:r>
              <w:rPr>
                <w:rFonts w:eastAsia="Times New Roman" w:cs="Calibri"/>
                <w:b/>
                <w:bCs/>
                <w:color w:val="000000"/>
                <w:sz w:val="20"/>
                <w:lang w:eastAsia="et-EE"/>
              </w:rPr>
              <w:t>sõiduviisi</w:t>
            </w:r>
            <w:proofErr w:type="spellEnd"/>
            <w:r w:rsidRPr="00283FD9">
              <w:rPr>
                <w:rFonts w:eastAsia="Times New Roman" w:cs="Calibri"/>
                <w:b/>
                <w:bCs/>
                <w:color w:val="000000"/>
                <w:sz w:val="20"/>
                <w:lang w:eastAsia="et-EE"/>
              </w:rPr>
              <w:t xml:space="preserve"> </w:t>
            </w:r>
            <w:proofErr w:type="spellStart"/>
            <w:r w:rsidRPr="00283FD9">
              <w:rPr>
                <w:rFonts w:eastAsia="Times New Roman" w:cs="Calibri"/>
                <w:b/>
                <w:bCs/>
                <w:color w:val="000000"/>
                <w:sz w:val="20"/>
                <w:lang w:eastAsia="et-EE"/>
              </w:rPr>
              <w:t>mõju</w:t>
            </w:r>
            <w:proofErr w:type="spellEnd"/>
            <w:r w:rsidRPr="00283FD9">
              <w:rPr>
                <w:rFonts w:eastAsia="Times New Roman" w:cs="Calibri"/>
                <w:b/>
                <w:bCs/>
                <w:color w:val="000000"/>
                <w:sz w:val="20"/>
                <w:lang w:eastAsia="et-EE"/>
              </w:rPr>
              <w:t xml:space="preserve"> 2,5%</w:t>
            </w:r>
          </w:p>
        </w:tc>
        <w:tc>
          <w:tcPr>
            <w:tcW w:w="1843" w:type="dxa"/>
            <w:gridSpan w:val="2"/>
            <w:tcBorders>
              <w:top w:val="single" w:sz="8" w:space="0" w:color="auto"/>
              <w:left w:val="nil"/>
              <w:bottom w:val="nil"/>
              <w:right w:val="single" w:sz="8" w:space="0" w:color="000000"/>
            </w:tcBorders>
            <w:shd w:val="clear" w:color="auto" w:fill="auto"/>
            <w:vAlign w:val="bottom"/>
            <w:hideMark/>
          </w:tcPr>
          <w:p w:rsidR="007210EF" w:rsidRPr="00283FD9" w:rsidRDefault="007210EF" w:rsidP="00BC614F">
            <w:pPr>
              <w:spacing w:after="0" w:line="240" w:lineRule="auto"/>
              <w:jc w:val="center"/>
              <w:rPr>
                <w:rFonts w:eastAsia="Times New Roman" w:cs="Calibri"/>
                <w:b/>
                <w:bCs/>
                <w:color w:val="000000"/>
                <w:sz w:val="20"/>
                <w:lang w:eastAsia="et-EE"/>
              </w:rPr>
            </w:pPr>
            <w:proofErr w:type="spellStart"/>
            <w:r>
              <w:rPr>
                <w:rFonts w:eastAsia="Times New Roman" w:cs="Calibri"/>
                <w:b/>
                <w:bCs/>
                <w:color w:val="000000"/>
                <w:sz w:val="20"/>
                <w:lang w:eastAsia="et-EE"/>
              </w:rPr>
              <w:t>Säästva</w:t>
            </w:r>
            <w:proofErr w:type="spellEnd"/>
            <w:r>
              <w:rPr>
                <w:rFonts w:eastAsia="Times New Roman" w:cs="Calibri"/>
                <w:b/>
                <w:bCs/>
                <w:color w:val="000000"/>
                <w:sz w:val="20"/>
                <w:lang w:eastAsia="et-EE"/>
              </w:rPr>
              <w:t xml:space="preserve"> </w:t>
            </w:r>
            <w:proofErr w:type="spellStart"/>
            <w:r>
              <w:rPr>
                <w:rFonts w:eastAsia="Times New Roman" w:cs="Calibri"/>
                <w:b/>
                <w:bCs/>
                <w:color w:val="000000"/>
                <w:sz w:val="20"/>
                <w:lang w:eastAsia="et-EE"/>
              </w:rPr>
              <w:t>sõiduviisi</w:t>
            </w:r>
            <w:proofErr w:type="spellEnd"/>
            <w:r w:rsidRPr="00283FD9">
              <w:rPr>
                <w:rFonts w:eastAsia="Times New Roman" w:cs="Calibri"/>
                <w:b/>
                <w:bCs/>
                <w:color w:val="000000"/>
                <w:sz w:val="20"/>
                <w:lang w:eastAsia="et-EE"/>
              </w:rPr>
              <w:t xml:space="preserve"> </w:t>
            </w:r>
            <w:proofErr w:type="spellStart"/>
            <w:r w:rsidRPr="00283FD9">
              <w:rPr>
                <w:rFonts w:eastAsia="Times New Roman" w:cs="Calibri"/>
                <w:b/>
                <w:bCs/>
                <w:color w:val="000000"/>
                <w:sz w:val="20"/>
                <w:lang w:eastAsia="et-EE"/>
              </w:rPr>
              <w:t>mõju</w:t>
            </w:r>
            <w:proofErr w:type="spellEnd"/>
            <w:r w:rsidRPr="00283FD9">
              <w:rPr>
                <w:rFonts w:eastAsia="Times New Roman" w:cs="Calibri"/>
                <w:b/>
                <w:bCs/>
                <w:color w:val="000000"/>
                <w:sz w:val="20"/>
                <w:lang w:eastAsia="et-EE"/>
              </w:rPr>
              <w:t xml:space="preserve"> 5%</w:t>
            </w:r>
          </w:p>
        </w:tc>
      </w:tr>
      <w:tr w:rsidR="007210EF" w:rsidRPr="00283FD9" w:rsidTr="00BC614F">
        <w:trPr>
          <w:trHeight w:val="839"/>
        </w:trPr>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10EF" w:rsidRPr="00283FD9" w:rsidRDefault="007210EF" w:rsidP="00BC614F">
            <w:pPr>
              <w:spacing w:after="0" w:line="240" w:lineRule="auto"/>
              <w:jc w:val="center"/>
              <w:rPr>
                <w:rFonts w:eastAsia="Times New Roman" w:cs="Calibri"/>
                <w:b/>
                <w:bCs/>
                <w:color w:val="000000"/>
                <w:sz w:val="20"/>
                <w:lang w:eastAsia="et-EE"/>
              </w:rPr>
            </w:pPr>
            <w:proofErr w:type="spellStart"/>
            <w:r w:rsidRPr="00283FD9">
              <w:rPr>
                <w:rFonts w:eastAsia="Times New Roman" w:cs="Calibri"/>
                <w:b/>
                <w:bCs/>
                <w:color w:val="000000"/>
                <w:sz w:val="20"/>
                <w:lang w:eastAsia="et-EE"/>
              </w:rPr>
              <w:t>Valdkond</w:t>
            </w:r>
            <w:proofErr w:type="spellEnd"/>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210EF" w:rsidRPr="00283FD9" w:rsidRDefault="007210EF" w:rsidP="00BC614F">
            <w:pPr>
              <w:spacing w:after="0" w:line="240" w:lineRule="auto"/>
              <w:jc w:val="center"/>
              <w:rPr>
                <w:rFonts w:eastAsia="Times New Roman" w:cs="Calibri"/>
                <w:b/>
                <w:bCs/>
                <w:color w:val="000000"/>
                <w:sz w:val="20"/>
                <w:lang w:eastAsia="et-EE"/>
              </w:rPr>
            </w:pPr>
            <w:proofErr w:type="spellStart"/>
            <w:r w:rsidRPr="00283FD9">
              <w:rPr>
                <w:rFonts w:eastAsia="Times New Roman" w:cs="Calibri"/>
                <w:b/>
                <w:bCs/>
                <w:color w:val="000000"/>
                <w:sz w:val="20"/>
                <w:lang w:eastAsia="et-EE"/>
              </w:rPr>
              <w:t>Veoki-juhtide</w:t>
            </w:r>
            <w:proofErr w:type="spellEnd"/>
            <w:r w:rsidRPr="00283FD9">
              <w:rPr>
                <w:rFonts w:eastAsia="Times New Roman" w:cs="Calibri"/>
                <w:b/>
                <w:bCs/>
                <w:color w:val="000000"/>
                <w:sz w:val="20"/>
                <w:lang w:eastAsia="et-EE"/>
              </w:rPr>
              <w:t xml:space="preserve"> </w:t>
            </w:r>
            <w:proofErr w:type="spellStart"/>
            <w:r w:rsidRPr="00283FD9">
              <w:rPr>
                <w:rFonts w:eastAsia="Times New Roman" w:cs="Calibri"/>
                <w:b/>
                <w:bCs/>
                <w:color w:val="000000"/>
                <w:sz w:val="20"/>
                <w:lang w:eastAsia="et-EE"/>
              </w:rPr>
              <w:t>arv</w:t>
            </w:r>
            <w:proofErr w:type="spellEnd"/>
          </w:p>
        </w:tc>
        <w:tc>
          <w:tcPr>
            <w:tcW w:w="992" w:type="dxa"/>
            <w:tcBorders>
              <w:top w:val="single" w:sz="8" w:space="0" w:color="auto"/>
              <w:left w:val="nil"/>
              <w:bottom w:val="single" w:sz="8" w:space="0" w:color="auto"/>
              <w:right w:val="nil"/>
            </w:tcBorders>
            <w:shd w:val="clear" w:color="auto" w:fill="auto"/>
            <w:vAlign w:val="center"/>
            <w:hideMark/>
          </w:tcPr>
          <w:p w:rsidR="007210EF" w:rsidRPr="00283FD9" w:rsidRDefault="007210EF" w:rsidP="00BC614F">
            <w:pPr>
              <w:spacing w:after="0" w:line="240" w:lineRule="auto"/>
              <w:jc w:val="center"/>
              <w:rPr>
                <w:rFonts w:eastAsia="Times New Roman" w:cs="Calibri"/>
                <w:b/>
                <w:bCs/>
                <w:color w:val="000000"/>
                <w:sz w:val="20"/>
                <w:lang w:eastAsia="et-EE"/>
              </w:rPr>
            </w:pPr>
            <w:proofErr w:type="spellStart"/>
            <w:r>
              <w:rPr>
                <w:rFonts w:eastAsia="Times New Roman" w:cs="Calibri"/>
                <w:b/>
                <w:bCs/>
                <w:color w:val="000000"/>
                <w:sz w:val="20"/>
                <w:lang w:eastAsia="et-EE"/>
              </w:rPr>
              <w:t>Aastane</w:t>
            </w:r>
            <w:proofErr w:type="spellEnd"/>
            <w:r>
              <w:rPr>
                <w:rFonts w:eastAsia="Times New Roman" w:cs="Calibri"/>
                <w:b/>
                <w:bCs/>
                <w:color w:val="000000"/>
                <w:sz w:val="20"/>
                <w:lang w:eastAsia="et-EE"/>
              </w:rPr>
              <w:t xml:space="preserve"> </w:t>
            </w:r>
            <w:proofErr w:type="spellStart"/>
            <w:r>
              <w:rPr>
                <w:rFonts w:eastAsia="Times New Roman" w:cs="Calibri"/>
                <w:b/>
                <w:bCs/>
                <w:color w:val="000000"/>
                <w:sz w:val="20"/>
                <w:lang w:eastAsia="et-EE"/>
              </w:rPr>
              <w:t>kütuse-kulu</w:t>
            </w:r>
            <w:proofErr w:type="spellEnd"/>
            <w:r w:rsidRPr="00283FD9">
              <w:rPr>
                <w:rFonts w:eastAsia="Times New Roman" w:cs="Calibri"/>
                <w:b/>
                <w:bCs/>
                <w:color w:val="000000"/>
                <w:sz w:val="20"/>
                <w:lang w:eastAsia="et-EE"/>
              </w:rPr>
              <w:t xml:space="preserve"> </w:t>
            </w:r>
            <w:r>
              <w:rPr>
                <w:rFonts w:eastAsia="Times New Roman" w:cs="Calibri"/>
                <w:b/>
                <w:bCs/>
                <w:color w:val="000000"/>
                <w:sz w:val="20"/>
                <w:lang w:eastAsia="et-EE"/>
              </w:rPr>
              <w:t>1000</w:t>
            </w:r>
            <w:r w:rsidRPr="00283FD9">
              <w:rPr>
                <w:rFonts w:eastAsia="Times New Roman" w:cs="Calibri"/>
                <w:b/>
                <w:bCs/>
                <w:color w:val="000000"/>
                <w:sz w:val="20"/>
                <w:lang w:eastAsia="et-EE"/>
              </w:rPr>
              <w:t>l</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10EF" w:rsidRPr="00283FD9" w:rsidRDefault="007210EF" w:rsidP="00BC614F">
            <w:pPr>
              <w:spacing w:after="0" w:line="240" w:lineRule="auto"/>
              <w:jc w:val="center"/>
              <w:rPr>
                <w:rFonts w:eastAsia="Times New Roman" w:cs="Calibri"/>
                <w:b/>
                <w:bCs/>
                <w:color w:val="000000"/>
                <w:sz w:val="20"/>
                <w:lang w:eastAsia="et-EE"/>
              </w:rPr>
            </w:pPr>
            <w:proofErr w:type="spellStart"/>
            <w:r w:rsidRPr="00283FD9">
              <w:rPr>
                <w:rFonts w:eastAsia="Times New Roman" w:cs="Calibri"/>
                <w:b/>
                <w:bCs/>
                <w:color w:val="000000"/>
                <w:sz w:val="20"/>
                <w:lang w:eastAsia="et-EE"/>
              </w:rPr>
              <w:t>Kulutused</w:t>
            </w:r>
            <w:proofErr w:type="spellEnd"/>
            <w:r w:rsidRPr="00283FD9">
              <w:rPr>
                <w:rFonts w:eastAsia="Times New Roman" w:cs="Calibri"/>
                <w:b/>
                <w:bCs/>
                <w:color w:val="000000"/>
                <w:sz w:val="20"/>
                <w:lang w:eastAsia="et-EE"/>
              </w:rPr>
              <w:t xml:space="preserve"> </w:t>
            </w:r>
            <w:proofErr w:type="spellStart"/>
            <w:r w:rsidRPr="00283FD9">
              <w:rPr>
                <w:rFonts w:eastAsia="Times New Roman" w:cs="Calibri"/>
                <w:b/>
                <w:bCs/>
                <w:color w:val="000000"/>
                <w:sz w:val="20"/>
                <w:lang w:eastAsia="et-EE"/>
              </w:rPr>
              <w:t>kütusele</w:t>
            </w:r>
            <w:proofErr w:type="spellEnd"/>
            <w:r w:rsidRPr="00283FD9">
              <w:rPr>
                <w:rFonts w:eastAsia="Times New Roman" w:cs="Calibri"/>
                <w:b/>
                <w:bCs/>
                <w:color w:val="000000"/>
                <w:sz w:val="20"/>
                <w:lang w:eastAsia="et-EE"/>
              </w:rPr>
              <w:t xml:space="preserve"> </w:t>
            </w:r>
            <w:r w:rsidRPr="000164A7">
              <w:rPr>
                <w:rFonts w:eastAsia="Times New Roman" w:cs="Calibri"/>
                <w:b/>
                <w:bCs/>
                <w:color w:val="000000"/>
                <w:sz w:val="18"/>
                <w:szCs w:val="18"/>
                <w:lang w:eastAsia="et-EE"/>
              </w:rPr>
              <w:t>(1,165 EUR/l)</w:t>
            </w:r>
          </w:p>
        </w:tc>
        <w:tc>
          <w:tcPr>
            <w:tcW w:w="850" w:type="dxa"/>
            <w:tcBorders>
              <w:top w:val="single" w:sz="8" w:space="0" w:color="auto"/>
              <w:left w:val="nil"/>
              <w:bottom w:val="single" w:sz="8" w:space="0" w:color="auto"/>
              <w:right w:val="nil"/>
            </w:tcBorders>
            <w:shd w:val="clear" w:color="auto" w:fill="auto"/>
            <w:vAlign w:val="center"/>
            <w:hideMark/>
          </w:tcPr>
          <w:p w:rsidR="007210EF" w:rsidRPr="00283FD9" w:rsidRDefault="007210EF" w:rsidP="00BC614F">
            <w:pPr>
              <w:spacing w:after="0" w:line="240" w:lineRule="auto"/>
              <w:jc w:val="center"/>
              <w:rPr>
                <w:rFonts w:eastAsia="Times New Roman" w:cs="Calibri"/>
                <w:b/>
                <w:bCs/>
                <w:color w:val="000000"/>
                <w:sz w:val="20"/>
                <w:lang w:eastAsia="et-EE"/>
              </w:rPr>
            </w:pPr>
            <w:r w:rsidRPr="000A04B5">
              <w:rPr>
                <w:rFonts w:eastAsia="Times New Roman" w:cs="Calibri"/>
                <w:b/>
                <w:bCs/>
                <w:color w:val="000000"/>
                <w:sz w:val="20"/>
                <w:lang w:eastAsia="et-EE"/>
              </w:rPr>
              <w:t>CO</w:t>
            </w:r>
            <w:r w:rsidRPr="000A04B5">
              <w:rPr>
                <w:rFonts w:eastAsia="Times New Roman" w:cs="Calibri"/>
                <w:b/>
                <w:bCs/>
                <w:color w:val="000000"/>
                <w:sz w:val="20"/>
                <w:vertAlign w:val="subscript"/>
                <w:lang w:eastAsia="et-EE"/>
              </w:rPr>
              <w:t>2</w:t>
            </w:r>
            <w:r>
              <w:rPr>
                <w:rFonts w:eastAsia="Times New Roman" w:cs="Calibri"/>
                <w:b/>
                <w:bCs/>
                <w:color w:val="000000"/>
                <w:sz w:val="20"/>
                <w:lang w:eastAsia="et-EE"/>
              </w:rPr>
              <w:t>e</w:t>
            </w:r>
            <w:r w:rsidRPr="00283FD9">
              <w:rPr>
                <w:rFonts w:eastAsia="Times New Roman" w:cs="Calibri"/>
                <w:b/>
                <w:bCs/>
                <w:color w:val="000000"/>
                <w:sz w:val="20"/>
                <w:lang w:eastAsia="et-EE"/>
              </w:rPr>
              <w:t xml:space="preserve"> </w:t>
            </w:r>
            <w:proofErr w:type="spellStart"/>
            <w:r w:rsidRPr="00283FD9">
              <w:rPr>
                <w:rFonts w:eastAsia="Times New Roman" w:cs="Calibri"/>
                <w:b/>
                <w:bCs/>
                <w:color w:val="000000"/>
                <w:sz w:val="20"/>
                <w:lang w:eastAsia="et-EE"/>
              </w:rPr>
              <w:t>tonni</w:t>
            </w:r>
            <w:proofErr w:type="spellEnd"/>
            <w:r w:rsidRPr="00283FD9">
              <w:rPr>
                <w:rFonts w:eastAsia="Times New Roman" w:cs="Calibri"/>
                <w:b/>
                <w:bCs/>
                <w:color w:val="000000"/>
                <w:sz w:val="20"/>
                <w:lang w:eastAsia="et-EE"/>
              </w:rPr>
              <w:t>/a</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210EF" w:rsidRPr="00283FD9" w:rsidRDefault="007210EF" w:rsidP="00BC614F">
            <w:pPr>
              <w:spacing w:after="0" w:line="240" w:lineRule="auto"/>
              <w:jc w:val="center"/>
              <w:rPr>
                <w:rFonts w:eastAsia="Times New Roman" w:cs="Calibri"/>
                <w:b/>
                <w:bCs/>
                <w:color w:val="000000"/>
                <w:sz w:val="20"/>
                <w:lang w:eastAsia="et-EE"/>
              </w:rPr>
            </w:pPr>
            <w:r w:rsidRPr="00863504">
              <w:rPr>
                <w:b/>
              </w:rPr>
              <w:t>CO</w:t>
            </w:r>
            <w:r w:rsidRPr="00863504">
              <w:rPr>
                <w:b/>
                <w:vertAlign w:val="subscript"/>
              </w:rPr>
              <w:t>2</w:t>
            </w:r>
            <w:r w:rsidRPr="00863504">
              <w:rPr>
                <w:b/>
              </w:rPr>
              <w:t>e</w:t>
            </w:r>
            <w:r w:rsidRPr="00555161">
              <w:rPr>
                <w:rFonts w:eastAsia="Times New Roman" w:cs="Calibri"/>
                <w:b/>
                <w:bCs/>
                <w:color w:val="000000"/>
                <w:sz w:val="20"/>
                <w:lang w:eastAsia="et-EE"/>
              </w:rPr>
              <w:t xml:space="preserve"> </w:t>
            </w:r>
            <w:proofErr w:type="spellStart"/>
            <w:r>
              <w:rPr>
                <w:rFonts w:eastAsia="Times New Roman" w:cs="Calibri"/>
                <w:b/>
                <w:bCs/>
                <w:color w:val="000000"/>
                <w:sz w:val="20"/>
                <w:lang w:eastAsia="et-EE"/>
              </w:rPr>
              <w:t>sääst</w:t>
            </w:r>
            <w:proofErr w:type="spellEnd"/>
            <w:r w:rsidRPr="00283FD9">
              <w:rPr>
                <w:rFonts w:eastAsia="Times New Roman" w:cs="Calibri"/>
                <w:b/>
                <w:bCs/>
                <w:color w:val="000000"/>
                <w:sz w:val="20"/>
                <w:lang w:eastAsia="et-EE"/>
              </w:rPr>
              <w:t xml:space="preserve"> (t/a)</w:t>
            </w:r>
          </w:p>
        </w:tc>
        <w:tc>
          <w:tcPr>
            <w:tcW w:w="992" w:type="dxa"/>
            <w:tcBorders>
              <w:top w:val="nil"/>
              <w:left w:val="nil"/>
              <w:bottom w:val="single" w:sz="4" w:space="0" w:color="auto"/>
              <w:right w:val="single" w:sz="8" w:space="0" w:color="auto"/>
            </w:tcBorders>
            <w:shd w:val="clear" w:color="auto" w:fill="auto"/>
            <w:vAlign w:val="center"/>
            <w:hideMark/>
          </w:tcPr>
          <w:p w:rsidR="007210EF" w:rsidRPr="00283FD9" w:rsidRDefault="007210EF" w:rsidP="00BC614F">
            <w:pPr>
              <w:spacing w:after="0" w:line="240" w:lineRule="auto"/>
              <w:jc w:val="center"/>
              <w:rPr>
                <w:rFonts w:eastAsia="Times New Roman" w:cs="Calibri"/>
                <w:b/>
                <w:bCs/>
                <w:color w:val="000000"/>
                <w:sz w:val="20"/>
                <w:lang w:eastAsia="et-EE"/>
              </w:rPr>
            </w:pPr>
            <w:proofErr w:type="spellStart"/>
            <w:r w:rsidRPr="00283FD9">
              <w:rPr>
                <w:rFonts w:eastAsia="Times New Roman" w:cs="Calibri"/>
                <w:b/>
                <w:bCs/>
                <w:color w:val="000000"/>
                <w:sz w:val="20"/>
                <w:lang w:eastAsia="et-EE"/>
              </w:rPr>
              <w:t>Rahaline</w:t>
            </w:r>
            <w:proofErr w:type="spellEnd"/>
            <w:r w:rsidRPr="00283FD9">
              <w:rPr>
                <w:rFonts w:eastAsia="Times New Roman" w:cs="Calibri"/>
                <w:b/>
                <w:bCs/>
                <w:color w:val="000000"/>
                <w:sz w:val="20"/>
                <w:lang w:eastAsia="et-EE"/>
              </w:rPr>
              <w:t xml:space="preserve"> </w:t>
            </w:r>
            <w:proofErr w:type="spellStart"/>
            <w:r w:rsidRPr="00283FD9">
              <w:rPr>
                <w:rFonts w:eastAsia="Times New Roman" w:cs="Calibri"/>
                <w:b/>
                <w:bCs/>
                <w:color w:val="000000"/>
                <w:sz w:val="20"/>
                <w:lang w:eastAsia="et-EE"/>
              </w:rPr>
              <w:t>sääst</w:t>
            </w:r>
            <w:proofErr w:type="spellEnd"/>
            <w:r w:rsidRPr="00283FD9">
              <w:rPr>
                <w:rFonts w:eastAsia="Times New Roman" w:cs="Calibri"/>
                <w:b/>
                <w:bCs/>
                <w:color w:val="000000"/>
                <w:sz w:val="20"/>
                <w:lang w:eastAsia="et-EE"/>
              </w:rPr>
              <w:t xml:space="preserve"> (EUR/a)</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7210EF" w:rsidRPr="00283FD9" w:rsidRDefault="007210EF" w:rsidP="00BC614F">
            <w:pPr>
              <w:spacing w:after="0" w:line="240" w:lineRule="auto"/>
              <w:jc w:val="center"/>
              <w:rPr>
                <w:rFonts w:eastAsia="Times New Roman" w:cs="Calibri"/>
                <w:b/>
                <w:bCs/>
                <w:color w:val="000000"/>
                <w:sz w:val="20"/>
                <w:lang w:eastAsia="et-EE"/>
              </w:rPr>
            </w:pPr>
            <w:r w:rsidRPr="00863504">
              <w:rPr>
                <w:b/>
              </w:rPr>
              <w:t>CO</w:t>
            </w:r>
            <w:r w:rsidRPr="00863504">
              <w:rPr>
                <w:b/>
                <w:vertAlign w:val="subscript"/>
              </w:rPr>
              <w:t>2</w:t>
            </w:r>
            <w:r w:rsidRPr="00863504">
              <w:rPr>
                <w:b/>
              </w:rPr>
              <w:t>e</w:t>
            </w:r>
            <w:r w:rsidRPr="00555161">
              <w:rPr>
                <w:rFonts w:eastAsia="Times New Roman" w:cs="Calibri"/>
                <w:b/>
                <w:bCs/>
                <w:color w:val="000000"/>
                <w:sz w:val="20"/>
                <w:lang w:eastAsia="et-EE"/>
              </w:rPr>
              <w:t xml:space="preserve"> </w:t>
            </w:r>
            <w:proofErr w:type="spellStart"/>
            <w:r>
              <w:rPr>
                <w:rFonts w:eastAsia="Times New Roman" w:cs="Calibri"/>
                <w:b/>
                <w:bCs/>
                <w:color w:val="000000"/>
                <w:sz w:val="20"/>
                <w:lang w:eastAsia="et-EE"/>
              </w:rPr>
              <w:t>sääst</w:t>
            </w:r>
            <w:proofErr w:type="spellEnd"/>
            <w:r w:rsidRPr="00283FD9">
              <w:rPr>
                <w:rFonts w:eastAsia="Times New Roman" w:cs="Calibri"/>
                <w:b/>
                <w:bCs/>
                <w:color w:val="000000"/>
                <w:sz w:val="20"/>
                <w:lang w:eastAsia="et-EE"/>
              </w:rPr>
              <w:t xml:space="preserve"> (t/a)</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7210EF" w:rsidRPr="00283FD9" w:rsidRDefault="007210EF" w:rsidP="00BC614F">
            <w:pPr>
              <w:spacing w:after="0" w:line="240" w:lineRule="auto"/>
              <w:jc w:val="center"/>
              <w:rPr>
                <w:rFonts w:eastAsia="Times New Roman" w:cs="Calibri"/>
                <w:b/>
                <w:bCs/>
                <w:color w:val="000000"/>
                <w:sz w:val="20"/>
                <w:lang w:eastAsia="et-EE"/>
              </w:rPr>
            </w:pPr>
            <w:proofErr w:type="spellStart"/>
            <w:r w:rsidRPr="00283FD9">
              <w:rPr>
                <w:rFonts w:eastAsia="Times New Roman" w:cs="Calibri"/>
                <w:b/>
                <w:bCs/>
                <w:color w:val="000000"/>
                <w:sz w:val="20"/>
                <w:lang w:eastAsia="et-EE"/>
              </w:rPr>
              <w:t>Rahaline</w:t>
            </w:r>
            <w:proofErr w:type="spellEnd"/>
            <w:r w:rsidRPr="00283FD9">
              <w:rPr>
                <w:rFonts w:eastAsia="Times New Roman" w:cs="Calibri"/>
                <w:b/>
                <w:bCs/>
                <w:color w:val="000000"/>
                <w:sz w:val="20"/>
                <w:lang w:eastAsia="et-EE"/>
              </w:rPr>
              <w:t xml:space="preserve"> </w:t>
            </w:r>
            <w:proofErr w:type="spellStart"/>
            <w:r w:rsidRPr="00283FD9">
              <w:rPr>
                <w:rFonts w:eastAsia="Times New Roman" w:cs="Calibri"/>
                <w:b/>
                <w:bCs/>
                <w:color w:val="000000"/>
                <w:sz w:val="20"/>
                <w:lang w:eastAsia="et-EE"/>
              </w:rPr>
              <w:t>sääst</w:t>
            </w:r>
            <w:proofErr w:type="spellEnd"/>
            <w:r w:rsidRPr="00283FD9">
              <w:rPr>
                <w:rFonts w:eastAsia="Times New Roman" w:cs="Calibri"/>
                <w:b/>
                <w:bCs/>
                <w:color w:val="000000"/>
                <w:sz w:val="20"/>
                <w:lang w:eastAsia="et-EE"/>
              </w:rPr>
              <w:t xml:space="preserve"> (EUR/a)</w:t>
            </w:r>
          </w:p>
        </w:tc>
      </w:tr>
      <w:tr w:rsidR="007210EF" w:rsidRPr="00283FD9" w:rsidTr="00BC614F">
        <w:trPr>
          <w:trHeight w:val="3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7210EF" w:rsidRPr="00283FD9" w:rsidRDefault="007210EF" w:rsidP="00BC614F">
            <w:pPr>
              <w:spacing w:after="0" w:line="240" w:lineRule="auto"/>
              <w:jc w:val="left"/>
              <w:rPr>
                <w:rFonts w:eastAsia="Times New Roman" w:cs="Calibri"/>
                <w:b/>
                <w:bCs/>
                <w:color w:val="000000"/>
                <w:sz w:val="20"/>
                <w:lang w:eastAsia="et-EE"/>
              </w:rPr>
            </w:pPr>
            <w:r w:rsidRPr="00283FD9">
              <w:rPr>
                <w:rFonts w:eastAsia="Times New Roman" w:cs="Calibri"/>
                <w:b/>
                <w:bCs/>
                <w:color w:val="000000"/>
                <w:sz w:val="20"/>
                <w:lang w:eastAsia="et-EE"/>
              </w:rPr>
              <w:t>Teede-</w:t>
            </w:r>
            <w:proofErr w:type="spellStart"/>
            <w:r w:rsidRPr="00283FD9">
              <w:rPr>
                <w:rFonts w:eastAsia="Times New Roman" w:cs="Calibri"/>
                <w:b/>
                <w:bCs/>
                <w:color w:val="000000"/>
                <w:sz w:val="20"/>
                <w:lang w:eastAsia="et-EE"/>
              </w:rPr>
              <w:t>hoid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130</w:t>
            </w:r>
          </w:p>
        </w:tc>
        <w:tc>
          <w:tcPr>
            <w:tcW w:w="992"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2407</w:t>
            </w:r>
            <w:r>
              <w:rPr>
                <w:rFonts w:eastAsia="Times New Roman" w:cs="Calibri"/>
                <w:color w:val="000000"/>
                <w:sz w:val="20"/>
                <w:lang w:eastAsia="et-EE"/>
              </w:rPr>
              <w:t>,5</w:t>
            </w:r>
          </w:p>
        </w:tc>
        <w:tc>
          <w:tcPr>
            <w:tcW w:w="993"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2804738</w:t>
            </w:r>
          </w:p>
        </w:tc>
        <w:tc>
          <w:tcPr>
            <w:tcW w:w="850"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8016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70118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401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140237</w:t>
            </w:r>
          </w:p>
        </w:tc>
      </w:tr>
      <w:tr w:rsidR="007210EF" w:rsidRPr="00283FD9" w:rsidTr="00BC614F">
        <w:trPr>
          <w:trHeight w:val="3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7210EF" w:rsidRPr="00283FD9" w:rsidRDefault="007210EF" w:rsidP="00BC614F">
            <w:pPr>
              <w:spacing w:after="0" w:line="240" w:lineRule="auto"/>
              <w:jc w:val="left"/>
              <w:rPr>
                <w:rFonts w:eastAsia="Times New Roman" w:cs="Calibri"/>
                <w:b/>
                <w:bCs/>
                <w:color w:val="000000"/>
                <w:sz w:val="20"/>
                <w:lang w:eastAsia="et-EE"/>
              </w:rPr>
            </w:pPr>
            <w:proofErr w:type="spellStart"/>
            <w:r w:rsidRPr="00283FD9">
              <w:rPr>
                <w:rFonts w:eastAsia="Times New Roman" w:cs="Calibri"/>
                <w:b/>
                <w:bCs/>
                <w:color w:val="000000"/>
                <w:sz w:val="20"/>
                <w:lang w:eastAsia="et-EE"/>
              </w:rPr>
              <w:t>Tänava-puhastus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210</w:t>
            </w:r>
          </w:p>
        </w:tc>
        <w:tc>
          <w:tcPr>
            <w:tcW w:w="992"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1203</w:t>
            </w:r>
            <w:r>
              <w:rPr>
                <w:rFonts w:eastAsia="Times New Roman" w:cs="Calibri"/>
                <w:color w:val="000000"/>
                <w:sz w:val="20"/>
                <w:lang w:eastAsia="et-EE"/>
              </w:rPr>
              <w:t>,</w:t>
            </w:r>
            <w:r w:rsidRPr="00283FD9">
              <w:rPr>
                <w:rFonts w:eastAsia="Times New Roman" w:cs="Calibri"/>
                <w:color w:val="000000"/>
                <w:sz w:val="20"/>
                <w:lang w:eastAsia="et-EE"/>
              </w:rPr>
              <w:t>6</w:t>
            </w:r>
          </w:p>
        </w:tc>
        <w:tc>
          <w:tcPr>
            <w:tcW w:w="993"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1402233</w:t>
            </w:r>
          </w:p>
        </w:tc>
        <w:tc>
          <w:tcPr>
            <w:tcW w:w="850"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4007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35056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70112</w:t>
            </w:r>
          </w:p>
        </w:tc>
      </w:tr>
      <w:tr w:rsidR="007210EF" w:rsidRPr="00283FD9" w:rsidTr="00BC614F">
        <w:trPr>
          <w:trHeight w:val="3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7210EF" w:rsidRPr="00283FD9" w:rsidRDefault="007210EF" w:rsidP="00BC614F">
            <w:pPr>
              <w:spacing w:after="0" w:line="240" w:lineRule="auto"/>
              <w:jc w:val="left"/>
              <w:rPr>
                <w:rFonts w:eastAsia="Times New Roman" w:cs="Calibri"/>
                <w:b/>
                <w:bCs/>
                <w:color w:val="000000"/>
                <w:sz w:val="20"/>
                <w:lang w:eastAsia="et-EE"/>
              </w:rPr>
            </w:pPr>
            <w:proofErr w:type="spellStart"/>
            <w:r w:rsidRPr="00283FD9">
              <w:rPr>
                <w:rFonts w:eastAsia="Times New Roman" w:cs="Calibri"/>
                <w:b/>
                <w:bCs/>
                <w:color w:val="000000"/>
                <w:sz w:val="20"/>
                <w:lang w:eastAsia="et-EE"/>
              </w:rPr>
              <w:t>Bussid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600</w:t>
            </w:r>
          </w:p>
        </w:tc>
        <w:tc>
          <w:tcPr>
            <w:tcW w:w="992"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Pr>
                <w:rFonts w:eastAsia="Times New Roman" w:cs="Calibri"/>
                <w:color w:val="000000"/>
                <w:sz w:val="20"/>
                <w:lang w:eastAsia="et-EE"/>
              </w:rPr>
              <w:t>7942</w:t>
            </w:r>
          </w:p>
        </w:tc>
        <w:tc>
          <w:tcPr>
            <w:tcW w:w="993"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9252430</w:t>
            </w:r>
          </w:p>
        </w:tc>
        <w:tc>
          <w:tcPr>
            <w:tcW w:w="850"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26442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661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231311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1322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462622</w:t>
            </w:r>
          </w:p>
        </w:tc>
      </w:tr>
      <w:tr w:rsidR="007210EF" w:rsidRPr="00283FD9" w:rsidTr="00BC614F">
        <w:trPr>
          <w:trHeight w:val="3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7210EF" w:rsidRPr="00283FD9" w:rsidRDefault="007210EF" w:rsidP="00BC614F">
            <w:pPr>
              <w:spacing w:after="0" w:line="240" w:lineRule="auto"/>
              <w:jc w:val="left"/>
              <w:rPr>
                <w:rFonts w:eastAsia="Times New Roman" w:cs="Calibri"/>
                <w:b/>
                <w:bCs/>
                <w:color w:val="000000"/>
                <w:sz w:val="20"/>
                <w:lang w:eastAsia="et-EE"/>
              </w:rPr>
            </w:pPr>
            <w:proofErr w:type="spellStart"/>
            <w:r>
              <w:rPr>
                <w:rFonts w:eastAsia="Times New Roman" w:cs="Calibri"/>
                <w:b/>
                <w:bCs/>
                <w:color w:val="000000"/>
                <w:sz w:val="20"/>
                <w:lang w:eastAsia="et-EE"/>
              </w:rPr>
              <w:t>Jäätme</w:t>
            </w:r>
            <w:r w:rsidRPr="00283FD9">
              <w:rPr>
                <w:rFonts w:eastAsia="Times New Roman" w:cs="Calibri"/>
                <w:b/>
                <w:bCs/>
                <w:color w:val="000000"/>
                <w:sz w:val="20"/>
                <w:lang w:eastAsia="et-EE"/>
              </w:rPr>
              <w:t>vedu</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292</w:t>
            </w:r>
          </w:p>
        </w:tc>
        <w:tc>
          <w:tcPr>
            <w:tcW w:w="992"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Pr>
                <w:rFonts w:eastAsia="Times New Roman" w:cs="Calibri"/>
                <w:color w:val="000000"/>
                <w:sz w:val="20"/>
                <w:lang w:eastAsia="et-EE"/>
              </w:rPr>
              <w:t>4404,2</w:t>
            </w:r>
          </w:p>
        </w:tc>
        <w:tc>
          <w:tcPr>
            <w:tcW w:w="993"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5130893</w:t>
            </w:r>
          </w:p>
        </w:tc>
        <w:tc>
          <w:tcPr>
            <w:tcW w:w="850" w:type="dxa"/>
            <w:tcBorders>
              <w:top w:val="nil"/>
              <w:left w:val="nil"/>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14663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367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128272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733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256545</w:t>
            </w:r>
          </w:p>
        </w:tc>
      </w:tr>
      <w:tr w:rsidR="007210EF" w:rsidRPr="00283FD9" w:rsidTr="00BC614F">
        <w:trPr>
          <w:trHeight w:val="315"/>
        </w:trPr>
        <w:tc>
          <w:tcPr>
            <w:tcW w:w="1560" w:type="dxa"/>
            <w:tcBorders>
              <w:top w:val="nil"/>
              <w:left w:val="single" w:sz="8" w:space="0" w:color="auto"/>
              <w:bottom w:val="nil"/>
              <w:right w:val="single" w:sz="8" w:space="0" w:color="auto"/>
            </w:tcBorders>
            <w:shd w:val="clear" w:color="auto" w:fill="auto"/>
            <w:noWrap/>
            <w:vAlign w:val="bottom"/>
            <w:hideMark/>
          </w:tcPr>
          <w:p w:rsidR="007210EF" w:rsidRPr="00283FD9" w:rsidRDefault="007210EF" w:rsidP="00BC614F">
            <w:pPr>
              <w:spacing w:after="0" w:line="240" w:lineRule="auto"/>
              <w:jc w:val="left"/>
              <w:rPr>
                <w:rFonts w:eastAsia="Times New Roman" w:cs="Calibri"/>
                <w:b/>
                <w:bCs/>
                <w:color w:val="000000"/>
                <w:sz w:val="20"/>
                <w:lang w:eastAsia="et-EE"/>
              </w:rPr>
            </w:pPr>
            <w:proofErr w:type="spellStart"/>
            <w:r w:rsidRPr="00283FD9">
              <w:rPr>
                <w:rFonts w:eastAsia="Times New Roman" w:cs="Calibri"/>
                <w:b/>
                <w:bCs/>
                <w:color w:val="000000"/>
                <w:sz w:val="20"/>
                <w:lang w:eastAsia="et-EE"/>
              </w:rPr>
              <w:t>Muu</w:t>
            </w:r>
            <w:proofErr w:type="spellEnd"/>
          </w:p>
        </w:tc>
        <w:tc>
          <w:tcPr>
            <w:tcW w:w="850" w:type="dxa"/>
            <w:tcBorders>
              <w:top w:val="nil"/>
              <w:left w:val="nil"/>
              <w:bottom w:val="nil"/>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11</w:t>
            </w:r>
          </w:p>
        </w:tc>
        <w:tc>
          <w:tcPr>
            <w:tcW w:w="992" w:type="dxa"/>
            <w:tcBorders>
              <w:top w:val="nil"/>
              <w:left w:val="nil"/>
              <w:bottom w:val="nil"/>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Pr>
                <w:rFonts w:eastAsia="Times New Roman" w:cs="Calibri"/>
                <w:color w:val="000000"/>
                <w:sz w:val="20"/>
                <w:lang w:eastAsia="et-EE"/>
              </w:rPr>
              <w:t>19</w:t>
            </w:r>
          </w:p>
        </w:tc>
        <w:tc>
          <w:tcPr>
            <w:tcW w:w="993" w:type="dxa"/>
            <w:tcBorders>
              <w:top w:val="nil"/>
              <w:left w:val="nil"/>
              <w:bottom w:val="nil"/>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22135</w:t>
            </w:r>
          </w:p>
        </w:tc>
        <w:tc>
          <w:tcPr>
            <w:tcW w:w="850" w:type="dxa"/>
            <w:tcBorders>
              <w:top w:val="nil"/>
              <w:left w:val="nil"/>
              <w:bottom w:val="nil"/>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553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color w:val="000000"/>
                <w:sz w:val="20"/>
                <w:lang w:eastAsia="et-EE"/>
              </w:rPr>
            </w:pPr>
            <w:r w:rsidRPr="00283FD9">
              <w:rPr>
                <w:rFonts w:eastAsia="Times New Roman" w:cs="Calibri"/>
                <w:color w:val="000000"/>
                <w:sz w:val="20"/>
                <w:lang w:eastAsia="et-EE"/>
              </w:rPr>
              <w:t>1107</w:t>
            </w:r>
          </w:p>
        </w:tc>
      </w:tr>
      <w:tr w:rsidR="007210EF" w:rsidRPr="00283FD9" w:rsidTr="00BC614F">
        <w:trPr>
          <w:trHeight w:val="315"/>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10EF" w:rsidRPr="00283FD9" w:rsidRDefault="007210EF" w:rsidP="00BC614F">
            <w:pPr>
              <w:spacing w:after="0" w:line="240" w:lineRule="auto"/>
              <w:jc w:val="left"/>
              <w:rPr>
                <w:rFonts w:eastAsia="Times New Roman" w:cs="Calibri"/>
                <w:b/>
                <w:bCs/>
                <w:color w:val="000000"/>
                <w:sz w:val="20"/>
                <w:lang w:eastAsia="et-EE"/>
              </w:rPr>
            </w:pPr>
            <w:proofErr w:type="spellStart"/>
            <w:r w:rsidRPr="00283FD9">
              <w:rPr>
                <w:rFonts w:eastAsia="Times New Roman" w:cs="Calibri"/>
                <w:b/>
                <w:bCs/>
                <w:color w:val="000000"/>
                <w:sz w:val="20"/>
                <w:lang w:eastAsia="et-EE"/>
              </w:rPr>
              <w:t>Kokku</w:t>
            </w:r>
            <w:proofErr w:type="spellEnd"/>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b/>
                <w:bCs/>
                <w:color w:val="000000"/>
                <w:sz w:val="20"/>
                <w:lang w:eastAsia="et-EE"/>
              </w:rPr>
            </w:pPr>
            <w:r w:rsidRPr="00283FD9">
              <w:rPr>
                <w:rFonts w:eastAsia="Times New Roman" w:cs="Calibri"/>
                <w:b/>
                <w:bCs/>
                <w:color w:val="000000"/>
                <w:sz w:val="20"/>
                <w:lang w:eastAsia="et-EE"/>
              </w:rPr>
              <w:t>1243</w:t>
            </w:r>
          </w:p>
        </w:tc>
        <w:tc>
          <w:tcPr>
            <w:tcW w:w="992" w:type="dxa"/>
            <w:tcBorders>
              <w:top w:val="single" w:sz="8" w:space="0" w:color="auto"/>
              <w:left w:val="nil"/>
              <w:bottom w:val="single" w:sz="8" w:space="0" w:color="auto"/>
              <w:right w:val="nil"/>
            </w:tcBorders>
            <w:shd w:val="clear" w:color="auto" w:fill="auto"/>
            <w:noWrap/>
            <w:vAlign w:val="bottom"/>
            <w:hideMark/>
          </w:tcPr>
          <w:p w:rsidR="007210EF" w:rsidRPr="00283FD9" w:rsidRDefault="007210EF" w:rsidP="00BC614F">
            <w:pPr>
              <w:spacing w:after="0" w:line="240" w:lineRule="auto"/>
              <w:jc w:val="center"/>
              <w:rPr>
                <w:rFonts w:eastAsia="Times New Roman" w:cs="Calibri"/>
                <w:b/>
                <w:bCs/>
                <w:color w:val="000000"/>
                <w:sz w:val="20"/>
                <w:lang w:eastAsia="et-EE"/>
              </w:rPr>
            </w:pPr>
            <w:r w:rsidRPr="00283FD9">
              <w:rPr>
                <w:rFonts w:eastAsia="Times New Roman" w:cs="Calibri"/>
                <w:b/>
                <w:bCs/>
                <w:color w:val="000000"/>
                <w:sz w:val="20"/>
                <w:lang w:eastAsia="et-EE"/>
              </w:rPr>
              <w:t>15976334</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b/>
                <w:bCs/>
                <w:color w:val="000000"/>
                <w:sz w:val="20"/>
                <w:lang w:eastAsia="et-EE"/>
              </w:rPr>
            </w:pPr>
            <w:r w:rsidRPr="00283FD9">
              <w:rPr>
                <w:rFonts w:eastAsia="Times New Roman" w:cs="Calibri"/>
                <w:b/>
                <w:bCs/>
                <w:color w:val="000000"/>
                <w:sz w:val="20"/>
                <w:lang w:eastAsia="et-EE"/>
              </w:rPr>
              <w:t>18612429</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b/>
                <w:bCs/>
                <w:color w:val="000000"/>
                <w:sz w:val="20"/>
                <w:lang w:eastAsia="et-EE"/>
              </w:rPr>
            </w:pPr>
            <w:r w:rsidRPr="00283FD9">
              <w:rPr>
                <w:rFonts w:eastAsia="Times New Roman" w:cs="Calibri"/>
                <w:b/>
                <w:bCs/>
                <w:color w:val="000000"/>
                <w:sz w:val="20"/>
                <w:lang w:eastAsia="et-EE"/>
              </w:rPr>
              <w:t>53192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b/>
                <w:color w:val="000000"/>
                <w:sz w:val="20"/>
                <w:lang w:eastAsia="et-EE"/>
              </w:rPr>
            </w:pPr>
            <w:r w:rsidRPr="00283FD9">
              <w:rPr>
                <w:rFonts w:eastAsia="Times New Roman" w:cs="Calibri"/>
                <w:b/>
                <w:color w:val="000000"/>
                <w:sz w:val="20"/>
                <w:lang w:eastAsia="et-EE"/>
              </w:rPr>
              <w:t>1330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b/>
                <w:color w:val="000000"/>
                <w:sz w:val="20"/>
                <w:lang w:eastAsia="et-EE"/>
              </w:rPr>
            </w:pPr>
            <w:r w:rsidRPr="00283FD9">
              <w:rPr>
                <w:rFonts w:eastAsia="Times New Roman" w:cs="Calibri"/>
                <w:b/>
                <w:color w:val="000000"/>
                <w:sz w:val="20"/>
                <w:lang w:eastAsia="et-EE"/>
              </w:rPr>
              <w:t>465311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b/>
                <w:color w:val="000000"/>
                <w:sz w:val="20"/>
                <w:lang w:eastAsia="et-EE"/>
              </w:rPr>
            </w:pPr>
            <w:r w:rsidRPr="00283FD9">
              <w:rPr>
                <w:rFonts w:eastAsia="Times New Roman" w:cs="Calibri"/>
                <w:b/>
                <w:color w:val="000000"/>
                <w:sz w:val="20"/>
                <w:lang w:eastAsia="et-EE"/>
              </w:rPr>
              <w:t>2660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EF" w:rsidRPr="00283FD9" w:rsidRDefault="007210EF" w:rsidP="00BC614F">
            <w:pPr>
              <w:spacing w:after="0" w:line="240" w:lineRule="auto"/>
              <w:jc w:val="center"/>
              <w:rPr>
                <w:rFonts w:eastAsia="Times New Roman" w:cs="Calibri"/>
                <w:b/>
                <w:color w:val="000000"/>
                <w:sz w:val="20"/>
                <w:lang w:eastAsia="et-EE"/>
              </w:rPr>
            </w:pPr>
            <w:r w:rsidRPr="00283FD9">
              <w:rPr>
                <w:rFonts w:eastAsia="Times New Roman" w:cs="Calibri"/>
                <w:b/>
                <w:color w:val="000000"/>
                <w:sz w:val="20"/>
                <w:lang w:eastAsia="et-EE"/>
              </w:rPr>
              <w:t>930621</w:t>
            </w:r>
          </w:p>
        </w:tc>
      </w:tr>
    </w:tbl>
    <w:p w:rsidR="007210EF" w:rsidRPr="00154B85" w:rsidRDefault="007210EF" w:rsidP="007210EF">
      <w:pPr>
        <w:pStyle w:val="Caption"/>
      </w:pPr>
      <w:r>
        <w:br/>
      </w:r>
      <w:r w:rsidRPr="00154B85">
        <w:t xml:space="preserve">Tabel </w:t>
      </w:r>
      <w:fldSimple w:instr=" STYLEREF 1 \s ">
        <w:r>
          <w:rPr>
            <w:noProof/>
          </w:rPr>
          <w:t>4</w:t>
        </w:r>
      </w:fldSimple>
      <w:r w:rsidRPr="00154B85">
        <w:t>.</w:t>
      </w:r>
      <w:fldSimple w:instr=" SEQ Tabel \* ARABIC \s 1 ">
        <w:r>
          <w:rPr>
            <w:noProof/>
          </w:rPr>
          <w:t>2</w:t>
        </w:r>
      </w:fldSimple>
      <w:r w:rsidRPr="00555161">
        <w:t xml:space="preserve"> </w:t>
      </w:r>
      <w:r w:rsidRPr="00EB5F7E">
        <w:t>CO</w:t>
      </w:r>
      <w:r w:rsidRPr="00EB5F7E">
        <w:rPr>
          <w:vertAlign w:val="subscript"/>
        </w:rPr>
        <w:t>2</w:t>
      </w:r>
      <w:r w:rsidRPr="003F359C">
        <w:t>e</w:t>
      </w:r>
      <w:r>
        <w:rPr>
          <w:vertAlign w:val="subscript"/>
        </w:rPr>
        <w:t xml:space="preserve"> </w:t>
      </w:r>
      <w:r w:rsidRPr="00154B85">
        <w:t>heite vähendamise</w:t>
      </w:r>
      <w:r w:rsidRPr="00154B85">
        <w:rPr>
          <w:vertAlign w:val="subscript"/>
        </w:rPr>
        <w:t xml:space="preserve"> </w:t>
      </w:r>
      <w:r w:rsidRPr="00154B85">
        <w:t xml:space="preserve"> ja rahalise säästu potentsiaal Tallinna kommunaalettevõtetes </w:t>
      </w:r>
      <w:r>
        <w:t>säästva sõiduviisi</w:t>
      </w:r>
      <w:r w:rsidRPr="00154B85">
        <w:t xml:space="preserve"> rakendamise puhul</w:t>
      </w:r>
    </w:p>
    <w:p w:rsidR="007210EF" w:rsidRPr="007210EF" w:rsidRDefault="007210EF" w:rsidP="007210EF">
      <w:pPr>
        <w:rPr>
          <w:lang w:val="fi-FI"/>
        </w:rPr>
      </w:pPr>
      <w:r w:rsidRPr="007210EF">
        <w:rPr>
          <w:lang w:val="fi-FI"/>
        </w:rPr>
        <w:lastRenderedPageBreak/>
        <w:t>Säästva ja ohutu sõiduviisi puhul hoitaks Tallinna kommunaalettevõtete veokites kokku ca 1330-2660 tonni CO</w:t>
      </w:r>
      <w:r w:rsidRPr="007210EF">
        <w:rPr>
          <w:vertAlign w:val="subscript"/>
          <w:lang w:val="fi-FI"/>
        </w:rPr>
        <w:t>2</w:t>
      </w:r>
      <w:r w:rsidRPr="007210EF">
        <w:rPr>
          <w:lang w:val="fi-FI"/>
        </w:rPr>
        <w:t>e, rahaline kokkuhoid kütusekulu vähenemise pealt oleks ca 0,46-0,93 miljonit eurot aastas, mis on märkimisväärne sääst. Lisaks veel kokkuhoid õnnetuste vähenemise ja remondikulude vähenemise pealt. Juhul kui säästvat ja ohutut sõiduviisi rakendaksid kõik Tallinnas liiklevad bussi- ja kaubaveoettevõtted, siis oleks CO</w:t>
      </w:r>
      <w:r w:rsidRPr="007210EF">
        <w:rPr>
          <w:vertAlign w:val="subscript"/>
          <w:lang w:val="fi-FI"/>
        </w:rPr>
        <w:t>2</w:t>
      </w:r>
      <w:r w:rsidRPr="007210EF">
        <w:rPr>
          <w:lang w:val="fi-FI"/>
        </w:rPr>
        <w:t>e</w:t>
      </w:r>
      <w:r w:rsidRPr="007210EF">
        <w:rPr>
          <w:vertAlign w:val="subscript"/>
          <w:lang w:val="fi-FI"/>
        </w:rPr>
        <w:t xml:space="preserve"> </w:t>
      </w:r>
      <w:r w:rsidRPr="007210EF">
        <w:rPr>
          <w:lang w:val="fi-FI"/>
        </w:rPr>
        <w:t xml:space="preserve"> heite vähenemispotentsiaal 5 600-11 200 tonni aastas. </w:t>
      </w:r>
    </w:p>
    <w:p w:rsidR="007210EF" w:rsidRPr="007210EF" w:rsidRDefault="007210EF" w:rsidP="007210EF">
      <w:pPr>
        <w:jc w:val="left"/>
        <w:rPr>
          <w:lang w:val="fi-FI"/>
        </w:rPr>
      </w:pPr>
      <w:r w:rsidRPr="007210EF">
        <w:rPr>
          <w:lang w:val="fi-FI"/>
        </w:rPr>
        <w:br w:type="page"/>
      </w:r>
    </w:p>
    <w:p w:rsidR="00D825A3" w:rsidRPr="00D825A3" w:rsidRDefault="00D825A3">
      <w:pPr>
        <w:rPr>
          <w:lang w:val="fi-FI"/>
        </w:rPr>
      </w:pPr>
    </w:p>
    <w:p w:rsidR="007A1709" w:rsidRDefault="00B926CE" w:rsidP="007A1709">
      <w:pPr>
        <w:pStyle w:val="Heading1"/>
      </w:pPr>
      <w:proofErr w:type="spellStart"/>
      <w:r>
        <w:t>Viidatud</w:t>
      </w:r>
      <w:proofErr w:type="spellEnd"/>
      <w:r>
        <w:t xml:space="preserve"> </w:t>
      </w:r>
      <w:proofErr w:type="spellStart"/>
      <w:r>
        <w:t>k</w:t>
      </w:r>
      <w:r w:rsidR="007A1709">
        <w:t>irjandus</w:t>
      </w:r>
      <w:proofErr w:type="spellEnd"/>
    </w:p>
    <w:p w:rsidR="007A1709" w:rsidRPr="007A1709" w:rsidRDefault="007A1709" w:rsidP="007A1709">
      <w:pPr>
        <w:rPr>
          <w:lang w:val="en-GB" w:eastAsia="en-GB"/>
        </w:rPr>
      </w:pPr>
      <w:proofErr w:type="gramStart"/>
      <w:r w:rsidRPr="00772C65">
        <w:rPr>
          <w:rFonts w:cs="Calibri"/>
          <w:sz w:val="20"/>
          <w:szCs w:val="20"/>
        </w:rPr>
        <w:t>Copenhagen Economics 2010.</w:t>
      </w:r>
      <w:proofErr w:type="gramEnd"/>
      <w:r w:rsidRPr="00772C65">
        <w:rPr>
          <w:rFonts w:cs="Calibri"/>
          <w:sz w:val="20"/>
          <w:szCs w:val="20"/>
        </w:rPr>
        <w:t xml:space="preserve"> </w:t>
      </w:r>
      <w:proofErr w:type="gramStart"/>
      <w:r w:rsidRPr="00772C65">
        <w:rPr>
          <w:rFonts w:cs="Calibri"/>
          <w:i/>
          <w:sz w:val="20"/>
          <w:szCs w:val="20"/>
        </w:rPr>
        <w:t>Company Car Taxation</w:t>
      </w:r>
      <w:r w:rsidRPr="00772C65">
        <w:rPr>
          <w:rFonts w:cs="Calibri"/>
          <w:sz w:val="20"/>
          <w:szCs w:val="20"/>
        </w:rPr>
        <w:t>.</w:t>
      </w:r>
      <w:proofErr w:type="gramEnd"/>
      <w:r w:rsidRPr="00772C65">
        <w:rPr>
          <w:rFonts w:cs="Calibri"/>
          <w:sz w:val="20"/>
          <w:szCs w:val="20"/>
        </w:rPr>
        <w:t xml:space="preserve"> </w:t>
      </w:r>
      <w:proofErr w:type="gramStart"/>
      <w:r w:rsidRPr="00772C65">
        <w:rPr>
          <w:rFonts w:cs="Calibri"/>
          <w:sz w:val="20"/>
          <w:szCs w:val="20"/>
        </w:rPr>
        <w:t>Taxation Papers, Working Paper No.22.</w:t>
      </w:r>
      <w:proofErr w:type="gramEnd"/>
      <w:r w:rsidRPr="00772C65">
        <w:rPr>
          <w:rFonts w:cs="Calibri"/>
          <w:sz w:val="20"/>
          <w:szCs w:val="20"/>
        </w:rPr>
        <w:t xml:space="preserve"> </w:t>
      </w:r>
      <w:proofErr w:type="gramStart"/>
      <w:r w:rsidRPr="00772C65">
        <w:rPr>
          <w:rFonts w:cs="Calibri"/>
          <w:sz w:val="20"/>
          <w:szCs w:val="20"/>
        </w:rPr>
        <w:t>European Commission.</w:t>
      </w:r>
      <w:proofErr w:type="gramEnd"/>
    </w:p>
    <w:p w:rsidR="007A1709" w:rsidRPr="00772C65" w:rsidRDefault="007A1709" w:rsidP="007A1709">
      <w:pPr>
        <w:jc w:val="left"/>
        <w:rPr>
          <w:rFonts w:cs="Calibri"/>
          <w:sz w:val="20"/>
          <w:szCs w:val="20"/>
        </w:rPr>
      </w:pPr>
      <w:proofErr w:type="gramStart"/>
      <w:r w:rsidRPr="00772C65">
        <w:rPr>
          <w:rFonts w:cs="Calibri"/>
          <w:sz w:val="20"/>
          <w:szCs w:val="20"/>
        </w:rPr>
        <w:t>COWI 2002.</w:t>
      </w:r>
      <w:proofErr w:type="gramEnd"/>
      <w:r w:rsidRPr="00772C65">
        <w:rPr>
          <w:rFonts w:cs="Calibri"/>
          <w:sz w:val="20"/>
          <w:szCs w:val="20"/>
        </w:rPr>
        <w:t xml:space="preserve"> </w:t>
      </w:r>
      <w:proofErr w:type="gramStart"/>
      <w:r w:rsidRPr="00772C65">
        <w:rPr>
          <w:rFonts w:cs="Calibri"/>
          <w:i/>
          <w:sz w:val="20"/>
          <w:szCs w:val="20"/>
        </w:rPr>
        <w:t>Fiscal Measures to Reduce CO</w:t>
      </w:r>
      <w:r w:rsidRPr="00772C65">
        <w:rPr>
          <w:rFonts w:cs="Leitura Roman 1"/>
          <w:i/>
          <w:color w:val="000000"/>
          <w:sz w:val="20"/>
          <w:szCs w:val="20"/>
          <w:vertAlign w:val="subscript"/>
        </w:rPr>
        <w:t>2</w:t>
      </w:r>
      <w:r w:rsidRPr="00772C65">
        <w:rPr>
          <w:rFonts w:cs="Calibri"/>
          <w:i/>
          <w:sz w:val="20"/>
          <w:szCs w:val="20"/>
        </w:rPr>
        <w:t xml:space="preserve"> Emissions from New </w:t>
      </w:r>
      <w:proofErr w:type="spellStart"/>
      <w:r w:rsidRPr="00772C65">
        <w:rPr>
          <w:rFonts w:cs="Calibri"/>
          <w:i/>
          <w:sz w:val="20"/>
          <w:szCs w:val="20"/>
        </w:rPr>
        <w:t>Passanger</w:t>
      </w:r>
      <w:proofErr w:type="spellEnd"/>
      <w:r w:rsidRPr="00772C65">
        <w:rPr>
          <w:rFonts w:cs="Calibri"/>
          <w:i/>
          <w:sz w:val="20"/>
          <w:szCs w:val="20"/>
        </w:rPr>
        <w:t xml:space="preserve"> Cars.</w:t>
      </w:r>
      <w:proofErr w:type="gramEnd"/>
      <w:r w:rsidRPr="00772C65">
        <w:rPr>
          <w:rFonts w:cs="Calibri"/>
          <w:i/>
          <w:sz w:val="20"/>
          <w:szCs w:val="20"/>
        </w:rPr>
        <w:t xml:space="preserve"> </w:t>
      </w:r>
      <w:proofErr w:type="gramStart"/>
      <w:r w:rsidRPr="00772C65">
        <w:rPr>
          <w:rFonts w:cs="Calibri"/>
          <w:i/>
          <w:sz w:val="20"/>
          <w:szCs w:val="20"/>
        </w:rPr>
        <w:t>Final Report</w:t>
      </w:r>
      <w:r w:rsidRPr="00772C65">
        <w:rPr>
          <w:rFonts w:cs="Calibri"/>
          <w:sz w:val="20"/>
          <w:szCs w:val="20"/>
        </w:rPr>
        <w:t>.</w:t>
      </w:r>
      <w:proofErr w:type="gramEnd"/>
      <w:r w:rsidRPr="00772C65">
        <w:rPr>
          <w:rFonts w:cs="Calibri"/>
          <w:sz w:val="20"/>
          <w:szCs w:val="20"/>
        </w:rPr>
        <w:t xml:space="preserve"> European Commission`s Directorate-General for Environment, COWI A/S </w:t>
      </w:r>
      <w:hyperlink r:id="rId13" w:history="1">
        <w:r w:rsidRPr="00772C65">
          <w:rPr>
            <w:rStyle w:val="Hyperlink"/>
            <w:iCs/>
            <w:sz w:val="20"/>
            <w:szCs w:val="20"/>
          </w:rPr>
          <w:t>ec.europa.eu/taxation_customs/resources/documents/co2_cars_study_25-02-2002.pdf</w:t>
        </w:r>
      </w:hyperlink>
    </w:p>
    <w:p w:rsidR="007A1709" w:rsidRDefault="007A1709" w:rsidP="007A1709">
      <w:pPr>
        <w:jc w:val="left"/>
      </w:pPr>
      <w:proofErr w:type="gramStart"/>
      <w:r>
        <w:t>ECMT 2007.</w:t>
      </w:r>
      <w:proofErr w:type="gramEnd"/>
      <w:r>
        <w:t xml:space="preserve"> </w:t>
      </w:r>
      <w:proofErr w:type="gramStart"/>
      <w:r w:rsidRPr="00BC7BCC">
        <w:t>Cutting Transport CO</w:t>
      </w:r>
      <w:r w:rsidRPr="00BC7BCC">
        <w:rPr>
          <w:vertAlign w:val="subscript"/>
        </w:rPr>
        <w:t>2</w:t>
      </w:r>
      <w:r w:rsidRPr="00BC7BCC">
        <w:t xml:space="preserve"> emissions.</w:t>
      </w:r>
      <w:proofErr w:type="gramEnd"/>
      <w:r w:rsidRPr="00BC7BCC">
        <w:t xml:space="preserve"> What Progress?</w:t>
      </w:r>
      <w:r w:rsidRPr="00342F21">
        <w:t xml:space="preserve"> </w:t>
      </w:r>
      <w:proofErr w:type="gramStart"/>
      <w:r>
        <w:t>Summary Report.</w:t>
      </w:r>
      <w:proofErr w:type="gramEnd"/>
      <w:r>
        <w:t xml:space="preserve"> European Conference of Ministers of Transport, </w:t>
      </w:r>
      <w:hyperlink r:id="rId14" w:history="1">
        <w:r w:rsidRPr="00A21663">
          <w:rPr>
            <w:rStyle w:val="Hyperlink"/>
          </w:rPr>
          <w:t>www.internationaltransportforum.org/Topics/pdf/07CO2summary.pdf</w:t>
        </w:r>
      </w:hyperlink>
    </w:p>
    <w:p w:rsidR="007A1709" w:rsidRPr="00772C65" w:rsidRDefault="007A1709" w:rsidP="007A1709">
      <w:pPr>
        <w:jc w:val="left"/>
        <w:rPr>
          <w:rFonts w:cs="Calibri"/>
          <w:sz w:val="20"/>
          <w:szCs w:val="20"/>
        </w:rPr>
      </w:pPr>
      <w:r w:rsidRPr="007A1709">
        <w:rPr>
          <w:rFonts w:cs="Calibri"/>
          <w:sz w:val="20"/>
          <w:szCs w:val="20"/>
          <w:lang w:val="fi-FI"/>
        </w:rPr>
        <w:t xml:space="preserve">CENTAR 2008. Uute rongide soetamise tulu-kulu analüüs. Eesti Rakendusuuringute Keskus CentAR OÜ. </w:t>
      </w:r>
      <w:r w:rsidRPr="00772C65">
        <w:rPr>
          <w:rFonts w:cs="Calibri"/>
          <w:sz w:val="20"/>
          <w:szCs w:val="20"/>
        </w:rPr>
        <w:t>Tallinn.</w:t>
      </w:r>
    </w:p>
    <w:p w:rsidR="007A1709" w:rsidRDefault="007A1709" w:rsidP="007A1709">
      <w:pPr>
        <w:pStyle w:val="CommentText"/>
        <w:jc w:val="left"/>
        <w:rPr>
          <w:rFonts w:cs="Calibri"/>
        </w:rPr>
      </w:pPr>
      <w:r w:rsidRPr="00772C65">
        <w:rPr>
          <w:rFonts w:cs="Calibri"/>
        </w:rPr>
        <w:t xml:space="preserve">WSP </w:t>
      </w:r>
      <w:proofErr w:type="spellStart"/>
      <w:r w:rsidRPr="00772C65">
        <w:rPr>
          <w:rFonts w:cs="Calibri"/>
        </w:rPr>
        <w:t>Sweden</w:t>
      </w:r>
      <w:proofErr w:type="spellEnd"/>
      <w:r w:rsidRPr="00772C65">
        <w:rPr>
          <w:rFonts w:cs="Calibri"/>
        </w:rPr>
        <w:t xml:space="preserve"> 2007. </w:t>
      </w:r>
      <w:proofErr w:type="spellStart"/>
      <w:r w:rsidRPr="00772C65">
        <w:rPr>
          <w:rFonts w:cs="Calibri"/>
        </w:rPr>
        <w:t>Effekter</w:t>
      </w:r>
      <w:proofErr w:type="spellEnd"/>
      <w:r w:rsidRPr="00772C65">
        <w:rPr>
          <w:rFonts w:cs="Calibri"/>
        </w:rPr>
        <w:t xml:space="preserve"> </w:t>
      </w:r>
      <w:proofErr w:type="spellStart"/>
      <w:r w:rsidRPr="00772C65">
        <w:rPr>
          <w:rFonts w:cs="Calibri"/>
        </w:rPr>
        <w:t>av</w:t>
      </w:r>
      <w:proofErr w:type="spellEnd"/>
      <w:r w:rsidRPr="00772C65">
        <w:rPr>
          <w:rFonts w:cs="Calibri"/>
        </w:rPr>
        <w:t xml:space="preserve"> </w:t>
      </w:r>
      <w:proofErr w:type="spellStart"/>
      <w:r w:rsidRPr="00772C65">
        <w:rPr>
          <w:rFonts w:cs="Calibri"/>
        </w:rPr>
        <w:t>Mobility</w:t>
      </w:r>
      <w:proofErr w:type="spellEnd"/>
      <w:r w:rsidRPr="00772C65">
        <w:rPr>
          <w:rFonts w:cs="Calibri"/>
        </w:rPr>
        <w:t xml:space="preserve"> </w:t>
      </w:r>
      <w:proofErr w:type="spellStart"/>
      <w:r w:rsidRPr="00772C65">
        <w:rPr>
          <w:rFonts w:cs="Calibri"/>
        </w:rPr>
        <w:t>Management</w:t>
      </w:r>
      <w:proofErr w:type="spellEnd"/>
      <w:r w:rsidRPr="00772C65">
        <w:rPr>
          <w:rFonts w:cs="Calibri"/>
        </w:rPr>
        <w:t xml:space="preserve"> </w:t>
      </w:r>
      <w:proofErr w:type="spellStart"/>
      <w:r w:rsidRPr="00772C65">
        <w:rPr>
          <w:rFonts w:cs="Calibri"/>
        </w:rPr>
        <w:t>åtgärder</w:t>
      </w:r>
      <w:proofErr w:type="spellEnd"/>
      <w:r w:rsidRPr="00772C65">
        <w:rPr>
          <w:rFonts w:cs="Calibri"/>
        </w:rPr>
        <w:t xml:space="preserve"> – </w:t>
      </w:r>
      <w:proofErr w:type="spellStart"/>
      <w:r w:rsidRPr="00772C65">
        <w:rPr>
          <w:rFonts w:cs="Calibri"/>
        </w:rPr>
        <w:t>en</w:t>
      </w:r>
      <w:proofErr w:type="spellEnd"/>
      <w:r w:rsidRPr="00772C65">
        <w:rPr>
          <w:rFonts w:cs="Calibri"/>
        </w:rPr>
        <w:t xml:space="preserve"> </w:t>
      </w:r>
      <w:proofErr w:type="spellStart"/>
      <w:r w:rsidRPr="00772C65">
        <w:rPr>
          <w:rFonts w:cs="Calibri"/>
        </w:rPr>
        <w:t>analys</w:t>
      </w:r>
      <w:proofErr w:type="spellEnd"/>
      <w:r w:rsidRPr="00772C65">
        <w:rPr>
          <w:rFonts w:cs="Calibri"/>
        </w:rPr>
        <w:t xml:space="preserve"> </w:t>
      </w:r>
      <w:proofErr w:type="spellStart"/>
      <w:r w:rsidRPr="00772C65">
        <w:rPr>
          <w:rFonts w:cs="Calibri"/>
        </w:rPr>
        <w:t>baserad</w:t>
      </w:r>
      <w:proofErr w:type="spellEnd"/>
      <w:r w:rsidRPr="00772C65">
        <w:rPr>
          <w:rFonts w:cs="Calibri"/>
        </w:rPr>
        <w:t xml:space="preserve"> </w:t>
      </w:r>
      <w:proofErr w:type="spellStart"/>
      <w:r w:rsidRPr="00772C65">
        <w:rPr>
          <w:rFonts w:cs="Calibri"/>
        </w:rPr>
        <w:t>på</w:t>
      </w:r>
      <w:proofErr w:type="spellEnd"/>
      <w:r w:rsidRPr="00772C65">
        <w:rPr>
          <w:rFonts w:cs="Calibri"/>
        </w:rPr>
        <w:t xml:space="preserve"> </w:t>
      </w:r>
      <w:proofErr w:type="spellStart"/>
      <w:r w:rsidRPr="00772C65">
        <w:rPr>
          <w:rFonts w:cs="Calibri"/>
        </w:rPr>
        <w:t>internationell</w:t>
      </w:r>
      <w:proofErr w:type="spellEnd"/>
      <w:r w:rsidRPr="00772C65">
        <w:rPr>
          <w:rFonts w:cs="Calibri"/>
        </w:rPr>
        <w:t xml:space="preserve"> </w:t>
      </w:r>
      <w:proofErr w:type="spellStart"/>
      <w:r w:rsidRPr="00772C65">
        <w:rPr>
          <w:rFonts w:cs="Calibri"/>
        </w:rPr>
        <w:t>litteratur</w:t>
      </w:r>
      <w:proofErr w:type="spellEnd"/>
      <w:r w:rsidRPr="00772C65">
        <w:rPr>
          <w:rFonts w:cs="Calibri"/>
        </w:rPr>
        <w:t>.</w:t>
      </w:r>
    </w:p>
    <w:p w:rsidR="007A1709" w:rsidRPr="00772C65" w:rsidRDefault="007A1709" w:rsidP="007A1709">
      <w:pPr>
        <w:pStyle w:val="CommentText"/>
        <w:jc w:val="left"/>
        <w:rPr>
          <w:rFonts w:cs="Calibri"/>
        </w:rPr>
      </w:pPr>
    </w:p>
    <w:p w:rsidR="007A1709" w:rsidRDefault="007A1709" w:rsidP="007A1709">
      <w:pPr>
        <w:autoSpaceDE w:val="0"/>
        <w:autoSpaceDN w:val="0"/>
        <w:adjustRightInd w:val="0"/>
        <w:jc w:val="left"/>
      </w:pPr>
      <w:proofErr w:type="gramStart"/>
      <w:r w:rsidRPr="00772C65">
        <w:rPr>
          <w:rFonts w:cs="Calibri"/>
          <w:sz w:val="20"/>
          <w:szCs w:val="20"/>
        </w:rPr>
        <w:t>Whitelegg J., Haq G., Cambridge H., Vallack H. 2010.</w:t>
      </w:r>
      <w:proofErr w:type="gramEnd"/>
      <w:r w:rsidRPr="00772C65">
        <w:rPr>
          <w:rFonts w:cs="Calibri"/>
          <w:sz w:val="20"/>
          <w:szCs w:val="20"/>
        </w:rPr>
        <w:t xml:space="preserve"> </w:t>
      </w:r>
      <w:proofErr w:type="gramStart"/>
      <w:r w:rsidRPr="00772C65">
        <w:rPr>
          <w:rFonts w:cs="Calibri"/>
          <w:i/>
          <w:sz w:val="20"/>
          <w:szCs w:val="20"/>
        </w:rPr>
        <w:t>Towards a Zero Carbon Vision for UK Transport</w:t>
      </w:r>
      <w:r w:rsidRPr="00772C65">
        <w:rPr>
          <w:rFonts w:cs="Calibri"/>
          <w:sz w:val="20"/>
          <w:szCs w:val="20"/>
        </w:rPr>
        <w:t>.</w:t>
      </w:r>
      <w:proofErr w:type="gramEnd"/>
      <w:r w:rsidRPr="00772C65">
        <w:rPr>
          <w:rFonts w:cs="Calibri"/>
          <w:sz w:val="20"/>
          <w:szCs w:val="20"/>
        </w:rPr>
        <w:t xml:space="preserve"> Stockholm Environment Institute, Project Report – 2010 </w:t>
      </w:r>
      <w:hyperlink r:id="rId15" w:history="1">
        <w:r w:rsidRPr="00772C65">
          <w:rPr>
            <w:rStyle w:val="Hyperlink"/>
            <w:rFonts w:cs="Calibri"/>
            <w:bCs/>
            <w:sz w:val="20"/>
            <w:szCs w:val="20"/>
          </w:rPr>
          <w:t>http://sei-international.org/mediamanager/documents/Publications/Climate-mitigation-adaptation/towards-zero-carbon-vision-uk-transport-2010.pdf</w:t>
        </w:r>
      </w:hyperlink>
    </w:p>
    <w:p w:rsidR="007A1709" w:rsidRPr="00C45B3B" w:rsidRDefault="007A1709" w:rsidP="007A1709">
      <w:pPr>
        <w:autoSpaceDE w:val="0"/>
        <w:autoSpaceDN w:val="0"/>
        <w:adjustRightInd w:val="0"/>
        <w:jc w:val="left"/>
        <w:rPr>
          <w:rFonts w:cs="Calibri"/>
          <w:sz w:val="20"/>
          <w:szCs w:val="20"/>
          <w:lang w:val="fi-FI"/>
        </w:rPr>
      </w:pPr>
      <w:proofErr w:type="gramStart"/>
      <w:r w:rsidRPr="00772C65">
        <w:rPr>
          <w:rFonts w:cs="Calibri"/>
          <w:sz w:val="20"/>
          <w:szCs w:val="20"/>
        </w:rPr>
        <w:t>EEA 2010.</w:t>
      </w:r>
      <w:proofErr w:type="gramEnd"/>
      <w:r w:rsidRPr="00772C65">
        <w:rPr>
          <w:rFonts w:cs="Calibri"/>
          <w:sz w:val="20"/>
          <w:szCs w:val="20"/>
        </w:rPr>
        <w:t xml:space="preserve"> </w:t>
      </w:r>
      <w:proofErr w:type="gramStart"/>
      <w:r w:rsidRPr="00772C65">
        <w:rPr>
          <w:rFonts w:cs="Calibri"/>
          <w:i/>
          <w:sz w:val="20"/>
          <w:szCs w:val="20"/>
        </w:rPr>
        <w:t>Towards a resource-efficient transport system.</w:t>
      </w:r>
      <w:proofErr w:type="gramEnd"/>
      <w:r w:rsidRPr="00772C65">
        <w:rPr>
          <w:rFonts w:cs="Calibri"/>
          <w:i/>
          <w:sz w:val="20"/>
          <w:szCs w:val="20"/>
        </w:rPr>
        <w:t xml:space="preserve"> TERM 2009: indicators tracking transport and environment in the European Union.</w:t>
      </w:r>
      <w:r w:rsidRPr="00772C65">
        <w:rPr>
          <w:rFonts w:cs="Calibri"/>
          <w:sz w:val="20"/>
          <w:szCs w:val="20"/>
        </w:rPr>
        <w:t xml:space="preserve"> </w:t>
      </w:r>
      <w:r w:rsidRPr="00C45B3B">
        <w:rPr>
          <w:rFonts w:cs="Calibri"/>
          <w:sz w:val="20"/>
          <w:szCs w:val="20"/>
          <w:lang w:val="fi-FI"/>
        </w:rPr>
        <w:t>EEA Report No 2/2010.</w:t>
      </w:r>
    </w:p>
    <w:p w:rsidR="007A1709" w:rsidRDefault="007A1709" w:rsidP="007A1709">
      <w:pPr>
        <w:jc w:val="left"/>
        <w:rPr>
          <w:rFonts w:cs="Calibri"/>
          <w:sz w:val="20"/>
          <w:szCs w:val="20"/>
          <w:lang w:val="fi-FI"/>
        </w:rPr>
      </w:pPr>
      <w:r w:rsidRPr="007A1709">
        <w:rPr>
          <w:rFonts w:cs="Calibri"/>
          <w:sz w:val="20"/>
          <w:szCs w:val="20"/>
          <w:lang w:val="fi-FI"/>
        </w:rPr>
        <w:t xml:space="preserve">LVM 2009. </w:t>
      </w:r>
      <w:r w:rsidRPr="007A1709">
        <w:rPr>
          <w:rFonts w:cs="Calibri"/>
          <w:i/>
          <w:sz w:val="20"/>
          <w:szCs w:val="20"/>
          <w:lang w:val="fi-FI"/>
        </w:rPr>
        <w:t>Liikenne- ja viestintäministeriön hallinnonalan ilmastopoliittinen ohjelma 2009–2020</w:t>
      </w:r>
      <w:r w:rsidRPr="007A1709">
        <w:rPr>
          <w:rFonts w:cs="Calibri"/>
          <w:sz w:val="20"/>
          <w:szCs w:val="20"/>
          <w:lang w:val="fi-FI"/>
        </w:rPr>
        <w:t>. Ohjelmia ja strategioita 2/2009. Liikenne ja viestintäministeriö.</w:t>
      </w:r>
    </w:p>
    <w:p w:rsidR="00905C84" w:rsidRDefault="00905C84" w:rsidP="007A1709">
      <w:pPr>
        <w:jc w:val="left"/>
      </w:pPr>
      <w:r w:rsidRPr="00C45B3B">
        <w:rPr>
          <w:sz w:val="20"/>
          <w:szCs w:val="20"/>
          <w:lang w:val="fi-FI"/>
        </w:rPr>
        <w:t xml:space="preserve">Skinner I., van Essen H., Smokers R., Hill N. 2010. </w:t>
      </w:r>
      <w:r w:rsidRPr="00772C65">
        <w:rPr>
          <w:i/>
          <w:iCs/>
          <w:sz w:val="20"/>
          <w:szCs w:val="20"/>
        </w:rPr>
        <w:t xml:space="preserve">Towards the </w:t>
      </w:r>
      <w:proofErr w:type="spellStart"/>
      <w:r w:rsidRPr="00772C65">
        <w:rPr>
          <w:i/>
          <w:iCs/>
          <w:sz w:val="20"/>
          <w:szCs w:val="20"/>
        </w:rPr>
        <w:t>decarbonisation</w:t>
      </w:r>
      <w:proofErr w:type="spellEnd"/>
      <w:r w:rsidRPr="00772C65">
        <w:rPr>
          <w:i/>
          <w:iCs/>
          <w:sz w:val="20"/>
          <w:szCs w:val="20"/>
        </w:rPr>
        <w:t xml:space="preserve"> of EU’s transport sector by 2050</w:t>
      </w:r>
      <w:r w:rsidRPr="00772C65">
        <w:rPr>
          <w:sz w:val="20"/>
          <w:szCs w:val="20"/>
        </w:rPr>
        <w:t xml:space="preserve">. Final report produced under the contract ENV.C.3/SER/2008/0053 between European Commission Directorate-General Environment and AEA Technology plc. </w:t>
      </w:r>
      <w:hyperlink r:id="rId16" w:history="1">
        <w:r w:rsidRPr="00772C65">
          <w:rPr>
            <w:rStyle w:val="Hyperlink"/>
            <w:sz w:val="20"/>
            <w:szCs w:val="20"/>
          </w:rPr>
          <w:t>www.eutransportghg2050.eu</w:t>
        </w:r>
      </w:hyperlink>
    </w:p>
    <w:p w:rsidR="00905C84" w:rsidRPr="00C45B3B" w:rsidRDefault="00905C84" w:rsidP="007A1709">
      <w:pPr>
        <w:jc w:val="left"/>
        <w:rPr>
          <w:rFonts w:cs="Calibri"/>
          <w:sz w:val="20"/>
          <w:szCs w:val="20"/>
          <w:lang w:val="en-GB"/>
        </w:rPr>
      </w:pPr>
    </w:p>
    <w:p w:rsidR="00905C84" w:rsidRDefault="00905C84" w:rsidP="00905C84">
      <w:pPr>
        <w:spacing w:before="80"/>
        <w:ind w:left="360"/>
        <w:rPr>
          <w:rFonts w:cstheme="minorHAnsi"/>
          <w:lang w:val="et-EE"/>
        </w:rPr>
      </w:pPr>
      <w:r>
        <w:rPr>
          <w:rFonts w:cstheme="minorHAnsi"/>
          <w:lang w:val="et-EE"/>
        </w:rPr>
        <w:t xml:space="preserve">OECD </w:t>
      </w:r>
      <w:r w:rsidRPr="00CE50DD">
        <w:rPr>
          <w:rFonts w:cstheme="minorHAnsi"/>
          <w:lang w:val="et-EE"/>
        </w:rPr>
        <w:t>2012</w:t>
      </w:r>
      <w:r>
        <w:rPr>
          <w:rFonts w:cstheme="minorHAnsi"/>
          <w:lang w:val="et-EE"/>
        </w:rPr>
        <w:t xml:space="preserve">. </w:t>
      </w:r>
      <w:proofErr w:type="spellStart"/>
      <w:r w:rsidRPr="00CE50DD">
        <w:rPr>
          <w:rFonts w:cstheme="minorHAnsi"/>
          <w:lang w:val="et-EE"/>
        </w:rPr>
        <w:t>Reducing</w:t>
      </w:r>
      <w:proofErr w:type="spellEnd"/>
      <w:r w:rsidRPr="00CE50DD">
        <w:rPr>
          <w:rFonts w:cstheme="minorHAnsi"/>
          <w:lang w:val="et-EE"/>
        </w:rPr>
        <w:t xml:space="preserve"> </w:t>
      </w:r>
      <w:proofErr w:type="spellStart"/>
      <w:r w:rsidRPr="00CE50DD">
        <w:rPr>
          <w:rFonts w:cstheme="minorHAnsi"/>
          <w:lang w:val="et-EE"/>
        </w:rPr>
        <w:t>greenhouse</w:t>
      </w:r>
      <w:proofErr w:type="spellEnd"/>
      <w:r w:rsidRPr="00CE50DD">
        <w:rPr>
          <w:rFonts w:cstheme="minorHAnsi"/>
          <w:lang w:val="et-EE"/>
        </w:rPr>
        <w:t xml:space="preserve"> </w:t>
      </w:r>
      <w:proofErr w:type="spellStart"/>
      <w:r w:rsidRPr="00CE50DD">
        <w:rPr>
          <w:rFonts w:cstheme="minorHAnsi"/>
          <w:lang w:val="et-EE"/>
        </w:rPr>
        <w:t>gas</w:t>
      </w:r>
      <w:proofErr w:type="spellEnd"/>
      <w:r w:rsidRPr="00CE50DD">
        <w:rPr>
          <w:rFonts w:cstheme="minorHAnsi"/>
          <w:lang w:val="et-EE"/>
        </w:rPr>
        <w:t xml:space="preserve"> </w:t>
      </w:r>
      <w:proofErr w:type="spellStart"/>
      <w:r w:rsidRPr="00CE50DD">
        <w:rPr>
          <w:rFonts w:cstheme="minorHAnsi"/>
          <w:lang w:val="et-EE"/>
        </w:rPr>
        <w:t>emissions</w:t>
      </w:r>
      <w:proofErr w:type="spellEnd"/>
      <w:r w:rsidRPr="00CE50DD">
        <w:rPr>
          <w:rFonts w:cstheme="minorHAnsi"/>
          <w:lang w:val="et-EE"/>
        </w:rPr>
        <w:t xml:space="preserve"> </w:t>
      </w:r>
      <w:proofErr w:type="spellStart"/>
      <w:r w:rsidRPr="00CE50DD">
        <w:rPr>
          <w:rFonts w:cstheme="minorHAnsi"/>
          <w:lang w:val="et-EE"/>
        </w:rPr>
        <w:t>in</w:t>
      </w:r>
      <w:proofErr w:type="spellEnd"/>
      <w:r w:rsidRPr="00CE50DD">
        <w:rPr>
          <w:rFonts w:cstheme="minorHAnsi"/>
          <w:lang w:val="et-EE"/>
        </w:rPr>
        <w:t xml:space="preserve"> a </w:t>
      </w:r>
      <w:proofErr w:type="spellStart"/>
      <w:r w:rsidRPr="00CE50DD">
        <w:rPr>
          <w:rFonts w:cstheme="minorHAnsi"/>
          <w:lang w:val="et-EE"/>
        </w:rPr>
        <w:t>cost</w:t>
      </w:r>
      <w:proofErr w:type="spellEnd"/>
      <w:r>
        <w:rPr>
          <w:rFonts w:cstheme="minorHAnsi"/>
          <w:lang w:val="et-EE"/>
        </w:rPr>
        <w:t xml:space="preserve"> </w:t>
      </w:r>
      <w:proofErr w:type="spellStart"/>
      <w:r>
        <w:rPr>
          <w:rFonts w:cstheme="minorHAnsi"/>
          <w:lang w:val="et-EE"/>
        </w:rPr>
        <w:t>effective</w:t>
      </w:r>
      <w:proofErr w:type="spellEnd"/>
      <w:r>
        <w:rPr>
          <w:rFonts w:cstheme="minorHAnsi"/>
          <w:lang w:val="et-EE"/>
        </w:rPr>
        <w:t xml:space="preserve"> </w:t>
      </w:r>
      <w:proofErr w:type="spellStart"/>
      <w:r>
        <w:rPr>
          <w:rFonts w:cstheme="minorHAnsi"/>
          <w:lang w:val="et-EE"/>
        </w:rPr>
        <w:t>way</w:t>
      </w:r>
      <w:proofErr w:type="spellEnd"/>
      <w:r w:rsidRPr="00CE50DD">
        <w:rPr>
          <w:rFonts w:cstheme="minorHAnsi"/>
          <w:lang w:val="et-EE"/>
        </w:rPr>
        <w:t xml:space="preserve"> </w:t>
      </w:r>
      <w:proofErr w:type="spellStart"/>
      <w:r w:rsidRPr="00CE50DD">
        <w:rPr>
          <w:rFonts w:cstheme="minorHAnsi"/>
          <w:lang w:val="et-EE"/>
        </w:rPr>
        <w:t>in</w:t>
      </w:r>
      <w:proofErr w:type="spellEnd"/>
      <w:r w:rsidRPr="00CE50DD">
        <w:rPr>
          <w:rFonts w:cstheme="minorHAnsi"/>
          <w:lang w:val="et-EE"/>
        </w:rPr>
        <w:t xml:space="preserve"> OECD </w:t>
      </w:r>
      <w:proofErr w:type="spellStart"/>
      <w:r w:rsidRPr="00CE50DD">
        <w:rPr>
          <w:rFonts w:cstheme="minorHAnsi"/>
          <w:lang w:val="et-EE"/>
        </w:rPr>
        <w:t>Economic</w:t>
      </w:r>
      <w:proofErr w:type="spellEnd"/>
      <w:r w:rsidRPr="00CE50DD">
        <w:rPr>
          <w:rFonts w:cstheme="minorHAnsi"/>
          <w:lang w:val="et-EE"/>
        </w:rPr>
        <w:t xml:space="preserve"> </w:t>
      </w:r>
      <w:proofErr w:type="spellStart"/>
      <w:r w:rsidRPr="00CE50DD">
        <w:rPr>
          <w:rFonts w:cstheme="minorHAnsi"/>
          <w:lang w:val="et-EE"/>
        </w:rPr>
        <w:t>Surveys</w:t>
      </w:r>
      <w:proofErr w:type="spellEnd"/>
      <w:r w:rsidRPr="00CE50DD">
        <w:rPr>
          <w:rFonts w:cstheme="minorHAnsi"/>
          <w:lang w:val="et-EE"/>
        </w:rPr>
        <w:t xml:space="preserve">: </w:t>
      </w:r>
      <w:proofErr w:type="spellStart"/>
      <w:r w:rsidRPr="00CE50DD">
        <w:rPr>
          <w:rFonts w:cstheme="minorHAnsi"/>
          <w:lang w:val="et-EE"/>
        </w:rPr>
        <w:t>Switzerland</w:t>
      </w:r>
      <w:proofErr w:type="spellEnd"/>
      <w:r w:rsidRPr="00CE50DD">
        <w:rPr>
          <w:rFonts w:cstheme="minorHAnsi"/>
          <w:lang w:val="et-EE"/>
        </w:rPr>
        <w:t xml:space="preserve"> 2011, OECD</w:t>
      </w:r>
      <w:r>
        <w:rPr>
          <w:rFonts w:cstheme="minorHAnsi"/>
          <w:lang w:val="et-EE"/>
        </w:rPr>
        <w:t xml:space="preserve"> </w:t>
      </w:r>
      <w:proofErr w:type="spellStart"/>
      <w:r w:rsidRPr="00CE50DD">
        <w:rPr>
          <w:rFonts w:cstheme="minorHAnsi"/>
          <w:lang w:val="et-EE"/>
        </w:rPr>
        <w:t>Publishing</w:t>
      </w:r>
      <w:proofErr w:type="spellEnd"/>
      <w:r w:rsidRPr="00CE50DD">
        <w:rPr>
          <w:rFonts w:cstheme="minorHAnsi"/>
          <w:lang w:val="et-EE"/>
        </w:rPr>
        <w:t>.</w:t>
      </w:r>
    </w:p>
    <w:p w:rsidR="00905C84" w:rsidRDefault="00905C84" w:rsidP="00905C84">
      <w:pPr>
        <w:spacing w:before="80"/>
        <w:ind w:left="360"/>
        <w:rPr>
          <w:rFonts w:cstheme="minorHAnsi"/>
          <w:lang w:val="et-EE"/>
        </w:rPr>
      </w:pPr>
      <w:proofErr w:type="spellStart"/>
      <w:r>
        <w:rPr>
          <w:rFonts w:cstheme="minorHAnsi"/>
          <w:lang w:val="et-EE"/>
        </w:rPr>
        <w:t>Ajanovic</w:t>
      </w:r>
      <w:proofErr w:type="spellEnd"/>
      <w:r>
        <w:rPr>
          <w:rFonts w:cstheme="minorHAnsi"/>
          <w:lang w:val="et-EE"/>
        </w:rPr>
        <w:t xml:space="preserve">, A., </w:t>
      </w:r>
      <w:proofErr w:type="spellStart"/>
      <w:r>
        <w:rPr>
          <w:rFonts w:cstheme="minorHAnsi"/>
          <w:lang w:val="et-EE"/>
        </w:rPr>
        <w:t>Haas</w:t>
      </w:r>
      <w:proofErr w:type="spellEnd"/>
      <w:r>
        <w:rPr>
          <w:rFonts w:cstheme="minorHAnsi"/>
          <w:lang w:val="et-EE"/>
        </w:rPr>
        <w:t xml:space="preserve">, R. 2011 A </w:t>
      </w:r>
      <w:proofErr w:type="spellStart"/>
      <w:r>
        <w:rPr>
          <w:rFonts w:cstheme="minorHAnsi"/>
          <w:lang w:val="et-EE"/>
        </w:rPr>
        <w:t>least-cost</w:t>
      </w:r>
      <w:proofErr w:type="spellEnd"/>
      <w:r>
        <w:rPr>
          <w:rFonts w:cstheme="minorHAnsi"/>
          <w:lang w:val="et-EE"/>
        </w:rPr>
        <w:t xml:space="preserve"> </w:t>
      </w:r>
      <w:proofErr w:type="spellStart"/>
      <w:r>
        <w:rPr>
          <w:rFonts w:cstheme="minorHAnsi"/>
          <w:lang w:val="et-EE"/>
        </w:rPr>
        <w:t>approach</w:t>
      </w:r>
      <w:proofErr w:type="spellEnd"/>
      <w:r>
        <w:rPr>
          <w:rFonts w:cstheme="minorHAnsi"/>
          <w:lang w:val="et-EE"/>
        </w:rPr>
        <w:t xml:space="preserve"> </w:t>
      </w:r>
      <w:proofErr w:type="spellStart"/>
      <w:r>
        <w:rPr>
          <w:rFonts w:cstheme="minorHAnsi"/>
          <w:lang w:val="et-EE"/>
        </w:rPr>
        <w:t>to</w:t>
      </w:r>
      <w:proofErr w:type="spellEnd"/>
      <w:r>
        <w:rPr>
          <w:rFonts w:cstheme="minorHAnsi"/>
          <w:lang w:val="et-EE"/>
        </w:rPr>
        <w:t xml:space="preserve"> </w:t>
      </w:r>
      <w:proofErr w:type="spellStart"/>
      <w:r>
        <w:rPr>
          <w:rFonts w:cstheme="minorHAnsi"/>
          <w:lang w:val="et-EE"/>
        </w:rPr>
        <w:t>reduce</w:t>
      </w:r>
      <w:proofErr w:type="spellEnd"/>
      <w:r>
        <w:rPr>
          <w:rFonts w:cstheme="minorHAnsi"/>
          <w:lang w:val="et-EE"/>
        </w:rPr>
        <w:t xml:space="preserve"> </w:t>
      </w:r>
      <w:r w:rsidRPr="00B456AB">
        <w:rPr>
          <w:rFonts w:cstheme="minorHAnsi"/>
          <w:lang w:val="et-EE"/>
        </w:rPr>
        <w:t>CO</w:t>
      </w:r>
      <w:r w:rsidRPr="00B456AB">
        <w:rPr>
          <w:rFonts w:cstheme="minorHAnsi"/>
          <w:vertAlign w:val="subscript"/>
          <w:lang w:val="et-EE"/>
        </w:rPr>
        <w:t>2</w:t>
      </w:r>
      <w:r w:rsidRPr="00B456AB">
        <w:rPr>
          <w:rFonts w:cstheme="minorHAnsi"/>
          <w:lang w:val="et-EE"/>
        </w:rPr>
        <w:t xml:space="preserve"> </w:t>
      </w:r>
      <w:r>
        <w:rPr>
          <w:rFonts w:cstheme="minorHAnsi"/>
          <w:lang w:val="et-EE"/>
        </w:rPr>
        <w:t xml:space="preserve"> </w:t>
      </w:r>
      <w:proofErr w:type="spellStart"/>
      <w:r>
        <w:rPr>
          <w:rFonts w:cstheme="minorHAnsi"/>
          <w:lang w:val="et-EE"/>
        </w:rPr>
        <w:t>emissions</w:t>
      </w:r>
      <w:proofErr w:type="spellEnd"/>
      <w:r>
        <w:rPr>
          <w:rFonts w:cstheme="minorHAnsi"/>
          <w:lang w:val="et-EE"/>
        </w:rPr>
        <w:t xml:space="preserve"> </w:t>
      </w:r>
      <w:proofErr w:type="spellStart"/>
      <w:r>
        <w:rPr>
          <w:rFonts w:cstheme="minorHAnsi"/>
          <w:lang w:val="et-EE"/>
        </w:rPr>
        <w:t>in</w:t>
      </w:r>
      <w:proofErr w:type="spellEnd"/>
      <w:r>
        <w:rPr>
          <w:rFonts w:cstheme="minorHAnsi"/>
          <w:lang w:val="et-EE"/>
        </w:rPr>
        <w:t xml:space="preserve"> </w:t>
      </w:r>
      <w:proofErr w:type="spellStart"/>
      <w:r>
        <w:rPr>
          <w:rFonts w:cstheme="minorHAnsi"/>
          <w:lang w:val="et-EE"/>
        </w:rPr>
        <w:t>passenger</w:t>
      </w:r>
      <w:proofErr w:type="spellEnd"/>
      <w:r>
        <w:rPr>
          <w:rFonts w:cstheme="minorHAnsi"/>
          <w:lang w:val="et-EE"/>
        </w:rPr>
        <w:t xml:space="preserve"> </w:t>
      </w:r>
      <w:proofErr w:type="spellStart"/>
      <w:r>
        <w:rPr>
          <w:rFonts w:cstheme="minorHAnsi"/>
          <w:lang w:val="et-EE"/>
        </w:rPr>
        <w:t>car</w:t>
      </w:r>
      <w:proofErr w:type="spellEnd"/>
      <w:r>
        <w:rPr>
          <w:rFonts w:cstheme="minorHAnsi"/>
          <w:lang w:val="et-EE"/>
        </w:rPr>
        <w:t xml:space="preserve"> transport: </w:t>
      </w:r>
      <w:proofErr w:type="spellStart"/>
      <w:r>
        <w:rPr>
          <w:rFonts w:cstheme="minorHAnsi"/>
          <w:lang w:val="et-EE"/>
        </w:rPr>
        <w:t>this</w:t>
      </w:r>
      <w:proofErr w:type="spellEnd"/>
      <w:r>
        <w:rPr>
          <w:rFonts w:cstheme="minorHAnsi"/>
          <w:lang w:val="et-EE"/>
        </w:rPr>
        <w:t xml:space="preserve"> </w:t>
      </w:r>
      <w:proofErr w:type="spellStart"/>
      <w:r>
        <w:rPr>
          <w:rFonts w:cstheme="minorHAnsi"/>
          <w:lang w:val="et-EE"/>
        </w:rPr>
        <w:t>time</w:t>
      </w:r>
      <w:proofErr w:type="spellEnd"/>
      <w:r>
        <w:rPr>
          <w:rFonts w:cstheme="minorHAnsi"/>
          <w:lang w:val="et-EE"/>
        </w:rPr>
        <w:t xml:space="preserve"> </w:t>
      </w:r>
      <w:proofErr w:type="spellStart"/>
      <w:r>
        <w:rPr>
          <w:rFonts w:cstheme="minorHAnsi"/>
          <w:lang w:val="et-EE"/>
        </w:rPr>
        <w:t>economics</w:t>
      </w:r>
      <w:proofErr w:type="spellEnd"/>
      <w:r>
        <w:rPr>
          <w:rFonts w:cstheme="minorHAnsi"/>
          <w:lang w:val="et-EE"/>
        </w:rPr>
        <w:t xml:space="preserve"> </w:t>
      </w:r>
      <w:proofErr w:type="spellStart"/>
      <w:r>
        <w:rPr>
          <w:rFonts w:cstheme="minorHAnsi"/>
          <w:lang w:val="et-EE"/>
        </w:rPr>
        <w:t>will</w:t>
      </w:r>
      <w:proofErr w:type="spellEnd"/>
      <w:r>
        <w:rPr>
          <w:rFonts w:cstheme="minorHAnsi"/>
          <w:lang w:val="et-EE"/>
        </w:rPr>
        <w:t xml:space="preserve"> kill </w:t>
      </w:r>
      <w:proofErr w:type="spellStart"/>
      <w:r>
        <w:rPr>
          <w:rFonts w:cstheme="minorHAnsi"/>
          <w:lang w:val="et-EE"/>
        </w:rPr>
        <w:t>the</w:t>
      </w:r>
      <w:proofErr w:type="spellEnd"/>
      <w:r>
        <w:rPr>
          <w:rFonts w:cstheme="minorHAnsi"/>
          <w:lang w:val="et-EE"/>
        </w:rPr>
        <w:t xml:space="preserve"> </w:t>
      </w:r>
      <w:proofErr w:type="spellStart"/>
      <w:r>
        <w:rPr>
          <w:rFonts w:cstheme="minorHAnsi"/>
          <w:lang w:val="et-EE"/>
        </w:rPr>
        <w:t>electric</w:t>
      </w:r>
      <w:proofErr w:type="spellEnd"/>
      <w:r>
        <w:rPr>
          <w:rFonts w:cstheme="minorHAnsi"/>
          <w:lang w:val="et-EE"/>
        </w:rPr>
        <w:t xml:space="preserve"> </w:t>
      </w:r>
      <w:proofErr w:type="spellStart"/>
      <w:r>
        <w:rPr>
          <w:rFonts w:cstheme="minorHAnsi"/>
          <w:lang w:val="et-EE"/>
        </w:rPr>
        <w:t>car</w:t>
      </w:r>
      <w:proofErr w:type="spellEnd"/>
      <w:r>
        <w:rPr>
          <w:rFonts w:cstheme="minorHAnsi"/>
          <w:lang w:val="et-EE"/>
        </w:rPr>
        <w:t xml:space="preserve">. </w:t>
      </w:r>
      <w:proofErr w:type="spellStart"/>
      <w:r>
        <w:rPr>
          <w:rFonts w:cstheme="minorHAnsi"/>
          <w:lang w:val="et-EE"/>
        </w:rPr>
        <w:t>Vienna</w:t>
      </w:r>
      <w:proofErr w:type="spellEnd"/>
      <w:r>
        <w:rPr>
          <w:rFonts w:cstheme="minorHAnsi"/>
          <w:lang w:val="et-EE"/>
        </w:rPr>
        <w:t xml:space="preserve"> </w:t>
      </w:r>
      <w:proofErr w:type="spellStart"/>
      <w:r>
        <w:rPr>
          <w:rFonts w:cstheme="minorHAnsi"/>
          <w:lang w:val="et-EE"/>
        </w:rPr>
        <w:t>University</w:t>
      </w:r>
      <w:proofErr w:type="spellEnd"/>
      <w:r>
        <w:rPr>
          <w:rFonts w:cstheme="minorHAnsi"/>
          <w:lang w:val="et-EE"/>
        </w:rPr>
        <w:t xml:space="preserve"> of </w:t>
      </w:r>
      <w:proofErr w:type="spellStart"/>
      <w:r>
        <w:rPr>
          <w:rFonts w:cstheme="minorHAnsi"/>
          <w:lang w:val="et-EE"/>
        </w:rPr>
        <w:t>Technology</w:t>
      </w:r>
      <w:proofErr w:type="spellEnd"/>
      <w:r>
        <w:rPr>
          <w:rFonts w:cstheme="minorHAnsi"/>
          <w:lang w:val="et-EE"/>
        </w:rPr>
        <w:t xml:space="preserve"> </w:t>
      </w:r>
      <w:r w:rsidRPr="00B456AB">
        <w:rPr>
          <w:rFonts w:cstheme="minorHAnsi"/>
          <w:lang w:val="et-EE"/>
        </w:rPr>
        <w:t>http://www.eeg.tuwien.ac.at/eeg.tuwien.ac.at_pages/publications/pdf/AJA_PRO_2011_1.pdf</w:t>
      </w:r>
    </w:p>
    <w:p w:rsidR="00905C84" w:rsidRDefault="00905C84" w:rsidP="00905C84">
      <w:pPr>
        <w:spacing w:before="80"/>
        <w:ind w:left="360"/>
        <w:rPr>
          <w:rFonts w:cstheme="minorHAnsi"/>
          <w:lang w:val="et-EE"/>
        </w:rPr>
      </w:pPr>
      <w:proofErr w:type="spellStart"/>
      <w:r>
        <w:rPr>
          <w:rFonts w:cstheme="minorHAnsi"/>
          <w:lang w:val="et-EE"/>
        </w:rPr>
        <w:t>Metropolitan</w:t>
      </w:r>
      <w:proofErr w:type="spellEnd"/>
      <w:r>
        <w:rPr>
          <w:rFonts w:cstheme="minorHAnsi"/>
          <w:lang w:val="et-EE"/>
        </w:rPr>
        <w:t xml:space="preserve"> </w:t>
      </w:r>
      <w:proofErr w:type="spellStart"/>
      <w:r>
        <w:rPr>
          <w:rFonts w:cstheme="minorHAnsi"/>
          <w:lang w:val="et-EE"/>
        </w:rPr>
        <w:t>Transportation</w:t>
      </w:r>
      <w:proofErr w:type="spellEnd"/>
      <w:r>
        <w:rPr>
          <w:rFonts w:cstheme="minorHAnsi"/>
          <w:lang w:val="et-EE"/>
        </w:rPr>
        <w:t xml:space="preserve"> </w:t>
      </w:r>
      <w:proofErr w:type="spellStart"/>
      <w:r>
        <w:rPr>
          <w:rFonts w:cstheme="minorHAnsi"/>
          <w:lang w:val="et-EE"/>
        </w:rPr>
        <w:t>Authority</w:t>
      </w:r>
      <w:proofErr w:type="spellEnd"/>
      <w:r>
        <w:rPr>
          <w:rFonts w:cstheme="minorHAnsi"/>
          <w:lang w:val="et-EE"/>
        </w:rPr>
        <w:t xml:space="preserve"> 2010.  </w:t>
      </w:r>
      <w:proofErr w:type="spellStart"/>
      <w:r>
        <w:rPr>
          <w:rFonts w:cstheme="minorHAnsi"/>
          <w:lang w:val="et-EE"/>
        </w:rPr>
        <w:t>Green</w:t>
      </w:r>
      <w:proofErr w:type="spellEnd"/>
      <w:r>
        <w:rPr>
          <w:rFonts w:cstheme="minorHAnsi"/>
          <w:lang w:val="et-EE"/>
        </w:rPr>
        <w:t xml:space="preserve"> </w:t>
      </w:r>
      <w:proofErr w:type="spellStart"/>
      <w:r>
        <w:rPr>
          <w:rFonts w:cstheme="minorHAnsi"/>
          <w:lang w:val="et-EE"/>
        </w:rPr>
        <w:t>House</w:t>
      </w:r>
      <w:proofErr w:type="spellEnd"/>
      <w:r>
        <w:rPr>
          <w:rFonts w:cstheme="minorHAnsi"/>
          <w:lang w:val="et-EE"/>
        </w:rPr>
        <w:t xml:space="preserve"> </w:t>
      </w:r>
      <w:proofErr w:type="spellStart"/>
      <w:r>
        <w:rPr>
          <w:rFonts w:cstheme="minorHAnsi"/>
          <w:lang w:val="et-EE"/>
        </w:rPr>
        <w:t>Gas</w:t>
      </w:r>
      <w:proofErr w:type="spellEnd"/>
      <w:r>
        <w:rPr>
          <w:rFonts w:cstheme="minorHAnsi"/>
          <w:lang w:val="et-EE"/>
        </w:rPr>
        <w:t xml:space="preserve"> </w:t>
      </w:r>
      <w:proofErr w:type="spellStart"/>
      <w:r>
        <w:rPr>
          <w:rFonts w:cstheme="minorHAnsi"/>
          <w:lang w:val="et-EE"/>
        </w:rPr>
        <w:t>Emissions</w:t>
      </w:r>
      <w:proofErr w:type="spellEnd"/>
      <w:r>
        <w:rPr>
          <w:rFonts w:cstheme="minorHAnsi"/>
          <w:lang w:val="et-EE"/>
        </w:rPr>
        <w:t xml:space="preserve">. </w:t>
      </w:r>
      <w:proofErr w:type="spellStart"/>
      <w:r>
        <w:rPr>
          <w:rFonts w:cstheme="minorHAnsi"/>
          <w:lang w:val="et-EE"/>
        </w:rPr>
        <w:t>Cost</w:t>
      </w:r>
      <w:proofErr w:type="spellEnd"/>
      <w:r>
        <w:rPr>
          <w:rFonts w:cstheme="minorHAnsi"/>
          <w:lang w:val="et-EE"/>
        </w:rPr>
        <w:t xml:space="preserve"> </w:t>
      </w:r>
      <w:proofErr w:type="spellStart"/>
      <w:r>
        <w:rPr>
          <w:rFonts w:cstheme="minorHAnsi"/>
          <w:lang w:val="et-EE"/>
        </w:rPr>
        <w:t>Effectiveness</w:t>
      </w:r>
      <w:proofErr w:type="spellEnd"/>
      <w:r>
        <w:rPr>
          <w:rFonts w:cstheme="minorHAnsi"/>
          <w:lang w:val="et-EE"/>
        </w:rPr>
        <w:t xml:space="preserve"> </w:t>
      </w:r>
      <w:proofErr w:type="spellStart"/>
      <w:r>
        <w:rPr>
          <w:rFonts w:cstheme="minorHAnsi"/>
          <w:lang w:val="et-EE"/>
        </w:rPr>
        <w:t>Study</w:t>
      </w:r>
      <w:proofErr w:type="spellEnd"/>
      <w:r>
        <w:rPr>
          <w:rFonts w:cstheme="minorHAnsi"/>
          <w:lang w:val="et-EE"/>
        </w:rPr>
        <w:t xml:space="preserve">. Los Angeles </w:t>
      </w:r>
      <w:proofErr w:type="spellStart"/>
      <w:r>
        <w:rPr>
          <w:rFonts w:cstheme="minorHAnsi"/>
          <w:lang w:val="et-EE"/>
        </w:rPr>
        <w:t>County</w:t>
      </w:r>
      <w:proofErr w:type="spellEnd"/>
      <w:r>
        <w:rPr>
          <w:rFonts w:cstheme="minorHAnsi"/>
          <w:lang w:val="et-EE"/>
        </w:rPr>
        <w:t>.</w:t>
      </w:r>
    </w:p>
    <w:p w:rsidR="00905C84" w:rsidRDefault="00905C84" w:rsidP="00905C84">
      <w:pPr>
        <w:spacing w:before="80"/>
        <w:ind w:left="360"/>
        <w:rPr>
          <w:rFonts w:cstheme="minorHAnsi"/>
          <w:lang w:val="et-EE"/>
        </w:rPr>
      </w:pPr>
      <w:proofErr w:type="gramStart"/>
      <w:r w:rsidRPr="008F0639">
        <w:rPr>
          <w:rStyle w:val="Emphasis"/>
          <w:rFonts w:ascii="Arial" w:hAnsi="Arial" w:cs="Arial"/>
          <w:bCs/>
          <w:color w:val="000000"/>
          <w:shd w:val="clear" w:color="auto" w:fill="FFFFFF"/>
        </w:rPr>
        <w:t>INFRAS</w:t>
      </w:r>
      <w:r>
        <w:rPr>
          <w:rStyle w:val="Emphasis"/>
          <w:rFonts w:ascii="Arial" w:hAnsi="Arial" w:cs="Arial"/>
          <w:b/>
          <w:bCs/>
          <w:color w:val="000000"/>
          <w:shd w:val="clear" w:color="auto" w:fill="FFFFFF"/>
        </w:rPr>
        <w:t xml:space="preserve"> </w:t>
      </w:r>
      <w:r>
        <w:rPr>
          <w:rFonts w:ascii="Arial" w:hAnsi="Arial" w:cs="Arial"/>
          <w:color w:val="222222"/>
          <w:shd w:val="clear" w:color="auto" w:fill="FFFFFF"/>
        </w:rPr>
        <w:t>2006.</w:t>
      </w:r>
      <w:proofErr w:type="gramEnd"/>
      <w:r>
        <w:rPr>
          <w:rFonts w:ascii="Arial" w:hAnsi="Arial" w:cs="Arial"/>
          <w:color w:val="222222"/>
          <w:shd w:val="clear" w:color="auto" w:fill="FFFFFF"/>
        </w:rPr>
        <w:t xml:space="preserve"> Cost-effectiveness of greenhouse gases emission. </w:t>
      </w:r>
      <w:proofErr w:type="gramStart"/>
      <w:r>
        <w:rPr>
          <w:rFonts w:ascii="Arial" w:hAnsi="Arial" w:cs="Arial"/>
          <w:color w:val="222222"/>
          <w:shd w:val="clear" w:color="auto" w:fill="FFFFFF"/>
        </w:rPr>
        <w:t>Reductions in various sectors.</w:t>
      </w:r>
      <w:proofErr w:type="gramEnd"/>
      <w:r>
        <w:rPr>
          <w:rFonts w:ascii="Arial" w:hAnsi="Arial" w:cs="Arial"/>
          <w:color w:val="222222"/>
          <w:shd w:val="clear" w:color="auto" w:fill="FFFFFF"/>
        </w:rPr>
        <w:t xml:space="preserve"> </w:t>
      </w:r>
    </w:p>
    <w:p w:rsidR="00905C84" w:rsidRPr="007A1709" w:rsidRDefault="00905C84" w:rsidP="007A1709">
      <w:pPr>
        <w:jc w:val="left"/>
        <w:rPr>
          <w:rFonts w:cs="Calibri"/>
          <w:sz w:val="20"/>
          <w:szCs w:val="20"/>
          <w:lang w:val="fi-FI"/>
        </w:rPr>
      </w:pPr>
    </w:p>
    <w:p w:rsidR="007A1709" w:rsidRPr="007A1709" w:rsidRDefault="007A1709" w:rsidP="007A1709">
      <w:pPr>
        <w:autoSpaceDE w:val="0"/>
        <w:autoSpaceDN w:val="0"/>
        <w:adjustRightInd w:val="0"/>
        <w:jc w:val="left"/>
        <w:rPr>
          <w:rFonts w:cs="Calibri"/>
          <w:sz w:val="20"/>
          <w:szCs w:val="20"/>
          <w:lang w:val="fi-FI"/>
        </w:rPr>
      </w:pPr>
    </w:p>
    <w:p w:rsidR="007A1709" w:rsidRPr="007A1709" w:rsidRDefault="007A1709" w:rsidP="007A1709">
      <w:pPr>
        <w:jc w:val="left"/>
        <w:rPr>
          <w:lang w:val="fi-FI"/>
        </w:rPr>
      </w:pPr>
    </w:p>
    <w:p w:rsidR="007A1709" w:rsidRPr="007A1709" w:rsidRDefault="007A1709">
      <w:pPr>
        <w:rPr>
          <w:lang w:val="fi-FI"/>
        </w:rPr>
      </w:pPr>
    </w:p>
    <w:sectPr w:rsidR="007A1709" w:rsidRPr="007A1709" w:rsidSect="00E77728">
      <w:footerReference w:type="default" r:id="rId17"/>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6D3" w:rsidRDefault="00D206D3" w:rsidP="00AB2C9A">
      <w:pPr>
        <w:spacing w:after="0" w:line="240" w:lineRule="auto"/>
      </w:pPr>
      <w:r>
        <w:separator/>
      </w:r>
    </w:p>
  </w:endnote>
  <w:endnote w:type="continuationSeparator" w:id="0">
    <w:p w:rsidR="00D206D3" w:rsidRDefault="00D206D3" w:rsidP="00AB2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Interstate-LightCondensed">
    <w:panose1 w:val="00000000000000000000"/>
    <w:charset w:val="BA"/>
    <w:family w:val="auto"/>
    <w:notTrueType/>
    <w:pitch w:val="default"/>
    <w:sig w:usb0="00000005" w:usb1="00000000" w:usb2="00000000" w:usb3="00000000" w:csb0="00000080" w:csb1="00000000"/>
  </w:font>
  <w:font w:name="Leitura Roman 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215"/>
      <w:docPartObj>
        <w:docPartGallery w:val="Page Numbers (Bottom of Page)"/>
        <w:docPartUnique/>
      </w:docPartObj>
    </w:sdtPr>
    <w:sdtContent>
      <w:p w:rsidR="00AB2C9A" w:rsidRDefault="00FE3A15">
        <w:pPr>
          <w:pStyle w:val="Footer"/>
          <w:jc w:val="center"/>
        </w:pPr>
        <w:fldSimple w:instr=" PAGE   \* MERGEFORMAT ">
          <w:r w:rsidR="000007A6">
            <w:rPr>
              <w:noProof/>
            </w:rPr>
            <w:t>1</w:t>
          </w:r>
        </w:fldSimple>
      </w:p>
    </w:sdtContent>
  </w:sdt>
  <w:p w:rsidR="00AB2C9A" w:rsidRDefault="00AB2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6D3" w:rsidRDefault="00D206D3" w:rsidP="00AB2C9A">
      <w:pPr>
        <w:spacing w:after="0" w:line="240" w:lineRule="auto"/>
      </w:pPr>
      <w:r>
        <w:separator/>
      </w:r>
    </w:p>
  </w:footnote>
  <w:footnote w:type="continuationSeparator" w:id="0">
    <w:p w:rsidR="00D206D3" w:rsidRDefault="00D206D3" w:rsidP="00AB2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lvl w:ilvl="0">
      <w:start w:val="1"/>
      <w:numFmt w:val="bullet"/>
      <w:lvlText w:val="-"/>
      <w:lvlJc w:val="left"/>
      <w:pPr>
        <w:tabs>
          <w:tab w:val="num" w:pos="0"/>
        </w:tabs>
        <w:ind w:left="360" w:hanging="360"/>
      </w:pPr>
      <w:rPr>
        <w:rFonts w:ascii="Times New Roman" w:hAnsi="Times New Roman"/>
      </w:rPr>
    </w:lvl>
  </w:abstractNum>
  <w:abstractNum w:abstractNumId="1">
    <w:nsid w:val="4C785CA6"/>
    <w:multiLevelType w:val="multilevel"/>
    <w:tmpl w:val="FCF87E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C801AE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C746DB"/>
    <w:multiLevelType w:val="hybridMultilevel"/>
    <w:tmpl w:val="F118E91E"/>
    <w:lvl w:ilvl="0" w:tplc="D1347812">
      <w:numFmt w:val="bullet"/>
      <w:lvlText w:val="-"/>
      <w:lvlJc w:val="left"/>
      <w:pPr>
        <w:ind w:left="72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E241CD8"/>
    <w:multiLevelType w:val="hybridMultilevel"/>
    <w:tmpl w:val="6164B4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71922DF0"/>
    <w:multiLevelType w:val="hybridMultilevel"/>
    <w:tmpl w:val="234A26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4A91"/>
    <w:rsid w:val="000007A6"/>
    <w:rsid w:val="000A2A0A"/>
    <w:rsid w:val="000B4A91"/>
    <w:rsid w:val="000D08F9"/>
    <w:rsid w:val="00183831"/>
    <w:rsid w:val="001A1639"/>
    <w:rsid w:val="002F2B73"/>
    <w:rsid w:val="00334403"/>
    <w:rsid w:val="003F0C03"/>
    <w:rsid w:val="00441F9B"/>
    <w:rsid w:val="00527FD3"/>
    <w:rsid w:val="005C204D"/>
    <w:rsid w:val="0064183F"/>
    <w:rsid w:val="007210EF"/>
    <w:rsid w:val="007A1709"/>
    <w:rsid w:val="0086665C"/>
    <w:rsid w:val="00905C84"/>
    <w:rsid w:val="00920365"/>
    <w:rsid w:val="00AB2C9A"/>
    <w:rsid w:val="00B53567"/>
    <w:rsid w:val="00B60F01"/>
    <w:rsid w:val="00B926CE"/>
    <w:rsid w:val="00BC2156"/>
    <w:rsid w:val="00C45B3B"/>
    <w:rsid w:val="00D206D3"/>
    <w:rsid w:val="00D3508B"/>
    <w:rsid w:val="00D825A3"/>
    <w:rsid w:val="00DB4EFE"/>
    <w:rsid w:val="00E31835"/>
    <w:rsid w:val="00E526B8"/>
    <w:rsid w:val="00E77728"/>
    <w:rsid w:val="00F770E5"/>
    <w:rsid w:val="00FE3A1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91"/>
    <w:pPr>
      <w:jc w:val="both"/>
    </w:pPr>
    <w:rPr>
      <w:rFonts w:ascii="Calibri" w:eastAsia="Calibri" w:hAnsi="Calibri" w:cs="Times New Roman"/>
      <w:lang w:val="en-US"/>
    </w:rPr>
  </w:style>
  <w:style w:type="paragraph" w:styleId="Heading1">
    <w:name w:val="heading 1"/>
    <w:basedOn w:val="Normal"/>
    <w:next w:val="Normal"/>
    <w:link w:val="Heading1Char"/>
    <w:uiPriority w:val="9"/>
    <w:qFormat/>
    <w:rsid w:val="00E31835"/>
    <w:pPr>
      <w:keepNext/>
      <w:keepLines/>
      <w:numPr>
        <w:numId w:val="1"/>
      </w:numPr>
      <w:spacing w:before="480" w:after="0"/>
      <w:jc w:val="left"/>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E31835"/>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lang w:val="et-EE" w:eastAsia="en-GB"/>
    </w:rPr>
  </w:style>
  <w:style w:type="paragraph" w:styleId="Heading3">
    <w:name w:val="heading 3"/>
    <w:basedOn w:val="Normal"/>
    <w:next w:val="Normal"/>
    <w:link w:val="Heading3Char"/>
    <w:uiPriority w:val="9"/>
    <w:unhideWhenUsed/>
    <w:qFormat/>
    <w:rsid w:val="00E31835"/>
    <w:pPr>
      <w:keepNext/>
      <w:keepLines/>
      <w:numPr>
        <w:ilvl w:val="2"/>
        <w:numId w:val="1"/>
      </w:numPr>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semiHidden/>
    <w:unhideWhenUsed/>
    <w:qFormat/>
    <w:rsid w:val="00E31835"/>
    <w:pPr>
      <w:keepNext/>
      <w:keepLines/>
      <w:numPr>
        <w:ilvl w:val="3"/>
        <w:numId w:val="1"/>
      </w:numPr>
      <w:spacing w:before="200" w:after="0"/>
      <w:jc w:val="left"/>
      <w:outlineLvl w:val="3"/>
    </w:pPr>
    <w:rPr>
      <w:rFonts w:asciiTheme="majorHAnsi" w:eastAsiaTheme="majorEastAsia" w:hAnsiTheme="majorHAnsi" w:cstheme="majorBidi"/>
      <w:b/>
      <w:bCs/>
      <w:i/>
      <w:iCs/>
      <w:color w:val="4F81BD" w:themeColor="accent1"/>
      <w:lang w:val="et-EE"/>
    </w:rPr>
  </w:style>
  <w:style w:type="paragraph" w:styleId="Heading5">
    <w:name w:val="heading 5"/>
    <w:basedOn w:val="Normal"/>
    <w:next w:val="Normal"/>
    <w:link w:val="Heading5Char"/>
    <w:uiPriority w:val="9"/>
    <w:semiHidden/>
    <w:unhideWhenUsed/>
    <w:qFormat/>
    <w:rsid w:val="00E31835"/>
    <w:pPr>
      <w:keepNext/>
      <w:keepLines/>
      <w:numPr>
        <w:ilvl w:val="4"/>
        <w:numId w:val="1"/>
      </w:numPr>
      <w:spacing w:before="200" w:after="0"/>
      <w:jc w:val="left"/>
      <w:outlineLvl w:val="4"/>
    </w:pPr>
    <w:rPr>
      <w:rFonts w:asciiTheme="majorHAnsi" w:eastAsiaTheme="majorEastAsia" w:hAnsiTheme="majorHAnsi" w:cstheme="majorBidi"/>
      <w:color w:val="243F60" w:themeColor="accent1" w:themeShade="7F"/>
      <w:lang w:val="et-EE"/>
    </w:rPr>
  </w:style>
  <w:style w:type="paragraph" w:styleId="Heading6">
    <w:name w:val="heading 6"/>
    <w:basedOn w:val="Normal"/>
    <w:next w:val="Normal"/>
    <w:link w:val="Heading6Char"/>
    <w:uiPriority w:val="9"/>
    <w:semiHidden/>
    <w:unhideWhenUsed/>
    <w:qFormat/>
    <w:rsid w:val="00E31835"/>
    <w:pPr>
      <w:keepNext/>
      <w:keepLines/>
      <w:numPr>
        <w:ilvl w:val="5"/>
        <w:numId w:val="1"/>
      </w:numPr>
      <w:spacing w:before="200" w:after="0"/>
      <w:jc w:val="left"/>
      <w:outlineLvl w:val="5"/>
    </w:pPr>
    <w:rPr>
      <w:rFonts w:asciiTheme="majorHAnsi" w:eastAsiaTheme="majorEastAsia" w:hAnsiTheme="majorHAnsi" w:cstheme="majorBidi"/>
      <w:i/>
      <w:iCs/>
      <w:color w:val="243F60" w:themeColor="accent1" w:themeShade="7F"/>
      <w:lang w:val="et-EE"/>
    </w:rPr>
  </w:style>
  <w:style w:type="paragraph" w:styleId="Heading7">
    <w:name w:val="heading 7"/>
    <w:basedOn w:val="Normal"/>
    <w:next w:val="Normal"/>
    <w:link w:val="Heading7Char"/>
    <w:uiPriority w:val="9"/>
    <w:semiHidden/>
    <w:unhideWhenUsed/>
    <w:qFormat/>
    <w:rsid w:val="00E31835"/>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lang w:val="et-EE"/>
    </w:rPr>
  </w:style>
  <w:style w:type="paragraph" w:styleId="Heading8">
    <w:name w:val="heading 8"/>
    <w:basedOn w:val="Normal"/>
    <w:next w:val="Normal"/>
    <w:link w:val="Heading8Char"/>
    <w:uiPriority w:val="9"/>
    <w:semiHidden/>
    <w:unhideWhenUsed/>
    <w:qFormat/>
    <w:rsid w:val="00E31835"/>
    <w:pPr>
      <w:keepNext/>
      <w:keepLines/>
      <w:numPr>
        <w:ilvl w:val="7"/>
        <w:numId w:val="1"/>
      </w:numPr>
      <w:spacing w:before="200" w:after="0"/>
      <w:jc w:val="left"/>
      <w:outlineLvl w:val="7"/>
    </w:pPr>
    <w:rPr>
      <w:rFonts w:asciiTheme="majorHAnsi" w:eastAsiaTheme="majorEastAsia" w:hAnsiTheme="majorHAnsi" w:cstheme="majorBidi"/>
      <w:color w:val="404040" w:themeColor="text1" w:themeTint="BF"/>
      <w:sz w:val="20"/>
      <w:szCs w:val="20"/>
      <w:lang w:val="et-EE"/>
    </w:rPr>
  </w:style>
  <w:style w:type="paragraph" w:styleId="Heading9">
    <w:name w:val="heading 9"/>
    <w:basedOn w:val="Normal"/>
    <w:next w:val="Normal"/>
    <w:link w:val="Heading9Char"/>
    <w:uiPriority w:val="9"/>
    <w:semiHidden/>
    <w:unhideWhenUsed/>
    <w:qFormat/>
    <w:rsid w:val="00E31835"/>
    <w:pPr>
      <w:keepNext/>
      <w:keepLines/>
      <w:numPr>
        <w:ilvl w:val="8"/>
        <w:numId w:val="1"/>
      </w:numPr>
      <w:spacing w:before="200" w:after="0"/>
      <w:jc w:val="left"/>
      <w:outlineLvl w:val="8"/>
    </w:pPr>
    <w:rPr>
      <w:rFonts w:asciiTheme="majorHAnsi" w:eastAsiaTheme="majorEastAsia" w:hAnsiTheme="majorHAnsi" w:cstheme="majorBidi"/>
      <w:i/>
      <w:iCs/>
      <w:color w:val="404040" w:themeColor="text1" w:themeTint="BF"/>
      <w:sz w:val="20"/>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0B4A91"/>
    <w:pPr>
      <w:contextualSpacing/>
    </w:pPr>
    <w:rPr>
      <w:bCs/>
      <w:color w:val="203F8C"/>
      <w:szCs w:val="21"/>
      <w:lang w:val="et-EE"/>
    </w:rPr>
  </w:style>
  <w:style w:type="character" w:customStyle="1" w:styleId="CaptionChar">
    <w:name w:val="Caption Char"/>
    <w:link w:val="Caption"/>
    <w:uiPriority w:val="99"/>
    <w:locked/>
    <w:rsid w:val="000B4A91"/>
    <w:rPr>
      <w:rFonts w:ascii="Calibri" w:eastAsia="Calibri" w:hAnsi="Calibri" w:cs="Times New Roman"/>
      <w:bCs/>
      <w:color w:val="203F8C"/>
      <w:szCs w:val="21"/>
    </w:rPr>
  </w:style>
  <w:style w:type="character" w:customStyle="1" w:styleId="Heading1Char">
    <w:name w:val="Heading 1 Char"/>
    <w:basedOn w:val="DefaultParagraphFont"/>
    <w:link w:val="Heading1"/>
    <w:uiPriority w:val="99"/>
    <w:rsid w:val="00E31835"/>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E31835"/>
    <w:rPr>
      <w:rFonts w:asciiTheme="majorHAnsi" w:eastAsiaTheme="majorEastAsia" w:hAnsiTheme="majorHAnsi" w:cstheme="majorBidi"/>
      <w:b/>
      <w:bCs/>
      <w:color w:val="000000" w:themeColor="text1"/>
      <w:sz w:val="26"/>
      <w:szCs w:val="26"/>
      <w:lang w:eastAsia="en-GB"/>
    </w:rPr>
  </w:style>
  <w:style w:type="character" w:customStyle="1" w:styleId="Heading3Char">
    <w:name w:val="Heading 3 Char"/>
    <w:basedOn w:val="DefaultParagraphFont"/>
    <w:link w:val="Heading3"/>
    <w:uiPriority w:val="9"/>
    <w:rsid w:val="00E31835"/>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E318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18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18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18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1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1835"/>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E318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1835"/>
    <w:rPr>
      <w:rFonts w:ascii="Tahoma" w:eastAsia="Calibri" w:hAnsi="Tahoma" w:cs="Tahoma"/>
      <w:sz w:val="16"/>
      <w:szCs w:val="16"/>
      <w:lang w:val="en-US"/>
    </w:rPr>
  </w:style>
  <w:style w:type="paragraph" w:styleId="ListParagraph">
    <w:name w:val="List Paragraph"/>
    <w:basedOn w:val="Normal"/>
    <w:uiPriority w:val="99"/>
    <w:qFormat/>
    <w:rsid w:val="00DB4EFE"/>
    <w:pPr>
      <w:spacing w:after="0" w:line="240" w:lineRule="auto"/>
      <w:ind w:left="720"/>
      <w:contextualSpacing/>
    </w:pPr>
    <w:rPr>
      <w:lang w:val="et-EE"/>
    </w:rPr>
  </w:style>
  <w:style w:type="paragraph" w:styleId="BalloonText">
    <w:name w:val="Balloon Text"/>
    <w:basedOn w:val="Normal"/>
    <w:link w:val="BalloonTextChar"/>
    <w:uiPriority w:val="99"/>
    <w:semiHidden/>
    <w:unhideWhenUsed/>
    <w:rsid w:val="00AB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9A"/>
    <w:rPr>
      <w:rFonts w:ascii="Tahoma" w:eastAsia="Calibri" w:hAnsi="Tahoma" w:cs="Tahoma"/>
      <w:sz w:val="16"/>
      <w:szCs w:val="16"/>
      <w:lang w:val="en-US"/>
    </w:rPr>
  </w:style>
  <w:style w:type="paragraph" w:styleId="Header">
    <w:name w:val="header"/>
    <w:basedOn w:val="Normal"/>
    <w:link w:val="HeaderChar"/>
    <w:uiPriority w:val="99"/>
    <w:semiHidden/>
    <w:unhideWhenUsed/>
    <w:rsid w:val="00AB2C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B2C9A"/>
    <w:rPr>
      <w:rFonts w:ascii="Calibri" w:eastAsia="Calibri" w:hAnsi="Calibri" w:cs="Times New Roman"/>
      <w:lang w:val="en-US"/>
    </w:rPr>
  </w:style>
  <w:style w:type="paragraph" w:styleId="Footer">
    <w:name w:val="footer"/>
    <w:basedOn w:val="Normal"/>
    <w:link w:val="FooterChar"/>
    <w:uiPriority w:val="99"/>
    <w:unhideWhenUsed/>
    <w:rsid w:val="00AB2C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C9A"/>
    <w:rPr>
      <w:rFonts w:ascii="Calibri" w:eastAsia="Calibri" w:hAnsi="Calibri" w:cs="Times New Roman"/>
      <w:lang w:val="en-US"/>
    </w:rPr>
  </w:style>
  <w:style w:type="paragraph" w:styleId="Title">
    <w:name w:val="Title"/>
    <w:basedOn w:val="Normal"/>
    <w:next w:val="Normal"/>
    <w:link w:val="TitleChar"/>
    <w:uiPriority w:val="99"/>
    <w:qFormat/>
    <w:rsid w:val="00AB2C9A"/>
    <w:pPr>
      <w:pBdr>
        <w:bottom w:val="single" w:sz="8" w:space="4" w:color="4F81BD"/>
      </w:pBdr>
      <w:spacing w:after="300" w:line="240" w:lineRule="auto"/>
      <w:contextualSpacing/>
    </w:pPr>
    <w:rPr>
      <w:rFonts w:ascii="Cambria" w:eastAsia="Times New Roman" w:hAnsi="Cambria"/>
      <w:color w:val="17365D"/>
      <w:spacing w:val="5"/>
      <w:kern w:val="28"/>
      <w:sz w:val="52"/>
      <w:szCs w:val="52"/>
      <w:lang w:val="et-EE"/>
    </w:rPr>
  </w:style>
  <w:style w:type="character" w:customStyle="1" w:styleId="TitleChar">
    <w:name w:val="Title Char"/>
    <w:basedOn w:val="DefaultParagraphFont"/>
    <w:link w:val="Title"/>
    <w:uiPriority w:val="99"/>
    <w:rsid w:val="00AB2C9A"/>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rsid w:val="007A1709"/>
    <w:rPr>
      <w:rFonts w:cs="Times New Roman"/>
      <w:color w:val="0000FF"/>
      <w:u w:val="single"/>
    </w:rPr>
  </w:style>
  <w:style w:type="paragraph" w:styleId="CommentText">
    <w:name w:val="annotation text"/>
    <w:basedOn w:val="Normal"/>
    <w:link w:val="CommentTextChar"/>
    <w:uiPriority w:val="99"/>
    <w:semiHidden/>
    <w:rsid w:val="007A1709"/>
    <w:pPr>
      <w:spacing w:after="0" w:line="240" w:lineRule="auto"/>
    </w:pPr>
    <w:rPr>
      <w:sz w:val="20"/>
      <w:szCs w:val="20"/>
      <w:lang w:val="et-EE"/>
    </w:rPr>
  </w:style>
  <w:style w:type="character" w:customStyle="1" w:styleId="CommentTextChar">
    <w:name w:val="Comment Text Char"/>
    <w:basedOn w:val="DefaultParagraphFont"/>
    <w:link w:val="CommentText"/>
    <w:uiPriority w:val="99"/>
    <w:semiHidden/>
    <w:rsid w:val="007A1709"/>
    <w:rPr>
      <w:rFonts w:ascii="Calibri" w:eastAsia="Calibri" w:hAnsi="Calibri" w:cs="Times New Roman"/>
      <w:sz w:val="20"/>
      <w:szCs w:val="20"/>
    </w:rPr>
  </w:style>
  <w:style w:type="character" w:styleId="Emphasis">
    <w:name w:val="Emphasis"/>
    <w:basedOn w:val="DefaultParagraphFont"/>
    <w:uiPriority w:val="20"/>
    <w:qFormat/>
    <w:rsid w:val="00905C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hyperlink" Target="http://ec.europa.eu/taxation_customs/resources/documents/co2_cars_study_25-02-200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utransportghg2050.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sei-international.org/mediamanager/documents/Publications/Climate-mitigation-adaptation/towards-zero-carbon-vision-uk-transport-2010.pdf"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internationaltransportforum.org/Topics/pdf/07CO2summary.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elen\My%20Documents\My%20Dropbox\SAK%20transa%20jagatud\SAKTRA%20peatykkide%20alusmaterjale\analyys_2409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My%20Dropbox\SAK%20transa%20jagatud\SAKTRA%20peatykkide%20alusmaterjale\analyys_2009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helen\My%20Documents\My%20Dropbox\SAK%20transa%20jagatud\SAKTRA%20peatykkide%20alusmaterjale\analyys_2409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helen\My%20Documents\My%20Dropbox\SAK%20transa%20jagatud\SAKTRA%20peatykkide%20alusmaterjale\analyys_2409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chart>
    <c:plotArea>
      <c:layout>
        <c:manualLayout>
          <c:layoutTarget val="inner"/>
          <c:xMode val="edge"/>
          <c:yMode val="edge"/>
          <c:x val="0.14033384991885917"/>
          <c:y val="4.9812565250904994E-2"/>
          <c:w val="0.49929295617371883"/>
          <c:h val="0.71142026333845265"/>
        </c:manualLayout>
      </c:layout>
      <c:lineChart>
        <c:grouping val="standard"/>
        <c:ser>
          <c:idx val="6"/>
          <c:order val="0"/>
          <c:tx>
            <c:strRef>
              <c:f>KHG_2020!$A$53</c:f>
              <c:strCache>
                <c:ptCount val="1"/>
                <c:pt idx="0">
                  <c:v>KHG BAAS-stsenaariumi puhul</c:v>
                </c:pt>
              </c:strCache>
            </c:strRef>
          </c:tx>
          <c:marker>
            <c:symbol val="none"/>
          </c:marker>
          <c:val>
            <c:numRef>
              <c:f>KHG_2020!$B$53:$Q$53</c:f>
              <c:numCache>
                <c:formatCode>General</c:formatCode>
                <c:ptCount val="16"/>
                <c:pt idx="0">
                  <c:v>2.0048185961112663</c:v>
                </c:pt>
                <c:pt idx="1">
                  <c:v>2.16</c:v>
                </c:pt>
                <c:pt idx="2">
                  <c:v>2.29</c:v>
                </c:pt>
                <c:pt idx="3">
                  <c:v>2.21</c:v>
                </c:pt>
                <c:pt idx="4">
                  <c:v>2.2516301166666666</c:v>
                </c:pt>
                <c:pt idx="5">
                  <c:v>2.2932602333333332</c:v>
                </c:pt>
                <c:pt idx="6">
                  <c:v>2.3348903499999998</c:v>
                </c:pt>
                <c:pt idx="7">
                  <c:v>2.3765204666666664</c:v>
                </c:pt>
                <c:pt idx="8">
                  <c:v>2.418150583333333</c:v>
                </c:pt>
                <c:pt idx="9">
                  <c:v>2.4597806999999987</c:v>
                </c:pt>
                <c:pt idx="10">
                  <c:v>2.5014108166666662</c:v>
                </c:pt>
                <c:pt idx="11">
                  <c:v>2.5430409333333328</c:v>
                </c:pt>
                <c:pt idx="12">
                  <c:v>2.5846710500000012</c:v>
                </c:pt>
                <c:pt idx="13">
                  <c:v>2.6263011666666682</c:v>
                </c:pt>
                <c:pt idx="14">
                  <c:v>2.6679312833333864</c:v>
                </c:pt>
                <c:pt idx="15">
                  <c:v>2.7095614000000001</c:v>
                </c:pt>
              </c:numCache>
            </c:numRef>
          </c:val>
        </c:ser>
        <c:ser>
          <c:idx val="0"/>
          <c:order val="1"/>
          <c:tx>
            <c:strRef>
              <c:f>KHG_2020!$A$77</c:f>
              <c:strCache>
                <c:ptCount val="1"/>
                <c:pt idx="0">
                  <c:v>10% taastuvenergiat</c:v>
                </c:pt>
              </c:strCache>
            </c:strRef>
          </c:tx>
          <c:marker>
            <c:symbol val="none"/>
          </c:marker>
          <c:cat>
            <c:numRef>
              <c:f>KHG_2020!$B$52:$Q$52</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KHG_2020!$B$77:$Q$77</c:f>
              <c:numCache>
                <c:formatCode>General</c:formatCode>
                <c:ptCount val="16"/>
                <c:pt idx="4">
                  <c:v>2.2441855764828285</c:v>
                </c:pt>
                <c:pt idx="5">
                  <c:v>2.2741008990954814</c:v>
                </c:pt>
                <c:pt idx="6">
                  <c:v>2.3041057508596459</c:v>
                </c:pt>
                <c:pt idx="7">
                  <c:v>2.3341944459308048</c:v>
                </c:pt>
                <c:pt idx="8">
                  <c:v>2.364361769947958</c:v>
                </c:pt>
                <c:pt idx="9">
                  <c:v>2.3946029321551263</c:v>
                </c:pt>
                <c:pt idx="10">
                  <c:v>2.4249135232423202</c:v>
                </c:pt>
                <c:pt idx="11">
                  <c:v>2.4552894781214269</c:v>
                </c:pt>
                <c:pt idx="12">
                  <c:v>2.4857270429795513</c:v>
                </c:pt>
                <c:pt idx="13">
                  <c:v>2.51622274604407</c:v>
                </c:pt>
                <c:pt idx="14">
                  <c:v>2.5467733715829612</c:v>
                </c:pt>
                <c:pt idx="15">
                  <c:v>2.5730297414995489</c:v>
                </c:pt>
              </c:numCache>
            </c:numRef>
          </c:val>
        </c:ser>
        <c:ser>
          <c:idx val="1"/>
          <c:order val="2"/>
          <c:tx>
            <c:strRef>
              <c:f>KHG_2020!$A$78</c:f>
              <c:strCache>
                <c:ptCount val="1"/>
                <c:pt idx="0">
                  <c:v>Maanteetasud </c:v>
                </c:pt>
              </c:strCache>
            </c:strRef>
          </c:tx>
          <c:marker>
            <c:symbol val="none"/>
          </c:marker>
          <c:cat>
            <c:numRef>
              <c:f>KHG_2020!$B$52:$Q$52</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KHG_2020!$B$78:$Q$78</c:f>
              <c:numCache>
                <c:formatCode>General</c:formatCode>
                <c:ptCount val="16"/>
                <c:pt idx="4">
                  <c:v>2.240223551027392</c:v>
                </c:pt>
                <c:pt idx="5">
                  <c:v>2.2638616685552702</c:v>
                </c:pt>
                <c:pt idx="6">
                  <c:v>2.2875877918625687</c:v>
                </c:pt>
                <c:pt idx="7">
                  <c:v>2.3113963318513142</c:v>
                </c:pt>
                <c:pt idx="8">
                  <c:v>2.3352821628850267</c:v>
                </c:pt>
                <c:pt idx="9">
                  <c:v>2.3592405757243777</c:v>
                </c:pt>
                <c:pt idx="10">
                  <c:v>2.3832672360851119</c:v>
                </c:pt>
                <c:pt idx="11">
                  <c:v>2.4073581480483255</c:v>
                </c:pt>
                <c:pt idx="12">
                  <c:v>2.4315096216735523</c:v>
                </c:pt>
                <c:pt idx="13">
                  <c:v>2.4557182442618521</c:v>
                </c:pt>
                <c:pt idx="14">
                  <c:v>2.4799808547979096</c:v>
                </c:pt>
                <c:pt idx="15">
                  <c:v>2.499272571631832</c:v>
                </c:pt>
              </c:numCache>
            </c:numRef>
          </c:val>
        </c:ser>
        <c:ser>
          <c:idx val="2"/>
          <c:order val="3"/>
          <c:tx>
            <c:strRef>
              <c:f>KHG_2020!$A$79</c:f>
              <c:strCache>
                <c:ptCount val="1"/>
                <c:pt idx="0">
                  <c:v>Liikuvuskorraldus</c:v>
                </c:pt>
              </c:strCache>
            </c:strRef>
          </c:tx>
          <c:marker>
            <c:symbol val="none"/>
          </c:marker>
          <c:cat>
            <c:numRef>
              <c:f>KHG_2020!$B$52:$Q$52</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KHG_2020!$B$79:$Q$79</c:f>
              <c:numCache>
                <c:formatCode>General</c:formatCode>
                <c:ptCount val="16"/>
                <c:pt idx="4">
                  <c:v>2.2353167675041052</c:v>
                </c:pt>
                <c:pt idx="5">
                  <c:v>2.2511573836876702</c:v>
                </c:pt>
                <c:pt idx="6">
                  <c:v>2.2670569752008194</c:v>
                </c:pt>
                <c:pt idx="7">
                  <c:v>2.2830117966205297</c:v>
                </c:pt>
                <c:pt idx="8">
                  <c:v>2.2990184131026528</c:v>
                </c:pt>
                <c:pt idx="9">
                  <c:v>2.3150736688440317</c:v>
                </c:pt>
                <c:pt idx="10">
                  <c:v>2.3311746593098577</c:v>
                </c:pt>
                <c:pt idx="11">
                  <c:v>2.3473187067142471</c:v>
                </c:pt>
                <c:pt idx="12">
                  <c:v>2.3635033383166895</c:v>
                </c:pt>
                <c:pt idx="13">
                  <c:v>2.3797262671645991</c:v>
                </c:pt>
                <c:pt idx="14">
                  <c:v>2.3959853749661777</c:v>
                </c:pt>
                <c:pt idx="15">
                  <c:v>2.4089133368280837</c:v>
                </c:pt>
              </c:numCache>
            </c:numRef>
          </c:val>
        </c:ser>
        <c:ser>
          <c:idx val="3"/>
          <c:order val="4"/>
          <c:tx>
            <c:strRef>
              <c:f>KHG_2020!$A$80</c:f>
              <c:strCache>
                <c:ptCount val="1"/>
                <c:pt idx="0">
                  <c:v>Ühistranspordi arendamine</c:v>
                </c:pt>
              </c:strCache>
            </c:strRef>
          </c:tx>
          <c:marker>
            <c:symbol val="none"/>
          </c:marker>
          <c:cat>
            <c:numRef>
              <c:f>KHG_2020!$B$52:$Q$52</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KHG_2020!$B$80:$Q$80</c:f>
              <c:numCache>
                <c:formatCode>General</c:formatCode>
                <c:ptCount val="16"/>
                <c:pt idx="4">
                  <c:v>2.2325199008958787</c:v>
                </c:pt>
                <c:pt idx="5">
                  <c:v>2.2439159413131606</c:v>
                </c:pt>
                <c:pt idx="6">
                  <c:v>2.2553544097036777</c:v>
                </c:pt>
                <c:pt idx="7">
                  <c:v>2.2668326115388577</c:v>
                </c:pt>
                <c:pt idx="8">
                  <c:v>2.278348075726699</c:v>
                </c:pt>
                <c:pt idx="9">
                  <c:v>2.2898985319222316</c:v>
                </c:pt>
                <c:pt idx="10">
                  <c:v>2.3014818905479641</c:v>
                </c:pt>
                <c:pt idx="11">
                  <c:v>2.3130962251538167</c:v>
                </c:pt>
                <c:pt idx="12">
                  <c:v>2.3247397568032802</c:v>
                </c:pt>
                <c:pt idx="13">
                  <c:v>2.3364108402191577</c:v>
                </c:pt>
                <c:pt idx="14">
                  <c:v>2.3481079514621355</c:v>
                </c:pt>
                <c:pt idx="15">
                  <c:v>2.3574085729899483</c:v>
                </c:pt>
              </c:numCache>
            </c:numRef>
          </c:val>
        </c:ser>
        <c:ser>
          <c:idx val="4"/>
          <c:order val="5"/>
          <c:tx>
            <c:strRef>
              <c:f>KHG_2020!$A$81</c:f>
              <c:strCache>
                <c:ptCount val="1"/>
                <c:pt idx="0">
                  <c:v>Kergliikluse arendamine</c:v>
                </c:pt>
              </c:strCache>
            </c:strRef>
          </c:tx>
          <c:marker>
            <c:symbol val="none"/>
          </c:marker>
          <c:cat>
            <c:numRef>
              <c:f>KHG_2020!$B$52:$Q$52</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KHG_2020!$B$81:$Q$81</c:f>
              <c:numCache>
                <c:formatCode>General</c:formatCode>
                <c:ptCount val="16"/>
                <c:pt idx="4">
                  <c:v>2.2316155806925542</c:v>
                </c:pt>
                <c:pt idx="5">
                  <c:v>2.2415745416121546</c:v>
                </c:pt>
                <c:pt idx="6">
                  <c:v>2.2515705801929817</c:v>
                </c:pt>
                <c:pt idx="7">
                  <c:v>2.2616013416958212</c:v>
                </c:pt>
                <c:pt idx="8">
                  <c:v>2.271664666641807</c:v>
                </c:pt>
                <c:pt idx="9">
                  <c:v>2.281758570984183</c:v>
                </c:pt>
                <c:pt idx="10">
                  <c:v>2.2918812286482835</c:v>
                </c:pt>
                <c:pt idx="11">
                  <c:v>2.3020309561159502</c:v>
                </c:pt>
                <c:pt idx="12">
                  <c:v>2.3122061987805727</c:v>
                </c:pt>
                <c:pt idx="13">
                  <c:v>2.3224055188401387</c:v>
                </c:pt>
                <c:pt idx="14">
                  <c:v>2.3326275845290967</c:v>
                </c:pt>
                <c:pt idx="15">
                  <c:v>2.3407553660156175</c:v>
                </c:pt>
              </c:numCache>
            </c:numRef>
          </c:val>
        </c:ser>
        <c:ser>
          <c:idx val="5"/>
          <c:order val="6"/>
          <c:tx>
            <c:strRef>
              <c:f>KHG_2020!$A$82</c:f>
              <c:strCache>
                <c:ptCount val="1"/>
                <c:pt idx="0">
                  <c:v>Autokasutuse maksud</c:v>
                </c:pt>
              </c:strCache>
            </c:strRef>
          </c:tx>
          <c:marker>
            <c:symbol val="none"/>
          </c:marker>
          <c:cat>
            <c:numRef>
              <c:f>KHG_2020!$B$52:$Q$52</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KHG_2020!$B$82:$Q$82</c:f>
              <c:numCache>
                <c:formatCode>General</c:formatCode>
                <c:ptCount val="16"/>
                <c:pt idx="4">
                  <c:v>2.2253486416835058</c:v>
                </c:pt>
                <c:pt idx="5">
                  <c:v>2.2253486416835062</c:v>
                </c:pt>
                <c:pt idx="6">
                  <c:v>2.2253486416835062</c:v>
                </c:pt>
                <c:pt idx="7">
                  <c:v>2.2253486416835058</c:v>
                </c:pt>
                <c:pt idx="8">
                  <c:v>2.2253486416835058</c:v>
                </c:pt>
                <c:pt idx="9">
                  <c:v>2.2253486416835058</c:v>
                </c:pt>
                <c:pt idx="10">
                  <c:v>2.2253486416835058</c:v>
                </c:pt>
                <c:pt idx="11">
                  <c:v>2.2253486416835058</c:v>
                </c:pt>
                <c:pt idx="12">
                  <c:v>2.2253486416835058</c:v>
                </c:pt>
                <c:pt idx="13">
                  <c:v>2.2253486416835058</c:v>
                </c:pt>
                <c:pt idx="14">
                  <c:v>2.2253486416835062</c:v>
                </c:pt>
                <c:pt idx="15">
                  <c:v>2.2253486416835058</c:v>
                </c:pt>
              </c:numCache>
            </c:numRef>
          </c:val>
        </c:ser>
        <c:marker val="1"/>
        <c:axId val="379422976"/>
        <c:axId val="382919808"/>
      </c:lineChart>
      <c:catAx>
        <c:axId val="379422976"/>
        <c:scaling>
          <c:orientation val="minMax"/>
        </c:scaling>
        <c:axPos val="b"/>
        <c:numFmt formatCode="General" sourceLinked="1"/>
        <c:tickLblPos val="nextTo"/>
        <c:txPr>
          <a:bodyPr/>
          <a:lstStyle/>
          <a:p>
            <a:pPr>
              <a:defRPr sz="800"/>
            </a:pPr>
            <a:endParaRPr lang="et-EE"/>
          </a:p>
        </c:txPr>
        <c:crossAx val="382919808"/>
        <c:crosses val="autoZero"/>
        <c:auto val="1"/>
        <c:lblAlgn val="ctr"/>
        <c:lblOffset val="100"/>
      </c:catAx>
      <c:valAx>
        <c:axId val="382919808"/>
        <c:scaling>
          <c:orientation val="minMax"/>
          <c:min val="1.9000000000000001"/>
        </c:scaling>
        <c:axPos val="l"/>
        <c:majorGridlines/>
        <c:numFmt formatCode="General" sourceLinked="1"/>
        <c:tickLblPos val="nextTo"/>
        <c:txPr>
          <a:bodyPr/>
          <a:lstStyle/>
          <a:p>
            <a:pPr>
              <a:defRPr sz="800"/>
            </a:pPr>
            <a:endParaRPr lang="et-EE"/>
          </a:p>
        </c:txPr>
        <c:crossAx val="379422976"/>
        <c:crosses val="autoZero"/>
        <c:crossBetween val="between"/>
      </c:valAx>
    </c:plotArea>
    <c:legend>
      <c:legendPos val="r"/>
      <c:layout>
        <c:manualLayout>
          <c:xMode val="edge"/>
          <c:yMode val="edge"/>
          <c:x val="0.65094444444446453"/>
          <c:y val="0.11024567581226259"/>
          <c:w val="0.33238888888890533"/>
          <c:h val="0.44677915260592055"/>
        </c:manualLayout>
      </c:layout>
      <c:txPr>
        <a:bodyPr/>
        <a:lstStyle/>
        <a:p>
          <a:pPr>
            <a:defRPr sz="800"/>
          </a:pPr>
          <a:endParaRPr lang="et-EE"/>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t-EE"/>
  <c:chart>
    <c:title>
      <c:tx>
        <c:rich>
          <a:bodyPr/>
          <a:lstStyle/>
          <a:p>
            <a:pPr>
              <a:defRPr lang="en-US" sz="1050"/>
            </a:pPr>
            <a:r>
              <a:rPr lang="et-EE" sz="1050" b="1" i="0" u="none" strike="noStrike" baseline="0"/>
              <a:t>EFEKT stsenaariumi meetmete mõju s</a:t>
            </a:r>
            <a:r>
              <a:rPr lang="et-EE" sz="1050"/>
              <a:t>õidukite</a:t>
            </a:r>
            <a:r>
              <a:rPr lang="et-EE" sz="1050" baseline="0"/>
              <a:t> läbisõidule </a:t>
            </a:r>
            <a:r>
              <a:rPr lang="et-EE" sz="1050" b="1" i="0" u="none" strike="noStrike" baseline="0"/>
              <a:t>(miljardit sõiduk-km)</a:t>
            </a:r>
            <a:endParaRPr lang="et-EE" sz="1050" baseline="0"/>
          </a:p>
        </c:rich>
      </c:tx>
      <c:layout>
        <c:manualLayout>
          <c:xMode val="edge"/>
          <c:yMode val="edge"/>
          <c:x val="0.12441690792203372"/>
          <c:y val="1.7969457016775887E-2"/>
        </c:manualLayout>
      </c:layout>
    </c:title>
    <c:plotArea>
      <c:layout/>
      <c:barChart>
        <c:barDir val="col"/>
        <c:grouping val="clustered"/>
        <c:ser>
          <c:idx val="0"/>
          <c:order val="0"/>
          <c:tx>
            <c:strRef>
              <c:f>KHG_2020!$A$87</c:f>
              <c:strCache>
                <c:ptCount val="1"/>
                <c:pt idx="0">
                  <c:v>sõiduauto</c:v>
                </c:pt>
              </c:strCache>
            </c:strRef>
          </c:tx>
          <c:dLbls>
            <c:numFmt formatCode="#,##0.0" sourceLinked="0"/>
            <c:txPr>
              <a:bodyPr/>
              <a:lstStyle/>
              <a:p>
                <a:pPr>
                  <a:defRPr lang="en-US" sz="800"/>
                </a:pPr>
                <a:endParaRPr lang="et-EE"/>
              </a:p>
            </c:txPr>
            <c:showVal val="1"/>
          </c:dLbls>
          <c:cat>
            <c:strRef>
              <c:f>KHG_2020!$C$86:$J$86</c:f>
              <c:strCache>
                <c:ptCount val="8"/>
                <c:pt idx="0">
                  <c:v>Läbisõit 2005</c:v>
                </c:pt>
                <c:pt idx="1">
                  <c:v>Läbisõit 2020</c:v>
                </c:pt>
                <c:pt idx="3">
                  <c:v>Maanteetasud -3%</c:v>
                </c:pt>
                <c:pt idx="4">
                  <c:v>Liikuvuskorraldus -5%</c:v>
                </c:pt>
                <c:pt idx="5">
                  <c:v>Ühistranspordi arendamine -3%</c:v>
                </c:pt>
                <c:pt idx="6">
                  <c:v>Kergliikluse arendamine -1%</c:v>
                </c:pt>
                <c:pt idx="7">
                  <c:v>Autokasutuse maksud -10%</c:v>
                </c:pt>
              </c:strCache>
            </c:strRef>
          </c:cat>
          <c:val>
            <c:numRef>
              <c:f>KHG_2020!$C$87:$J$87</c:f>
              <c:numCache>
                <c:formatCode>General</c:formatCode>
                <c:ptCount val="8"/>
                <c:pt idx="0">
                  <c:v>6.6262049139999855</c:v>
                </c:pt>
                <c:pt idx="1">
                  <c:v>10.757851949999999</c:v>
                </c:pt>
                <c:pt idx="3">
                  <c:v>10.435116390000006</c:v>
                </c:pt>
                <c:pt idx="4">
                  <c:v>9.9133605730000003</c:v>
                </c:pt>
                <c:pt idx="5">
                  <c:v>9.6159597550000004</c:v>
                </c:pt>
                <c:pt idx="6">
                  <c:v>9.5198001580000007</c:v>
                </c:pt>
                <c:pt idx="7">
                  <c:v>8.5678201419999986</c:v>
                </c:pt>
              </c:numCache>
            </c:numRef>
          </c:val>
        </c:ser>
        <c:ser>
          <c:idx val="1"/>
          <c:order val="1"/>
          <c:tx>
            <c:strRef>
              <c:f>KHG_2020!$A$88</c:f>
              <c:strCache>
                <c:ptCount val="1"/>
                <c:pt idx="0">
                  <c:v>veoauto</c:v>
                </c:pt>
              </c:strCache>
            </c:strRef>
          </c:tx>
          <c:dLbls>
            <c:numFmt formatCode="#,##0.0" sourceLinked="0"/>
            <c:txPr>
              <a:bodyPr/>
              <a:lstStyle/>
              <a:p>
                <a:pPr>
                  <a:defRPr lang="en-US"/>
                </a:pPr>
                <a:endParaRPr lang="et-EE"/>
              </a:p>
            </c:txPr>
            <c:showVal val="1"/>
          </c:dLbls>
          <c:cat>
            <c:strRef>
              <c:f>KHG_2020!$C$86:$J$86</c:f>
              <c:strCache>
                <c:ptCount val="8"/>
                <c:pt idx="0">
                  <c:v>Läbisõit 2005</c:v>
                </c:pt>
                <c:pt idx="1">
                  <c:v>Läbisõit 2020</c:v>
                </c:pt>
                <c:pt idx="3">
                  <c:v>Maanteetasud -3%</c:v>
                </c:pt>
                <c:pt idx="4">
                  <c:v>Liikuvuskorraldus -5%</c:v>
                </c:pt>
                <c:pt idx="5">
                  <c:v>Ühistranspordi arendamine -3%</c:v>
                </c:pt>
                <c:pt idx="6">
                  <c:v>Kergliikluse arendamine -1%</c:v>
                </c:pt>
                <c:pt idx="7">
                  <c:v>Autokasutuse maksud -10%</c:v>
                </c:pt>
              </c:strCache>
            </c:strRef>
          </c:cat>
          <c:val>
            <c:numRef>
              <c:f>KHG_2020!$C$88:$J$88</c:f>
              <c:numCache>
                <c:formatCode>General</c:formatCode>
                <c:ptCount val="8"/>
                <c:pt idx="0">
                  <c:v>0.74008100400000065</c:v>
                </c:pt>
                <c:pt idx="1">
                  <c:v>0.86540162300002565</c:v>
                </c:pt>
                <c:pt idx="3">
                  <c:v>0.83943957430999994</c:v>
                </c:pt>
              </c:numCache>
            </c:numRef>
          </c:val>
        </c:ser>
        <c:axId val="384342272"/>
        <c:axId val="388003712"/>
      </c:barChart>
      <c:catAx>
        <c:axId val="384342272"/>
        <c:scaling>
          <c:orientation val="minMax"/>
        </c:scaling>
        <c:axPos val="b"/>
        <c:majorTickMark val="none"/>
        <c:tickLblPos val="nextTo"/>
        <c:txPr>
          <a:bodyPr/>
          <a:lstStyle/>
          <a:p>
            <a:pPr>
              <a:defRPr lang="en-US" sz="800" b="0" baseline="0"/>
            </a:pPr>
            <a:endParaRPr lang="et-EE"/>
          </a:p>
        </c:txPr>
        <c:crossAx val="388003712"/>
        <c:crosses val="autoZero"/>
        <c:auto val="1"/>
        <c:lblAlgn val="ctr"/>
        <c:lblOffset val="100"/>
      </c:catAx>
      <c:valAx>
        <c:axId val="388003712"/>
        <c:scaling>
          <c:orientation val="minMax"/>
        </c:scaling>
        <c:axPos val="l"/>
        <c:majorGridlines/>
        <c:numFmt formatCode="General" sourceLinked="1"/>
        <c:majorTickMark val="none"/>
        <c:tickLblPos val="nextTo"/>
        <c:txPr>
          <a:bodyPr/>
          <a:lstStyle/>
          <a:p>
            <a:pPr>
              <a:defRPr lang="en-US"/>
            </a:pPr>
            <a:endParaRPr lang="et-EE"/>
          </a:p>
        </c:txPr>
        <c:crossAx val="384342272"/>
        <c:crosses val="autoZero"/>
        <c:crossBetween val="between"/>
      </c:valAx>
    </c:plotArea>
    <c:legend>
      <c:legendPos val="r"/>
      <c:layout>
        <c:manualLayout>
          <c:xMode val="edge"/>
          <c:yMode val="edge"/>
          <c:x val="0.83545491279609474"/>
          <c:y val="0.37140964900573881"/>
          <c:w val="0.13125798595563903"/>
          <c:h val="0.13277392232750568"/>
        </c:manualLayout>
      </c:layout>
      <c:txPr>
        <a:bodyPr/>
        <a:lstStyle/>
        <a:p>
          <a:pPr>
            <a:defRPr lang="en-US" sz="800"/>
          </a:pPr>
          <a:endParaRPr lang="et-EE"/>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t-EE"/>
  <c:chart>
    <c:plotArea>
      <c:layout>
        <c:manualLayout>
          <c:layoutTarget val="inner"/>
          <c:xMode val="edge"/>
          <c:yMode val="edge"/>
          <c:x val="0.14623140857393113"/>
          <c:y val="5.5555555555555455E-2"/>
          <c:w val="0.51257818109059239"/>
          <c:h val="0.72031249999999958"/>
        </c:manualLayout>
      </c:layout>
      <c:lineChart>
        <c:grouping val="standard"/>
        <c:ser>
          <c:idx val="0"/>
          <c:order val="0"/>
          <c:tx>
            <c:strRef>
              <c:f>KHG_2020!$A$34</c:f>
              <c:strCache>
                <c:ptCount val="1"/>
                <c:pt idx="0">
                  <c:v>KHG BAAS-stsenaariumi puhul</c:v>
                </c:pt>
              </c:strCache>
            </c:strRef>
          </c:tx>
          <c:marker>
            <c:symbol val="none"/>
          </c:marker>
          <c:cat>
            <c:numRef>
              <c:f>KHG_2020!$B$33:$Q$33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KHG_2020!$B$34:$Q$34</c:f>
              <c:numCache>
                <c:formatCode>General</c:formatCode>
                <c:ptCount val="16"/>
                <c:pt idx="0">
                  <c:v>2.0048185961112663</c:v>
                </c:pt>
                <c:pt idx="1">
                  <c:v>2.16</c:v>
                </c:pt>
                <c:pt idx="2">
                  <c:v>2.29</c:v>
                </c:pt>
                <c:pt idx="3">
                  <c:v>2.21</c:v>
                </c:pt>
                <c:pt idx="4">
                  <c:v>2.2516301166666666</c:v>
                </c:pt>
                <c:pt idx="5">
                  <c:v>2.2932602333333332</c:v>
                </c:pt>
                <c:pt idx="6">
                  <c:v>2.3348903499999998</c:v>
                </c:pt>
                <c:pt idx="7">
                  <c:v>2.3765204666666664</c:v>
                </c:pt>
                <c:pt idx="8">
                  <c:v>2.418150583333333</c:v>
                </c:pt>
                <c:pt idx="9">
                  <c:v>2.4597806999999987</c:v>
                </c:pt>
                <c:pt idx="10">
                  <c:v>2.5014108166666662</c:v>
                </c:pt>
                <c:pt idx="11">
                  <c:v>2.5430409333333328</c:v>
                </c:pt>
                <c:pt idx="12">
                  <c:v>2.5846710500000012</c:v>
                </c:pt>
                <c:pt idx="13">
                  <c:v>2.6263011666666682</c:v>
                </c:pt>
                <c:pt idx="14">
                  <c:v>2.6732840202592483</c:v>
                </c:pt>
                <c:pt idx="15">
                  <c:v>2.7095614000000001</c:v>
                </c:pt>
              </c:numCache>
            </c:numRef>
          </c:val>
        </c:ser>
        <c:ser>
          <c:idx val="1"/>
          <c:order val="1"/>
          <c:tx>
            <c:strRef>
              <c:f>KHG_2020!$A$46</c:f>
              <c:strCache>
                <c:ptCount val="1"/>
                <c:pt idx="0">
                  <c:v>KHG 10% taastuvenergia puhul</c:v>
                </c:pt>
              </c:strCache>
            </c:strRef>
          </c:tx>
          <c:marker>
            <c:symbol val="none"/>
          </c:marker>
          <c:cat>
            <c:numRef>
              <c:f>KHG_2020!$B$33:$Q$33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KHG_2020!$B$46:$Q$46</c:f>
              <c:numCache>
                <c:formatCode>General</c:formatCode>
                <c:ptCount val="16"/>
                <c:pt idx="5">
                  <c:v>2.2742179822971846</c:v>
                </c:pt>
                <c:pt idx="6">
                  <c:v>2.3041751118791374</c:v>
                </c:pt>
                <c:pt idx="7">
                  <c:v>2.3341322414611012</c:v>
                </c:pt>
                <c:pt idx="8">
                  <c:v>2.3640893710430424</c:v>
                </c:pt>
                <c:pt idx="9">
                  <c:v>2.3940465006249947</c:v>
                </c:pt>
                <c:pt idx="10">
                  <c:v>2.4240036302069474</c:v>
                </c:pt>
                <c:pt idx="11">
                  <c:v>2.4539607597889002</c:v>
                </c:pt>
                <c:pt idx="12">
                  <c:v>2.4839178893708542</c:v>
                </c:pt>
                <c:pt idx="13">
                  <c:v>2.5138750189528047</c:v>
                </c:pt>
                <c:pt idx="14">
                  <c:v>2.5476839905795847</c:v>
                </c:pt>
                <c:pt idx="15">
                  <c:v>2.573789278116752</c:v>
                </c:pt>
              </c:numCache>
            </c:numRef>
          </c:val>
        </c:ser>
        <c:ser>
          <c:idx val="2"/>
          <c:order val="2"/>
          <c:tx>
            <c:strRef>
              <c:f>KHG_2020!$A$47</c:f>
              <c:strCache>
                <c:ptCount val="1"/>
                <c:pt idx="0">
                  <c:v>KHG kütusesäästliku sõiduviisi puhul</c:v>
                </c:pt>
              </c:strCache>
            </c:strRef>
          </c:tx>
          <c:marker>
            <c:symbol val="none"/>
          </c:marker>
          <c:cat>
            <c:numRef>
              <c:f>KHG_2020!$B$33:$Q$33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KHG_2020!$B$47:$Q$47</c:f>
              <c:numCache>
                <c:formatCode>General</c:formatCode>
                <c:ptCount val="16"/>
                <c:pt idx="5">
                  <c:v>2.2563355774605212</c:v>
                </c:pt>
                <c:pt idx="6">
                  <c:v>2.2753307109892802</c:v>
                </c:pt>
                <c:pt idx="7">
                  <c:v>2.2943258445180352</c:v>
                </c:pt>
                <c:pt idx="8">
                  <c:v>2.3133209780467991</c:v>
                </c:pt>
                <c:pt idx="9">
                  <c:v>2.3323161115755577</c:v>
                </c:pt>
                <c:pt idx="10">
                  <c:v>2.3513112451043212</c:v>
                </c:pt>
                <c:pt idx="11">
                  <c:v>2.3703063786330829</c:v>
                </c:pt>
                <c:pt idx="12">
                  <c:v>2.3893015121618446</c:v>
                </c:pt>
                <c:pt idx="13">
                  <c:v>2.4082966456906072</c:v>
                </c:pt>
                <c:pt idx="14">
                  <c:v>2.4297341445258658</c:v>
                </c:pt>
                <c:pt idx="15">
                  <c:v>2.4462869127481177</c:v>
                </c:pt>
              </c:numCache>
            </c:numRef>
          </c:val>
        </c:ser>
        <c:ser>
          <c:idx val="3"/>
          <c:order val="3"/>
          <c:tx>
            <c:strRef>
              <c:f>KHG_2020!$A$48</c:f>
              <c:strCache>
                <c:ptCount val="1"/>
                <c:pt idx="0">
                  <c:v>KHG ökonoomsemate sõidukitega</c:v>
                </c:pt>
              </c:strCache>
            </c:strRef>
          </c:tx>
          <c:marker>
            <c:symbol val="none"/>
          </c:marker>
          <c:cat>
            <c:numRef>
              <c:f>KHG_2020!$B$33:$Q$33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KHG_2020!$B$48:$Q$48</c:f>
              <c:numCache>
                <c:formatCode>General</c:formatCode>
                <c:ptCount val="16"/>
                <c:pt idx="5">
                  <c:v>2.2253486416835058</c:v>
                </c:pt>
                <c:pt idx="6">
                  <c:v>2.2253486416835062</c:v>
                </c:pt>
                <c:pt idx="7">
                  <c:v>2.2253486416835058</c:v>
                </c:pt>
                <c:pt idx="8">
                  <c:v>2.2253486416835058</c:v>
                </c:pt>
                <c:pt idx="9">
                  <c:v>2.2253486416835062</c:v>
                </c:pt>
                <c:pt idx="10">
                  <c:v>2.2253486416835058</c:v>
                </c:pt>
                <c:pt idx="11">
                  <c:v>2.2253486416835058</c:v>
                </c:pt>
                <c:pt idx="12">
                  <c:v>2.2253486416835058</c:v>
                </c:pt>
                <c:pt idx="13">
                  <c:v>2.2253486416835058</c:v>
                </c:pt>
                <c:pt idx="14">
                  <c:v>2.2253486416835058</c:v>
                </c:pt>
                <c:pt idx="15">
                  <c:v>2.2253486416835062</c:v>
                </c:pt>
              </c:numCache>
            </c:numRef>
          </c:val>
        </c:ser>
        <c:marker val="1"/>
        <c:axId val="381267968"/>
        <c:axId val="381269504"/>
      </c:lineChart>
      <c:catAx>
        <c:axId val="381267968"/>
        <c:scaling>
          <c:orientation val="minMax"/>
        </c:scaling>
        <c:axPos val="b"/>
        <c:numFmt formatCode="General" sourceLinked="1"/>
        <c:tickLblPos val="nextTo"/>
        <c:txPr>
          <a:bodyPr rot="-2700000"/>
          <a:lstStyle/>
          <a:p>
            <a:pPr>
              <a:defRPr sz="800"/>
            </a:pPr>
            <a:endParaRPr lang="et-EE"/>
          </a:p>
        </c:txPr>
        <c:crossAx val="381269504"/>
        <c:crosses val="autoZero"/>
        <c:auto val="1"/>
        <c:lblAlgn val="ctr"/>
        <c:lblOffset val="100"/>
      </c:catAx>
      <c:valAx>
        <c:axId val="381269504"/>
        <c:scaling>
          <c:orientation val="minMax"/>
          <c:min val="1.7"/>
        </c:scaling>
        <c:axPos val="l"/>
        <c:majorGridlines/>
        <c:numFmt formatCode="General" sourceLinked="1"/>
        <c:tickLblPos val="nextTo"/>
        <c:txPr>
          <a:bodyPr/>
          <a:lstStyle/>
          <a:p>
            <a:pPr>
              <a:defRPr sz="800"/>
            </a:pPr>
            <a:endParaRPr lang="et-EE"/>
          </a:p>
        </c:txPr>
        <c:crossAx val="381267968"/>
        <c:crosses val="autoZero"/>
        <c:crossBetween val="between"/>
      </c:valAx>
    </c:plotArea>
    <c:legend>
      <c:legendPos val="r"/>
      <c:layout>
        <c:manualLayout>
          <c:xMode val="edge"/>
          <c:yMode val="edge"/>
          <c:x val="0.66666666666666663"/>
          <c:y val="9.2719267234452826E-2"/>
          <c:w val="0.33034379671150982"/>
          <c:h val="0.44449300980234618"/>
        </c:manualLayout>
      </c:layout>
      <c:txPr>
        <a:bodyPr/>
        <a:lstStyle/>
        <a:p>
          <a:pPr>
            <a:defRPr sz="700"/>
          </a:pPr>
          <a:endParaRPr lang="et-EE"/>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t-EE"/>
  <c:chart>
    <c:plotArea>
      <c:layout>
        <c:manualLayout>
          <c:layoutTarget val="inner"/>
          <c:xMode val="edge"/>
          <c:yMode val="edge"/>
          <c:x val="0.11518032997918859"/>
          <c:y val="7.7192982456141535E-2"/>
          <c:w val="0.84271449720011871"/>
          <c:h val="0.54680812266888934"/>
        </c:manualLayout>
      </c:layout>
      <c:lineChart>
        <c:grouping val="standard"/>
        <c:ser>
          <c:idx val="0"/>
          <c:order val="0"/>
          <c:tx>
            <c:strRef>
              <c:f>'co2'!$A$5</c:f>
              <c:strCache>
                <c:ptCount val="1"/>
                <c:pt idx="0">
                  <c:v>TEHNO-stsenaarium</c:v>
                </c:pt>
              </c:strCache>
            </c:strRef>
          </c:tx>
          <c:marker>
            <c:symbol val="triangle"/>
            <c:size val="5"/>
          </c:marker>
          <c:cat>
            <c:numRef>
              <c:f>'co2'!$D$3:$X$3</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'co2'!$D$5:$X$5</c:f>
              <c:numCache>
                <c:formatCode>General</c:formatCode>
                <c:ptCount val="21"/>
                <c:pt idx="0">
                  <c:v>203.01124900730545</c:v>
                </c:pt>
                <c:pt idx="1">
                  <c:v>201.3247252249441</c:v>
                </c:pt>
                <c:pt idx="2">
                  <c:v>200.29076456751432</c:v>
                </c:pt>
                <c:pt idx="3">
                  <c:v>200.79307533233623</c:v>
                </c:pt>
                <c:pt idx="4">
                  <c:v>199.51384535104592</c:v>
                </c:pt>
                <c:pt idx="5">
                  <c:v>199.83172279503381</c:v>
                </c:pt>
                <c:pt idx="6">
                  <c:v>199.96817272523421</c:v>
                </c:pt>
                <c:pt idx="7">
                  <c:v>200.31073921655778</c:v>
                </c:pt>
                <c:pt idx="8">
                  <c:v>199.08638938899972</c:v>
                </c:pt>
                <c:pt idx="9">
                  <c:v>193.41242729140927</c:v>
                </c:pt>
                <c:pt idx="10">
                  <c:v>187.90017311360421</c:v>
                </c:pt>
                <c:pt idx="11">
                  <c:v>182.54501817986417</c:v>
                </c:pt>
                <c:pt idx="12">
                  <c:v>177.34248516173997</c:v>
                </c:pt>
                <c:pt idx="13">
                  <c:v>172.28822433463247</c:v>
                </c:pt>
                <c:pt idx="14">
                  <c:v>167.37800994109628</c:v>
                </c:pt>
                <c:pt idx="15">
                  <c:v>162.60773665777552</c:v>
                </c:pt>
                <c:pt idx="16">
                  <c:v>157.973416163026</c:v>
                </c:pt>
                <c:pt idx="17">
                  <c:v>153.47117380237981</c:v>
                </c:pt>
                <c:pt idx="18">
                  <c:v>149.09724534901201</c:v>
                </c:pt>
                <c:pt idx="19">
                  <c:v>144.84797385656509</c:v>
                </c:pt>
                <c:pt idx="20">
                  <c:v>140.71980660165013</c:v>
                </c:pt>
              </c:numCache>
            </c:numRef>
          </c:val>
        </c:ser>
        <c:ser>
          <c:idx val="1"/>
          <c:order val="1"/>
          <c:tx>
            <c:strRef>
              <c:f>'co2'!$A$6</c:f>
              <c:strCache>
                <c:ptCount val="1"/>
                <c:pt idx="0">
                  <c:v>BAAS-stsenaarium</c:v>
                </c:pt>
              </c:strCache>
            </c:strRef>
          </c:tx>
          <c:marker>
            <c:symbol val="none"/>
          </c:marker>
          <c:cat>
            <c:numRef>
              <c:f>'co2'!$D$3:$X$3</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'co2'!$D$6:$X$6</c:f>
              <c:numCache>
                <c:formatCode>General</c:formatCode>
                <c:ptCount val="21"/>
                <c:pt idx="0">
                  <c:v>203.01124900730545</c:v>
                </c:pt>
                <c:pt idx="1">
                  <c:v>201.3247252249441</c:v>
                </c:pt>
                <c:pt idx="2">
                  <c:v>200.29076456751432</c:v>
                </c:pt>
                <c:pt idx="3">
                  <c:v>200.79307533233623</c:v>
                </c:pt>
                <c:pt idx="4">
                  <c:v>199.51384535104592</c:v>
                </c:pt>
                <c:pt idx="5">
                  <c:v>199.83172279503381</c:v>
                </c:pt>
                <c:pt idx="6">
                  <c:v>199.96817272523421</c:v>
                </c:pt>
                <c:pt idx="7">
                  <c:v>200.31073921655778</c:v>
                </c:pt>
                <c:pt idx="8">
                  <c:v>199.08638938899972</c:v>
                </c:pt>
                <c:pt idx="9">
                  <c:v>197.25479460661612</c:v>
                </c:pt>
                <c:pt idx="10">
                  <c:v>195.44005049623598</c:v>
                </c:pt>
                <c:pt idx="11">
                  <c:v>193.64200203167059</c:v>
                </c:pt>
                <c:pt idx="12">
                  <c:v>191.86049561298179</c:v>
                </c:pt>
                <c:pt idx="13">
                  <c:v>190.09537905334</c:v>
                </c:pt>
                <c:pt idx="14">
                  <c:v>188.34650156604596</c:v>
                </c:pt>
                <c:pt idx="15">
                  <c:v>186.61371375163998</c:v>
                </c:pt>
                <c:pt idx="16">
                  <c:v>184.89686758512644</c:v>
                </c:pt>
                <c:pt idx="17">
                  <c:v>183.19581640334326</c:v>
                </c:pt>
                <c:pt idx="18">
                  <c:v>181.51041489243249</c:v>
                </c:pt>
                <c:pt idx="19">
                  <c:v>179.84051907542221</c:v>
                </c:pt>
                <c:pt idx="20">
                  <c:v>178.18598629992815</c:v>
                </c:pt>
              </c:numCache>
            </c:numRef>
          </c:val>
        </c:ser>
        <c:marker val="1"/>
        <c:axId val="382020608"/>
        <c:axId val="382649088"/>
      </c:lineChart>
      <c:catAx>
        <c:axId val="382020608"/>
        <c:scaling>
          <c:orientation val="minMax"/>
        </c:scaling>
        <c:axPos val="b"/>
        <c:numFmt formatCode="General" sourceLinked="1"/>
        <c:tickLblPos val="nextTo"/>
        <c:txPr>
          <a:bodyPr rot="-2700000"/>
          <a:lstStyle/>
          <a:p>
            <a:pPr>
              <a:defRPr sz="800"/>
            </a:pPr>
            <a:endParaRPr lang="et-EE"/>
          </a:p>
        </c:txPr>
        <c:crossAx val="382649088"/>
        <c:crosses val="autoZero"/>
        <c:auto val="1"/>
        <c:lblAlgn val="ctr"/>
        <c:lblOffset val="100"/>
      </c:catAx>
      <c:valAx>
        <c:axId val="382649088"/>
        <c:scaling>
          <c:orientation val="minMax"/>
        </c:scaling>
        <c:axPos val="l"/>
        <c:majorGridlines/>
        <c:numFmt formatCode="General" sourceLinked="1"/>
        <c:tickLblPos val="nextTo"/>
        <c:txPr>
          <a:bodyPr/>
          <a:lstStyle/>
          <a:p>
            <a:pPr>
              <a:defRPr sz="800"/>
            </a:pPr>
            <a:endParaRPr lang="et-EE"/>
          </a:p>
        </c:txPr>
        <c:crossAx val="382020608"/>
        <c:crosses val="autoZero"/>
        <c:crossBetween val="between"/>
      </c:valAx>
    </c:plotArea>
    <c:legend>
      <c:legendPos val="b"/>
      <c:txPr>
        <a:bodyPr/>
        <a:lstStyle/>
        <a:p>
          <a:pPr>
            <a:defRPr sz="800"/>
          </a:pPr>
          <a:endParaRPr lang="et-EE"/>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3041</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SEI Tallinn</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Jüssi</dc:creator>
  <cp:lastModifiedBy>Mari Jüssi</cp:lastModifiedBy>
  <cp:revision>4</cp:revision>
  <dcterms:created xsi:type="dcterms:W3CDTF">2013-05-23T14:51:00Z</dcterms:created>
  <dcterms:modified xsi:type="dcterms:W3CDTF">2013-05-28T07:17:00Z</dcterms:modified>
</cp:coreProperties>
</file>